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E33D" w14:textId="77777777" w:rsidR="00AA3A2F" w:rsidRDefault="00000000">
      <w:pPr>
        <w:widowControl/>
        <w:jc w:val="center"/>
        <w:rPr>
          <w:rFonts w:ascii="宋体" w:hAnsi="宋体" w:hint="eastAsia"/>
          <w:bCs/>
          <w:iCs/>
          <w:color w:val="000000"/>
          <w:sz w:val="24"/>
        </w:rPr>
      </w:pPr>
      <w:bookmarkStart w:id="0" w:name="_Toc515462335"/>
      <w:r>
        <w:rPr>
          <w:rFonts w:ascii="宋体" w:hAnsi="宋体" w:hint="eastAsia"/>
          <w:bCs/>
          <w:iCs/>
          <w:color w:val="000000"/>
          <w:sz w:val="24"/>
        </w:rPr>
        <w:t xml:space="preserve">证券代码：600392  </w:t>
      </w:r>
      <w:r>
        <w:rPr>
          <w:rFonts w:ascii="宋体" w:hAnsi="宋体"/>
          <w:bCs/>
          <w:iCs/>
          <w:color w:val="000000"/>
          <w:sz w:val="24"/>
        </w:rPr>
        <w:t xml:space="preserve">         </w:t>
      </w:r>
      <w:r>
        <w:rPr>
          <w:rFonts w:ascii="宋体" w:hAnsi="宋体" w:hint="eastAsia"/>
          <w:bCs/>
          <w:iCs/>
          <w:color w:val="000000"/>
          <w:sz w:val="24"/>
        </w:rPr>
        <w:t xml:space="preserve">           证券简称：盛和资源</w:t>
      </w:r>
    </w:p>
    <w:p w14:paraId="28F34A71" w14:textId="77777777" w:rsidR="00AA3A2F" w:rsidRDefault="00AA3A2F">
      <w:pPr>
        <w:widowControl/>
        <w:jc w:val="center"/>
        <w:rPr>
          <w:rFonts w:ascii="宋体" w:hAnsi="宋体" w:hint="eastAsia"/>
          <w:bCs/>
          <w:iCs/>
          <w:color w:val="000000"/>
          <w:sz w:val="24"/>
        </w:rPr>
      </w:pPr>
    </w:p>
    <w:p w14:paraId="187B9C22" w14:textId="77777777" w:rsidR="00AA3A2F" w:rsidRDefault="00000000">
      <w:pPr>
        <w:widowControl/>
        <w:spacing w:beforeLines="100" w:before="312"/>
        <w:jc w:val="center"/>
        <w:rPr>
          <w:rFonts w:ascii="宋体" w:hAnsi="宋体" w:hint="eastAsia"/>
          <w:bCs/>
          <w:iCs/>
          <w:color w:val="000000"/>
          <w:sz w:val="36"/>
          <w:szCs w:val="36"/>
        </w:rPr>
      </w:pPr>
      <w:r>
        <w:rPr>
          <w:rFonts w:ascii="宋体" w:hAnsi="宋体" w:hint="eastAsia"/>
          <w:bCs/>
          <w:iCs/>
          <w:color w:val="000000"/>
          <w:sz w:val="36"/>
          <w:szCs w:val="36"/>
        </w:rPr>
        <w:t>盛和资源控股股份有限公司</w:t>
      </w:r>
    </w:p>
    <w:p w14:paraId="592177FA" w14:textId="77777777" w:rsidR="00AA3A2F" w:rsidRDefault="00000000">
      <w:pPr>
        <w:widowControl/>
        <w:spacing w:afterLines="100" w:after="312"/>
        <w:jc w:val="center"/>
        <w:rPr>
          <w:rFonts w:ascii="宋体" w:hAnsi="宋体" w:hint="eastAsia"/>
          <w:color w:val="000000"/>
          <w:sz w:val="36"/>
          <w:szCs w:val="36"/>
        </w:rPr>
      </w:pPr>
      <w:r>
        <w:rPr>
          <w:rFonts w:ascii="宋体" w:hAnsi="宋体" w:hint="eastAsia"/>
          <w:bCs/>
          <w:iCs/>
          <w:color w:val="000000"/>
          <w:sz w:val="36"/>
          <w:szCs w:val="36"/>
        </w:rPr>
        <w:t>投资者关系活动记录表</w:t>
      </w:r>
    </w:p>
    <w:p w14:paraId="7404916D" w14:textId="589DE22E" w:rsidR="00AA3A2F" w:rsidRDefault="00000000">
      <w:pPr>
        <w:spacing w:line="360" w:lineRule="auto"/>
        <w:rPr>
          <w:rFonts w:ascii="宋体" w:hAnsi="宋体" w:hint="eastAsia"/>
          <w:bCs/>
          <w:iCs/>
          <w:color w:val="000000"/>
          <w:szCs w:val="21"/>
        </w:rPr>
      </w:pPr>
      <w:r>
        <w:rPr>
          <w:rFonts w:ascii="宋体" w:hAnsi="宋体"/>
          <w:bCs/>
          <w:iCs/>
          <w:color w:val="000000"/>
          <w:szCs w:val="21"/>
        </w:rPr>
        <w:t xml:space="preserve">                                                     </w:t>
      </w:r>
      <w:r>
        <w:rPr>
          <w:rFonts w:ascii="宋体" w:hAnsi="宋体" w:hint="eastAsia"/>
          <w:bCs/>
          <w:iCs/>
          <w:color w:val="000000"/>
          <w:szCs w:val="21"/>
        </w:rPr>
        <w:t xml:space="preserve">            </w:t>
      </w:r>
      <w:r>
        <w:rPr>
          <w:rFonts w:ascii="宋体" w:hAnsi="宋体"/>
          <w:bCs/>
          <w:iCs/>
          <w:color w:val="000000"/>
          <w:szCs w:val="21"/>
        </w:rPr>
        <w:t>编号：</w:t>
      </w:r>
      <w:r>
        <w:rPr>
          <w:rFonts w:ascii="宋体" w:hAnsi="宋体" w:hint="eastAsia"/>
          <w:bCs/>
          <w:iCs/>
          <w:color w:val="000000"/>
          <w:szCs w:val="21"/>
        </w:rPr>
        <w:t>2</w:t>
      </w:r>
      <w:r>
        <w:rPr>
          <w:rFonts w:ascii="宋体" w:hAnsi="宋体"/>
          <w:bCs/>
          <w:iCs/>
          <w:color w:val="000000"/>
          <w:szCs w:val="21"/>
        </w:rPr>
        <w:t>02</w:t>
      </w:r>
      <w:r>
        <w:rPr>
          <w:rFonts w:ascii="宋体" w:hAnsi="宋体" w:hint="eastAsia"/>
          <w:bCs/>
          <w:iCs/>
          <w:color w:val="000000"/>
          <w:szCs w:val="21"/>
        </w:rPr>
        <w:t>5</w:t>
      </w:r>
      <w:r>
        <w:rPr>
          <w:rFonts w:ascii="宋体" w:hAnsi="宋体"/>
          <w:bCs/>
          <w:iCs/>
          <w:color w:val="000000"/>
          <w:szCs w:val="21"/>
        </w:rPr>
        <w:t>-0</w:t>
      </w:r>
      <w:r w:rsidR="00C73011">
        <w:rPr>
          <w:rFonts w:ascii="宋体" w:hAnsi="宋体" w:hint="eastAsia"/>
          <w:bCs/>
          <w:iCs/>
          <w:color w:val="000000"/>
          <w:szCs w:val="21"/>
        </w:rPr>
        <w:t>4</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8"/>
      </w:tblGrid>
      <w:tr w:rsidR="00AA3A2F" w14:paraId="2DA1FD76" w14:textId="77777777">
        <w:trPr>
          <w:jc w:val="center"/>
        </w:trPr>
        <w:tc>
          <w:tcPr>
            <w:tcW w:w="2547" w:type="dxa"/>
            <w:vAlign w:val="center"/>
          </w:tcPr>
          <w:p w14:paraId="6E4BFA1B" w14:textId="77777777" w:rsidR="00AA3A2F" w:rsidRDefault="00000000">
            <w:pPr>
              <w:spacing w:line="360" w:lineRule="auto"/>
              <w:rPr>
                <w:rFonts w:ascii="宋体" w:hAnsi="宋体" w:hint="eastAsia"/>
                <w:b/>
                <w:bCs/>
                <w:iCs/>
                <w:color w:val="000000"/>
                <w:szCs w:val="21"/>
              </w:rPr>
            </w:pPr>
            <w:r>
              <w:rPr>
                <w:rFonts w:ascii="宋体" w:hAnsi="宋体"/>
                <w:b/>
                <w:bCs/>
                <w:iCs/>
                <w:color w:val="000000"/>
                <w:szCs w:val="21"/>
              </w:rPr>
              <w:t>投资者关系活动类别</w:t>
            </w:r>
            <w:r>
              <w:rPr>
                <w:rFonts w:ascii="宋体" w:hAnsi="宋体" w:hint="eastAsia"/>
                <w:b/>
                <w:bCs/>
                <w:iCs/>
                <w:color w:val="000000"/>
                <w:szCs w:val="21"/>
              </w:rPr>
              <w:t>“选中项请打√”</w:t>
            </w:r>
          </w:p>
        </w:tc>
        <w:tc>
          <w:tcPr>
            <w:tcW w:w="7088" w:type="dxa"/>
          </w:tcPr>
          <w:p w14:paraId="73C6D338" w14:textId="5D038946" w:rsidR="00AA3A2F" w:rsidRDefault="00FD2C33">
            <w:pPr>
              <w:spacing w:line="360" w:lineRule="auto"/>
              <w:jc w:val="left"/>
              <w:rPr>
                <w:rFonts w:ascii="宋体" w:hAnsi="宋体" w:hint="eastAsia"/>
                <w:bCs/>
                <w:iCs/>
                <w:color w:val="000000"/>
                <w:szCs w:val="21"/>
              </w:rPr>
            </w:pPr>
            <w:r>
              <w:rPr>
                <w:rFonts w:ascii="宋体" w:hAnsi="宋体"/>
                <w:bCs/>
                <w:iCs/>
                <w:color w:val="000000"/>
                <w:szCs w:val="21"/>
              </w:rPr>
              <w:t>□</w:t>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w:t>
            </w:r>
            <w:proofErr w:type="gramStart"/>
            <w:r>
              <w:rPr>
                <w:rFonts w:ascii="宋体" w:hAnsi="宋体"/>
                <w:color w:val="000000"/>
                <w:szCs w:val="21"/>
              </w:rPr>
              <w:t>师会议</w:t>
            </w:r>
            <w:proofErr w:type="gramEnd"/>
            <w:r>
              <w:rPr>
                <w:rFonts w:ascii="宋体" w:hAnsi="宋体" w:hint="eastAsia"/>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ascii="宋体" w:hAnsi="宋体" w:hint="eastAsia"/>
                <w:color w:val="000000"/>
                <w:szCs w:val="21"/>
              </w:rPr>
              <w:t xml:space="preserve"> □</w:t>
            </w:r>
            <w:r>
              <w:rPr>
                <w:rFonts w:ascii="宋体" w:hAnsi="宋体"/>
                <w:color w:val="000000"/>
                <w:szCs w:val="21"/>
              </w:rPr>
              <w:t>业绩说明会</w:t>
            </w:r>
            <w:r>
              <w:rPr>
                <w:rFonts w:ascii="宋体" w:hAnsi="宋体" w:hint="eastAsia"/>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ascii="宋体" w:hAnsi="宋体" w:hint="eastAsia"/>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ascii="宋体" w:hAnsi="宋体" w:hint="eastAsia"/>
                <w:bCs/>
                <w:iCs/>
                <w:color w:val="000000"/>
                <w:szCs w:val="21"/>
              </w:rPr>
              <w:t xml:space="preserve">   </w:t>
            </w:r>
            <w:r>
              <w:rPr>
                <w:rFonts w:ascii="宋体" w:hAnsi="宋体"/>
                <w:bCs/>
                <w:iCs/>
                <w:color w:val="000000"/>
                <w:szCs w:val="21"/>
              </w:rPr>
              <w:sym w:font="Wingdings 2" w:char="0052"/>
            </w:r>
            <w:r>
              <w:rPr>
                <w:rFonts w:ascii="宋体" w:hAnsi="宋体"/>
                <w:color w:val="000000"/>
                <w:szCs w:val="21"/>
              </w:rPr>
              <w:t>其他</w:t>
            </w:r>
            <w:r>
              <w:rPr>
                <w:rFonts w:ascii="宋体" w:hAnsi="宋体" w:hint="eastAsia"/>
                <w:color w:val="000000"/>
                <w:szCs w:val="21"/>
              </w:rPr>
              <w:t>（电话</w:t>
            </w:r>
            <w:r>
              <w:rPr>
                <w:rFonts w:ascii="宋体" w:hAnsi="宋体"/>
                <w:color w:val="000000"/>
                <w:szCs w:val="21"/>
              </w:rPr>
              <w:t>会议</w:t>
            </w:r>
            <w:r>
              <w:rPr>
                <w:rFonts w:ascii="宋体" w:hAnsi="宋体" w:hint="eastAsia"/>
                <w:color w:val="000000"/>
                <w:szCs w:val="21"/>
              </w:rPr>
              <w:t>）</w:t>
            </w:r>
          </w:p>
        </w:tc>
      </w:tr>
      <w:tr w:rsidR="00AA3A2F" w14:paraId="69FC591A" w14:textId="77777777">
        <w:trPr>
          <w:trHeight w:val="569"/>
          <w:jc w:val="center"/>
        </w:trPr>
        <w:tc>
          <w:tcPr>
            <w:tcW w:w="2547" w:type="dxa"/>
            <w:vAlign w:val="center"/>
          </w:tcPr>
          <w:p w14:paraId="3A8563EC" w14:textId="77777777" w:rsidR="00AA3A2F" w:rsidRDefault="00000000">
            <w:pPr>
              <w:spacing w:line="360" w:lineRule="auto"/>
              <w:jc w:val="center"/>
              <w:rPr>
                <w:rFonts w:ascii="宋体" w:hAnsi="宋体" w:hint="eastAsia"/>
                <w:b/>
                <w:bCs/>
                <w:iCs/>
                <w:color w:val="000000"/>
                <w:szCs w:val="21"/>
              </w:rPr>
            </w:pPr>
            <w:r>
              <w:rPr>
                <w:rFonts w:ascii="宋体" w:hAnsi="宋体"/>
                <w:b/>
                <w:bCs/>
                <w:iCs/>
                <w:color w:val="000000"/>
                <w:szCs w:val="21"/>
              </w:rPr>
              <w:t>参与单位名称</w:t>
            </w:r>
          </w:p>
        </w:tc>
        <w:tc>
          <w:tcPr>
            <w:tcW w:w="7088" w:type="dxa"/>
            <w:vAlign w:val="center"/>
          </w:tcPr>
          <w:p w14:paraId="2A571639" w14:textId="182DD6B4" w:rsidR="00AA3A2F" w:rsidRPr="003E0D6D" w:rsidRDefault="00FD2C33" w:rsidP="003E0D6D">
            <w:pPr>
              <w:spacing w:line="276" w:lineRule="auto"/>
              <w:rPr>
                <w:rFonts w:ascii="等线" w:eastAsia="等线" w:hAnsi="等线" w:hint="eastAsia"/>
                <w:color w:val="000000"/>
                <w:kern w:val="0"/>
                <w:sz w:val="22"/>
                <w:szCs w:val="22"/>
              </w:rPr>
            </w:pPr>
            <w:r w:rsidRPr="00FD2C33">
              <w:rPr>
                <w:rFonts w:ascii="宋体" w:hAnsi="宋体" w:hint="eastAsia"/>
                <w:bCs/>
                <w:iCs/>
                <w:color w:val="000000"/>
                <w:szCs w:val="21"/>
              </w:rPr>
              <w:t>泉果基金管理有限公司</w:t>
            </w:r>
            <w:r w:rsidR="00214702">
              <w:rPr>
                <w:rFonts w:ascii="宋体" w:hAnsi="宋体" w:hint="eastAsia"/>
                <w:bCs/>
                <w:iCs/>
                <w:color w:val="000000"/>
                <w:szCs w:val="21"/>
              </w:rPr>
              <w:t>、</w:t>
            </w:r>
            <w:r w:rsidRPr="00FD2C33">
              <w:rPr>
                <w:rFonts w:ascii="宋体" w:hAnsi="宋体" w:hint="eastAsia"/>
                <w:bCs/>
                <w:iCs/>
                <w:color w:val="000000"/>
                <w:szCs w:val="21"/>
              </w:rPr>
              <w:t>上海君牛私募基金管理有限公司</w:t>
            </w:r>
            <w:r w:rsidR="00214702">
              <w:rPr>
                <w:rFonts w:ascii="宋体" w:hAnsi="宋体" w:hint="eastAsia"/>
                <w:bCs/>
                <w:iCs/>
                <w:color w:val="000000"/>
                <w:szCs w:val="21"/>
              </w:rPr>
              <w:t>、</w:t>
            </w:r>
            <w:r w:rsidRPr="00FD2C33">
              <w:rPr>
                <w:rFonts w:ascii="宋体" w:hAnsi="宋体" w:hint="eastAsia"/>
                <w:bCs/>
                <w:iCs/>
                <w:color w:val="000000"/>
                <w:szCs w:val="21"/>
              </w:rPr>
              <w:t>上海途灵资产管理有限公司</w:t>
            </w:r>
            <w:r w:rsidR="00214702">
              <w:rPr>
                <w:rFonts w:ascii="宋体" w:hAnsi="宋体" w:hint="eastAsia"/>
                <w:bCs/>
                <w:iCs/>
                <w:color w:val="000000"/>
                <w:szCs w:val="21"/>
              </w:rPr>
              <w:t>、</w:t>
            </w:r>
            <w:r w:rsidRPr="00FD2C33">
              <w:rPr>
                <w:rFonts w:ascii="宋体" w:hAnsi="宋体" w:hint="eastAsia"/>
                <w:bCs/>
                <w:iCs/>
                <w:color w:val="000000"/>
                <w:szCs w:val="21"/>
              </w:rPr>
              <w:t>北京点石汇鑫投资管理有限公司</w:t>
            </w:r>
            <w:r w:rsidR="00214702">
              <w:rPr>
                <w:rFonts w:ascii="宋体" w:hAnsi="宋体" w:hint="eastAsia"/>
                <w:bCs/>
                <w:iCs/>
                <w:color w:val="000000"/>
                <w:szCs w:val="21"/>
              </w:rPr>
              <w:t>、</w:t>
            </w:r>
            <w:r w:rsidRPr="00FD2C33">
              <w:rPr>
                <w:rFonts w:ascii="宋体" w:hAnsi="宋体" w:hint="eastAsia"/>
                <w:bCs/>
                <w:iCs/>
                <w:color w:val="000000"/>
                <w:szCs w:val="21"/>
              </w:rPr>
              <w:t>深圳创富兆业金融管理有限公司</w:t>
            </w:r>
            <w:r w:rsidR="00214702">
              <w:rPr>
                <w:rFonts w:ascii="宋体" w:hAnsi="宋体" w:hint="eastAsia"/>
                <w:bCs/>
                <w:iCs/>
                <w:color w:val="000000"/>
                <w:szCs w:val="21"/>
              </w:rPr>
              <w:t>、</w:t>
            </w:r>
            <w:r w:rsidRPr="00FD2C33">
              <w:rPr>
                <w:rFonts w:ascii="宋体" w:hAnsi="宋体" w:hint="eastAsia"/>
                <w:bCs/>
                <w:iCs/>
                <w:color w:val="000000"/>
                <w:szCs w:val="21"/>
              </w:rPr>
              <w:t>耕霁(上海)投资管理有限公司</w:t>
            </w:r>
            <w:r w:rsidR="00214702">
              <w:rPr>
                <w:rFonts w:ascii="宋体" w:hAnsi="宋体" w:hint="eastAsia"/>
                <w:bCs/>
                <w:iCs/>
                <w:color w:val="000000"/>
                <w:szCs w:val="21"/>
              </w:rPr>
              <w:t>、</w:t>
            </w:r>
            <w:r w:rsidRPr="00FD2C33">
              <w:rPr>
                <w:rFonts w:ascii="宋体" w:hAnsi="宋体" w:hint="eastAsia"/>
                <w:bCs/>
                <w:iCs/>
                <w:color w:val="000000"/>
                <w:szCs w:val="21"/>
              </w:rPr>
              <w:t>乐盈（珠海）私募证券投资管理有限公司</w:t>
            </w:r>
            <w:r w:rsidR="00214702">
              <w:rPr>
                <w:rFonts w:ascii="宋体" w:hAnsi="宋体" w:hint="eastAsia"/>
                <w:bCs/>
                <w:iCs/>
                <w:color w:val="000000"/>
                <w:szCs w:val="21"/>
              </w:rPr>
              <w:t>、</w:t>
            </w:r>
            <w:r w:rsidRPr="00FD2C33">
              <w:rPr>
                <w:rFonts w:ascii="宋体" w:hAnsi="宋体" w:hint="eastAsia"/>
                <w:bCs/>
                <w:iCs/>
                <w:color w:val="000000"/>
                <w:szCs w:val="21"/>
              </w:rPr>
              <w:t>上海普行资产管理有限公司</w:t>
            </w:r>
            <w:r w:rsidR="00214702">
              <w:rPr>
                <w:rFonts w:ascii="宋体" w:hAnsi="宋体" w:hint="eastAsia"/>
                <w:bCs/>
                <w:iCs/>
                <w:color w:val="000000"/>
                <w:szCs w:val="21"/>
              </w:rPr>
              <w:t>、</w:t>
            </w:r>
            <w:r w:rsidRPr="00FD2C33">
              <w:rPr>
                <w:rFonts w:ascii="宋体" w:hAnsi="宋体" w:hint="eastAsia"/>
                <w:bCs/>
                <w:iCs/>
                <w:color w:val="000000"/>
                <w:szCs w:val="21"/>
              </w:rPr>
              <w:t>山东吉富高新股权投资管理有限公司</w:t>
            </w:r>
            <w:r w:rsidR="00214702">
              <w:rPr>
                <w:rFonts w:ascii="宋体" w:hAnsi="宋体" w:hint="eastAsia"/>
                <w:bCs/>
                <w:iCs/>
                <w:color w:val="000000"/>
                <w:szCs w:val="21"/>
              </w:rPr>
              <w:t>、</w:t>
            </w:r>
            <w:r w:rsidRPr="00FD2C33">
              <w:rPr>
                <w:rFonts w:ascii="宋体" w:hAnsi="宋体" w:hint="eastAsia"/>
                <w:bCs/>
                <w:iCs/>
                <w:color w:val="000000"/>
                <w:szCs w:val="21"/>
              </w:rPr>
              <w:t>海山合私募基金管理中心(有限合伙)</w:t>
            </w:r>
            <w:r w:rsidR="00214702">
              <w:rPr>
                <w:rFonts w:ascii="宋体" w:hAnsi="宋体" w:hint="eastAsia"/>
                <w:bCs/>
                <w:iCs/>
                <w:color w:val="000000"/>
                <w:szCs w:val="21"/>
              </w:rPr>
              <w:t>、</w:t>
            </w:r>
            <w:r w:rsidRPr="00FD2C33">
              <w:rPr>
                <w:rFonts w:ascii="宋体" w:hAnsi="宋体" w:hint="eastAsia"/>
                <w:bCs/>
                <w:iCs/>
                <w:color w:val="000000"/>
                <w:szCs w:val="21"/>
              </w:rPr>
              <w:t>鸿运私募基金管理（海南）有限公司</w:t>
            </w:r>
            <w:r w:rsidR="00214702">
              <w:rPr>
                <w:rFonts w:ascii="宋体" w:hAnsi="宋体" w:hint="eastAsia"/>
                <w:bCs/>
                <w:iCs/>
                <w:color w:val="000000"/>
                <w:szCs w:val="21"/>
              </w:rPr>
              <w:t>、</w:t>
            </w:r>
            <w:r w:rsidRPr="00FD2C33">
              <w:rPr>
                <w:rFonts w:ascii="宋体" w:hAnsi="宋体" w:hint="eastAsia"/>
                <w:bCs/>
                <w:iCs/>
                <w:color w:val="000000"/>
                <w:szCs w:val="21"/>
              </w:rPr>
              <w:t>深圳市杉树资产管理有限公司</w:t>
            </w:r>
            <w:r w:rsidR="00214702">
              <w:rPr>
                <w:rFonts w:ascii="宋体" w:hAnsi="宋体" w:hint="eastAsia"/>
                <w:bCs/>
                <w:iCs/>
                <w:color w:val="000000"/>
                <w:szCs w:val="21"/>
              </w:rPr>
              <w:t>、</w:t>
            </w:r>
            <w:r w:rsidRPr="00FD2C33">
              <w:rPr>
                <w:rFonts w:ascii="宋体" w:hAnsi="宋体" w:hint="eastAsia"/>
                <w:bCs/>
                <w:iCs/>
                <w:color w:val="000000"/>
                <w:szCs w:val="21"/>
              </w:rPr>
              <w:t>深圳市云众创融投资有限公司</w:t>
            </w:r>
            <w:r w:rsidR="00214702">
              <w:rPr>
                <w:rFonts w:ascii="宋体" w:hAnsi="宋体" w:hint="eastAsia"/>
                <w:bCs/>
                <w:iCs/>
                <w:color w:val="000000"/>
                <w:szCs w:val="21"/>
              </w:rPr>
              <w:t>、</w:t>
            </w:r>
            <w:r w:rsidRPr="00FD2C33">
              <w:rPr>
                <w:rFonts w:ascii="宋体" w:hAnsi="宋体" w:hint="eastAsia"/>
                <w:bCs/>
                <w:iCs/>
                <w:color w:val="000000"/>
                <w:szCs w:val="21"/>
              </w:rPr>
              <w:t>中国国际金融股份有限公司</w:t>
            </w:r>
            <w:r w:rsidR="00214702">
              <w:rPr>
                <w:rFonts w:ascii="宋体" w:hAnsi="宋体" w:hint="eastAsia"/>
                <w:bCs/>
                <w:iCs/>
                <w:color w:val="000000"/>
                <w:szCs w:val="21"/>
              </w:rPr>
              <w:t>、</w:t>
            </w:r>
            <w:r w:rsidRPr="00FD2C33">
              <w:rPr>
                <w:rFonts w:ascii="宋体" w:hAnsi="宋体" w:hint="eastAsia"/>
                <w:bCs/>
                <w:iCs/>
                <w:color w:val="000000"/>
                <w:szCs w:val="21"/>
              </w:rPr>
              <w:t>方正证券股份有限公司</w:t>
            </w:r>
            <w:r w:rsidR="00214702">
              <w:rPr>
                <w:rFonts w:ascii="宋体" w:hAnsi="宋体" w:hint="eastAsia"/>
                <w:bCs/>
                <w:iCs/>
                <w:color w:val="000000"/>
                <w:szCs w:val="21"/>
              </w:rPr>
              <w:t>、</w:t>
            </w:r>
            <w:r w:rsidRPr="00FD2C33">
              <w:rPr>
                <w:rFonts w:ascii="宋体" w:hAnsi="宋体" w:hint="eastAsia"/>
                <w:bCs/>
                <w:iCs/>
                <w:color w:val="000000"/>
                <w:szCs w:val="21"/>
              </w:rPr>
              <w:t>西部证券股份有限公司</w:t>
            </w:r>
            <w:r w:rsidR="00214702">
              <w:rPr>
                <w:rFonts w:ascii="宋体" w:hAnsi="宋体" w:hint="eastAsia"/>
                <w:bCs/>
                <w:iCs/>
                <w:color w:val="000000"/>
                <w:szCs w:val="21"/>
              </w:rPr>
              <w:t>、</w:t>
            </w:r>
            <w:r w:rsidRPr="00FD2C33">
              <w:rPr>
                <w:rFonts w:ascii="宋体" w:hAnsi="宋体" w:hint="eastAsia"/>
                <w:bCs/>
                <w:iCs/>
                <w:color w:val="000000"/>
                <w:szCs w:val="21"/>
              </w:rPr>
              <w:t>国信证券股份有限公司</w:t>
            </w:r>
            <w:r w:rsidR="00214702">
              <w:rPr>
                <w:rFonts w:ascii="宋体" w:hAnsi="宋体" w:hint="eastAsia"/>
                <w:bCs/>
                <w:iCs/>
                <w:color w:val="000000"/>
                <w:szCs w:val="21"/>
              </w:rPr>
              <w:t>、</w:t>
            </w:r>
            <w:r w:rsidRPr="00FD2C33">
              <w:rPr>
                <w:rFonts w:ascii="宋体" w:hAnsi="宋体" w:hint="eastAsia"/>
                <w:bCs/>
                <w:iCs/>
                <w:color w:val="000000"/>
                <w:szCs w:val="21"/>
              </w:rPr>
              <w:t>国泰君安证券股份有限公司</w:t>
            </w:r>
            <w:r w:rsidR="00214702">
              <w:rPr>
                <w:rFonts w:ascii="宋体" w:hAnsi="宋体" w:hint="eastAsia"/>
                <w:bCs/>
                <w:iCs/>
                <w:color w:val="000000"/>
                <w:szCs w:val="21"/>
              </w:rPr>
              <w:t>、</w:t>
            </w:r>
            <w:r w:rsidRPr="00FD2C33">
              <w:rPr>
                <w:rFonts w:ascii="宋体" w:hAnsi="宋体" w:hint="eastAsia"/>
                <w:bCs/>
                <w:iCs/>
                <w:color w:val="000000"/>
                <w:szCs w:val="21"/>
              </w:rPr>
              <w:t>广发证券股份有限公司</w:t>
            </w:r>
            <w:r w:rsidR="00214702">
              <w:rPr>
                <w:rFonts w:ascii="宋体" w:hAnsi="宋体" w:hint="eastAsia"/>
                <w:bCs/>
                <w:iCs/>
                <w:color w:val="000000"/>
                <w:szCs w:val="21"/>
              </w:rPr>
              <w:t>、</w:t>
            </w:r>
            <w:r w:rsidRPr="00FD2C33">
              <w:rPr>
                <w:rFonts w:ascii="宋体" w:hAnsi="宋体" w:hint="eastAsia"/>
                <w:bCs/>
                <w:iCs/>
                <w:color w:val="000000"/>
                <w:szCs w:val="21"/>
              </w:rPr>
              <w:t>国投证券股份有限公司</w:t>
            </w:r>
            <w:r w:rsidR="00214702">
              <w:rPr>
                <w:rFonts w:ascii="宋体" w:hAnsi="宋体" w:hint="eastAsia"/>
                <w:bCs/>
                <w:iCs/>
                <w:color w:val="000000"/>
                <w:szCs w:val="21"/>
              </w:rPr>
              <w:t>、</w:t>
            </w:r>
            <w:r w:rsidRPr="00FD2C33">
              <w:rPr>
                <w:rFonts w:ascii="宋体" w:hAnsi="宋体" w:hint="eastAsia"/>
                <w:bCs/>
                <w:iCs/>
                <w:color w:val="000000"/>
                <w:szCs w:val="21"/>
              </w:rPr>
              <w:t>长江证券股份有限公司</w:t>
            </w:r>
            <w:r w:rsidR="00214702">
              <w:rPr>
                <w:rFonts w:ascii="宋体" w:hAnsi="宋体" w:hint="eastAsia"/>
                <w:bCs/>
                <w:iCs/>
                <w:color w:val="000000"/>
                <w:szCs w:val="21"/>
              </w:rPr>
              <w:t>、</w:t>
            </w:r>
            <w:r w:rsidRPr="00FD2C33">
              <w:rPr>
                <w:rFonts w:ascii="宋体" w:hAnsi="宋体" w:hint="eastAsia"/>
                <w:bCs/>
                <w:iCs/>
                <w:color w:val="000000"/>
                <w:szCs w:val="21"/>
              </w:rPr>
              <w:t>海通国际证券有限公司</w:t>
            </w:r>
            <w:r w:rsidR="00214702">
              <w:rPr>
                <w:rFonts w:ascii="宋体" w:hAnsi="宋体" w:hint="eastAsia"/>
                <w:bCs/>
                <w:iCs/>
                <w:color w:val="000000"/>
                <w:szCs w:val="21"/>
              </w:rPr>
              <w:t>、</w:t>
            </w:r>
            <w:r w:rsidRPr="00FD2C33">
              <w:rPr>
                <w:rFonts w:ascii="宋体" w:hAnsi="宋体" w:hint="eastAsia"/>
                <w:bCs/>
                <w:iCs/>
                <w:color w:val="000000"/>
                <w:szCs w:val="21"/>
              </w:rPr>
              <w:t>中泰证券股份有限公司</w:t>
            </w:r>
            <w:r w:rsidR="00214702">
              <w:rPr>
                <w:rFonts w:ascii="宋体" w:hAnsi="宋体" w:hint="eastAsia"/>
                <w:bCs/>
                <w:iCs/>
                <w:color w:val="000000"/>
                <w:szCs w:val="21"/>
              </w:rPr>
              <w:t>、</w:t>
            </w:r>
            <w:r w:rsidRPr="00FD2C33">
              <w:rPr>
                <w:rFonts w:ascii="宋体" w:hAnsi="宋体" w:hint="eastAsia"/>
                <w:bCs/>
                <w:iCs/>
                <w:color w:val="000000"/>
                <w:szCs w:val="21"/>
              </w:rPr>
              <w:t>浙商证券股份有限公司</w:t>
            </w:r>
            <w:r w:rsidR="009628D4">
              <w:rPr>
                <w:rFonts w:ascii="宋体" w:hAnsi="宋体" w:hint="eastAsia"/>
                <w:bCs/>
                <w:iCs/>
                <w:color w:val="000000"/>
                <w:szCs w:val="21"/>
              </w:rPr>
              <w:t>、</w:t>
            </w:r>
            <w:r w:rsidRPr="00FD2C33">
              <w:rPr>
                <w:rFonts w:ascii="宋体" w:hAnsi="宋体" w:hint="eastAsia"/>
                <w:bCs/>
                <w:iCs/>
                <w:color w:val="000000"/>
                <w:szCs w:val="21"/>
              </w:rPr>
              <w:t>甬兴证券有限公司</w:t>
            </w:r>
            <w:r w:rsidR="009628D4">
              <w:rPr>
                <w:rFonts w:ascii="宋体" w:hAnsi="宋体" w:hint="eastAsia"/>
                <w:bCs/>
                <w:iCs/>
                <w:color w:val="000000"/>
                <w:szCs w:val="21"/>
              </w:rPr>
              <w:t>、</w:t>
            </w:r>
            <w:r w:rsidRPr="00FD2C33">
              <w:rPr>
                <w:rFonts w:ascii="宋体" w:hAnsi="宋体" w:hint="eastAsia"/>
                <w:bCs/>
                <w:iCs/>
                <w:color w:val="000000"/>
                <w:szCs w:val="21"/>
              </w:rPr>
              <w:t>华福证券有限责任公司</w:t>
            </w:r>
            <w:r w:rsidR="009628D4">
              <w:rPr>
                <w:rFonts w:ascii="宋体" w:hAnsi="宋体" w:hint="eastAsia"/>
                <w:bCs/>
                <w:iCs/>
                <w:color w:val="000000"/>
                <w:szCs w:val="21"/>
              </w:rPr>
              <w:t>、</w:t>
            </w:r>
            <w:r w:rsidRPr="00FD2C33">
              <w:rPr>
                <w:rFonts w:ascii="宋体" w:hAnsi="宋体" w:hint="eastAsia"/>
                <w:bCs/>
                <w:iCs/>
                <w:color w:val="000000"/>
                <w:szCs w:val="21"/>
              </w:rPr>
              <w:t>华安证券股份有限公司</w:t>
            </w:r>
            <w:r w:rsidR="009628D4">
              <w:rPr>
                <w:rFonts w:ascii="宋体" w:hAnsi="宋体" w:hint="eastAsia"/>
                <w:bCs/>
                <w:iCs/>
                <w:color w:val="000000"/>
                <w:szCs w:val="21"/>
              </w:rPr>
              <w:t>、</w:t>
            </w:r>
            <w:r w:rsidRPr="00FD2C33">
              <w:rPr>
                <w:rFonts w:ascii="宋体" w:hAnsi="宋体" w:hint="eastAsia"/>
                <w:bCs/>
                <w:iCs/>
                <w:color w:val="000000"/>
                <w:szCs w:val="21"/>
              </w:rPr>
              <w:t>光大证券股份有限公司</w:t>
            </w:r>
            <w:r w:rsidR="009628D4">
              <w:rPr>
                <w:rFonts w:ascii="宋体" w:hAnsi="宋体" w:hint="eastAsia"/>
                <w:bCs/>
                <w:iCs/>
                <w:color w:val="000000"/>
                <w:szCs w:val="21"/>
              </w:rPr>
              <w:t>、</w:t>
            </w:r>
            <w:r w:rsidRPr="00FD2C33">
              <w:rPr>
                <w:rFonts w:ascii="宋体" w:hAnsi="宋体" w:hint="eastAsia"/>
                <w:bCs/>
                <w:iCs/>
                <w:color w:val="000000"/>
                <w:szCs w:val="21"/>
              </w:rPr>
              <w:t>中国银河证券股份有限公司</w:t>
            </w:r>
            <w:r w:rsidR="009628D4">
              <w:rPr>
                <w:rFonts w:ascii="宋体" w:hAnsi="宋体" w:hint="eastAsia"/>
                <w:bCs/>
                <w:iCs/>
                <w:color w:val="000000"/>
                <w:szCs w:val="21"/>
              </w:rPr>
              <w:t>、天</w:t>
            </w:r>
            <w:r w:rsidRPr="00FD2C33">
              <w:rPr>
                <w:rFonts w:ascii="宋体" w:hAnsi="宋体" w:hint="eastAsia"/>
                <w:bCs/>
                <w:iCs/>
                <w:color w:val="000000"/>
                <w:szCs w:val="21"/>
              </w:rPr>
              <w:t>风证券股份有限公司</w:t>
            </w:r>
            <w:r w:rsidR="009628D4">
              <w:rPr>
                <w:rFonts w:ascii="宋体" w:hAnsi="宋体" w:hint="eastAsia"/>
                <w:bCs/>
                <w:iCs/>
                <w:color w:val="000000"/>
                <w:szCs w:val="21"/>
              </w:rPr>
              <w:t>、</w:t>
            </w:r>
            <w:r w:rsidRPr="00FD2C33">
              <w:rPr>
                <w:rFonts w:ascii="宋体" w:hAnsi="宋体" w:hint="eastAsia"/>
                <w:bCs/>
                <w:iCs/>
                <w:color w:val="000000"/>
                <w:szCs w:val="21"/>
              </w:rPr>
              <w:t>中信证券股份有限公司</w:t>
            </w:r>
            <w:r w:rsidR="009628D4">
              <w:rPr>
                <w:rFonts w:ascii="宋体" w:hAnsi="宋体" w:hint="eastAsia"/>
                <w:bCs/>
                <w:iCs/>
                <w:color w:val="000000"/>
                <w:szCs w:val="21"/>
              </w:rPr>
              <w:t>、</w:t>
            </w:r>
            <w:r w:rsidRPr="00FD2C33">
              <w:rPr>
                <w:rFonts w:ascii="宋体" w:hAnsi="宋体" w:hint="eastAsia"/>
                <w:bCs/>
                <w:iCs/>
                <w:color w:val="000000"/>
                <w:szCs w:val="21"/>
              </w:rPr>
              <w:t>五矿证券有限公司</w:t>
            </w:r>
            <w:r w:rsidR="009628D4">
              <w:rPr>
                <w:rFonts w:ascii="宋体" w:hAnsi="宋体" w:hint="eastAsia"/>
                <w:bCs/>
                <w:iCs/>
                <w:color w:val="000000"/>
                <w:szCs w:val="21"/>
              </w:rPr>
              <w:t>、</w:t>
            </w:r>
            <w:r w:rsidRPr="00FD2C33">
              <w:rPr>
                <w:rFonts w:ascii="宋体" w:hAnsi="宋体" w:hint="eastAsia"/>
                <w:bCs/>
                <w:iCs/>
                <w:color w:val="000000"/>
                <w:szCs w:val="21"/>
              </w:rPr>
              <w:t>上海申银万国证券研究所有限公司</w:t>
            </w:r>
            <w:r w:rsidR="009628D4">
              <w:rPr>
                <w:rFonts w:ascii="宋体" w:hAnsi="宋体" w:hint="eastAsia"/>
                <w:bCs/>
                <w:iCs/>
                <w:color w:val="000000"/>
                <w:szCs w:val="21"/>
              </w:rPr>
              <w:t>、</w:t>
            </w:r>
            <w:r w:rsidRPr="00FD2C33">
              <w:rPr>
                <w:rFonts w:ascii="宋体" w:hAnsi="宋体" w:hint="eastAsia"/>
                <w:bCs/>
                <w:iCs/>
                <w:color w:val="000000"/>
                <w:szCs w:val="21"/>
              </w:rPr>
              <w:t>财通证券股份有限公司</w:t>
            </w:r>
            <w:r w:rsidR="009628D4">
              <w:rPr>
                <w:rFonts w:ascii="宋体" w:hAnsi="宋体" w:hint="eastAsia"/>
                <w:bCs/>
                <w:iCs/>
                <w:color w:val="000000"/>
                <w:szCs w:val="21"/>
              </w:rPr>
              <w:t>、</w:t>
            </w:r>
            <w:r w:rsidRPr="00FD2C33">
              <w:rPr>
                <w:rFonts w:ascii="宋体" w:hAnsi="宋体" w:hint="eastAsia"/>
                <w:bCs/>
                <w:iCs/>
                <w:color w:val="000000"/>
                <w:szCs w:val="21"/>
              </w:rPr>
              <w:t>中银国际证券股份有限公司</w:t>
            </w:r>
            <w:r w:rsidR="009628D4">
              <w:rPr>
                <w:rFonts w:ascii="宋体" w:hAnsi="宋体" w:hint="eastAsia"/>
                <w:bCs/>
                <w:iCs/>
                <w:color w:val="000000"/>
                <w:szCs w:val="21"/>
              </w:rPr>
              <w:t>、</w:t>
            </w:r>
            <w:r w:rsidRPr="00FD2C33">
              <w:rPr>
                <w:rFonts w:ascii="宋体" w:hAnsi="宋体" w:hint="eastAsia"/>
                <w:bCs/>
                <w:iCs/>
                <w:color w:val="000000"/>
                <w:szCs w:val="21"/>
              </w:rPr>
              <w:t>东吴人寿保险股份有限公司</w:t>
            </w:r>
            <w:r w:rsidR="009628D4">
              <w:rPr>
                <w:rFonts w:ascii="宋体" w:hAnsi="宋体" w:hint="eastAsia"/>
                <w:bCs/>
                <w:iCs/>
                <w:color w:val="000000"/>
                <w:szCs w:val="21"/>
              </w:rPr>
              <w:t>、</w:t>
            </w:r>
            <w:r w:rsidRPr="00FD2C33">
              <w:rPr>
                <w:rFonts w:ascii="宋体" w:hAnsi="宋体" w:hint="eastAsia"/>
                <w:bCs/>
                <w:iCs/>
                <w:color w:val="000000"/>
                <w:szCs w:val="21"/>
              </w:rPr>
              <w:t>国金证券股份有限公司</w:t>
            </w:r>
            <w:r w:rsidR="009628D4">
              <w:rPr>
                <w:rFonts w:ascii="宋体" w:hAnsi="宋体" w:hint="eastAsia"/>
                <w:bCs/>
                <w:iCs/>
                <w:color w:val="000000"/>
                <w:szCs w:val="21"/>
              </w:rPr>
              <w:t>、</w:t>
            </w:r>
            <w:r w:rsidRPr="00FD2C33">
              <w:rPr>
                <w:rFonts w:ascii="宋体" w:hAnsi="宋体" w:hint="eastAsia"/>
                <w:bCs/>
                <w:iCs/>
                <w:color w:val="000000"/>
                <w:szCs w:val="21"/>
              </w:rPr>
              <w:t>东方证券股份有限公司</w:t>
            </w:r>
            <w:r w:rsidR="009628D4">
              <w:rPr>
                <w:rFonts w:ascii="宋体" w:hAnsi="宋体" w:hint="eastAsia"/>
                <w:bCs/>
                <w:iCs/>
                <w:color w:val="000000"/>
                <w:szCs w:val="21"/>
              </w:rPr>
              <w:t>、</w:t>
            </w:r>
            <w:r w:rsidRPr="00FD2C33">
              <w:rPr>
                <w:rFonts w:ascii="宋体" w:hAnsi="宋体" w:hint="eastAsia"/>
                <w:bCs/>
                <w:iCs/>
                <w:color w:val="000000"/>
                <w:szCs w:val="21"/>
              </w:rPr>
              <w:t>弘尚资产</w:t>
            </w:r>
            <w:r w:rsidR="009628D4">
              <w:rPr>
                <w:rFonts w:ascii="宋体" w:hAnsi="宋体" w:hint="eastAsia"/>
                <w:bCs/>
                <w:iCs/>
                <w:color w:val="000000"/>
                <w:szCs w:val="21"/>
              </w:rPr>
              <w:t>、华阳国际</w:t>
            </w:r>
            <w:r w:rsidRPr="00FD2C33">
              <w:rPr>
                <w:rFonts w:ascii="宋体" w:hAnsi="宋体" w:hint="eastAsia"/>
                <w:bCs/>
                <w:iCs/>
                <w:color w:val="000000"/>
                <w:szCs w:val="21"/>
              </w:rPr>
              <w:t>控股有限公司</w:t>
            </w:r>
            <w:r w:rsidR="009628D4">
              <w:rPr>
                <w:rFonts w:ascii="宋体" w:hAnsi="宋体" w:hint="eastAsia"/>
                <w:bCs/>
                <w:iCs/>
                <w:color w:val="000000"/>
                <w:szCs w:val="21"/>
              </w:rPr>
              <w:t>、</w:t>
            </w:r>
            <w:r w:rsidRPr="00FD2C33">
              <w:rPr>
                <w:rFonts w:ascii="宋体" w:hAnsi="宋体" w:hint="eastAsia"/>
                <w:bCs/>
                <w:iCs/>
                <w:color w:val="000000"/>
                <w:szCs w:val="21"/>
              </w:rPr>
              <w:t>考斯韦（上海）信息咨询有限公司</w:t>
            </w:r>
            <w:r w:rsidR="009628D4">
              <w:rPr>
                <w:rFonts w:ascii="宋体" w:hAnsi="宋体" w:hint="eastAsia"/>
                <w:bCs/>
                <w:iCs/>
                <w:color w:val="000000"/>
                <w:szCs w:val="21"/>
              </w:rPr>
              <w:t>、</w:t>
            </w:r>
            <w:r w:rsidRPr="00FD2C33">
              <w:rPr>
                <w:rFonts w:ascii="宋体" w:hAnsi="宋体" w:hint="eastAsia"/>
                <w:bCs/>
                <w:iCs/>
                <w:color w:val="000000"/>
                <w:szCs w:val="21"/>
              </w:rPr>
              <w:t>大家资产管理有限责任公司</w:t>
            </w:r>
            <w:r w:rsidR="009628D4">
              <w:rPr>
                <w:rFonts w:ascii="宋体" w:hAnsi="宋体" w:hint="eastAsia"/>
                <w:bCs/>
                <w:iCs/>
                <w:color w:val="000000"/>
                <w:szCs w:val="21"/>
              </w:rPr>
              <w:t>、</w:t>
            </w:r>
            <w:r w:rsidRPr="00FD2C33">
              <w:rPr>
                <w:rFonts w:ascii="宋体" w:hAnsi="宋体" w:hint="eastAsia"/>
                <w:bCs/>
                <w:iCs/>
                <w:color w:val="000000"/>
                <w:szCs w:val="21"/>
              </w:rPr>
              <w:t>蒙犇投资（海南）有限公司</w:t>
            </w:r>
            <w:r w:rsidR="003E0D6D">
              <w:rPr>
                <w:rFonts w:ascii="宋体" w:hAnsi="宋体" w:hint="eastAsia"/>
                <w:bCs/>
                <w:iCs/>
                <w:color w:val="000000"/>
                <w:szCs w:val="21"/>
              </w:rPr>
              <w:t>、</w:t>
            </w:r>
            <w:r w:rsidR="003E0D6D" w:rsidRPr="003E0D6D">
              <w:rPr>
                <w:rFonts w:ascii="宋体" w:hAnsi="宋体" w:hint="eastAsia"/>
                <w:bCs/>
                <w:iCs/>
                <w:color w:val="000000"/>
                <w:szCs w:val="21"/>
              </w:rPr>
              <w:t>海南宽行私募基金管理有限公司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华泰资产</w:t>
            </w:r>
            <w:r w:rsidR="003E0D6D">
              <w:rPr>
                <w:rFonts w:ascii="宋体" w:hAnsi="宋体" w:hint="eastAsia"/>
                <w:bCs/>
                <w:iCs/>
                <w:color w:val="000000"/>
                <w:szCs w:val="21"/>
              </w:rPr>
              <w:t>、</w:t>
            </w:r>
            <w:r w:rsidR="003E0D6D" w:rsidRPr="003E0D6D">
              <w:rPr>
                <w:rFonts w:ascii="宋体" w:hAnsi="宋体" w:hint="eastAsia"/>
                <w:bCs/>
                <w:iCs/>
                <w:color w:val="000000"/>
                <w:szCs w:val="21"/>
              </w:rPr>
              <w:t>斯米克投资</w:t>
            </w:r>
            <w:r w:rsidR="003E0D6D">
              <w:rPr>
                <w:rFonts w:ascii="宋体" w:hAnsi="宋体" w:hint="eastAsia"/>
                <w:bCs/>
                <w:iCs/>
                <w:color w:val="000000"/>
                <w:szCs w:val="21"/>
              </w:rPr>
              <w:t>、</w:t>
            </w:r>
            <w:r w:rsidR="003E0D6D" w:rsidRPr="003E0D6D">
              <w:rPr>
                <w:rFonts w:ascii="宋体" w:hAnsi="宋体" w:hint="eastAsia"/>
                <w:bCs/>
                <w:iCs/>
                <w:color w:val="000000"/>
                <w:szCs w:val="21"/>
              </w:rPr>
              <w:t>静瑞私募基金管理(上海)有限公司</w:t>
            </w:r>
            <w:r w:rsidR="003E0D6D">
              <w:rPr>
                <w:rFonts w:ascii="宋体" w:hAnsi="宋体" w:hint="eastAsia"/>
                <w:bCs/>
                <w:iCs/>
                <w:color w:val="000000"/>
                <w:szCs w:val="21"/>
              </w:rPr>
              <w:t>、</w:t>
            </w:r>
            <w:r w:rsidR="003E0D6D" w:rsidRPr="003E0D6D">
              <w:rPr>
                <w:rFonts w:ascii="宋体" w:hAnsi="宋体" w:hint="eastAsia"/>
                <w:bCs/>
                <w:iCs/>
                <w:color w:val="000000"/>
                <w:szCs w:val="21"/>
              </w:rPr>
              <w:t>煜德投资</w:t>
            </w:r>
            <w:r w:rsidR="003E0D6D">
              <w:rPr>
                <w:rFonts w:ascii="宋体" w:hAnsi="宋体" w:hint="eastAsia"/>
                <w:bCs/>
                <w:iCs/>
                <w:color w:val="000000"/>
                <w:szCs w:val="21"/>
              </w:rPr>
              <w:t>、</w:t>
            </w:r>
            <w:r w:rsidR="003E0D6D" w:rsidRPr="003E0D6D">
              <w:rPr>
                <w:rFonts w:ascii="宋体" w:hAnsi="宋体" w:hint="eastAsia"/>
                <w:bCs/>
                <w:iCs/>
                <w:color w:val="000000"/>
                <w:szCs w:val="21"/>
              </w:rPr>
              <w:t>工银理财有限责任公司</w:t>
            </w:r>
            <w:r w:rsidR="003E0D6D">
              <w:rPr>
                <w:rFonts w:ascii="宋体" w:hAnsi="宋体" w:hint="eastAsia"/>
                <w:bCs/>
                <w:iCs/>
                <w:color w:val="000000"/>
                <w:szCs w:val="21"/>
              </w:rPr>
              <w:t>、</w:t>
            </w:r>
            <w:r w:rsidR="003E0D6D" w:rsidRPr="003E0D6D">
              <w:rPr>
                <w:rFonts w:ascii="宋体" w:hAnsi="宋体" w:hint="eastAsia"/>
                <w:bCs/>
                <w:iCs/>
                <w:color w:val="000000"/>
                <w:szCs w:val="21"/>
              </w:rPr>
              <w:t>华能贵诚信托有限公司</w:t>
            </w:r>
            <w:r w:rsidR="003E0D6D">
              <w:rPr>
                <w:rFonts w:ascii="宋体" w:hAnsi="宋体" w:hint="eastAsia"/>
                <w:bCs/>
                <w:iCs/>
                <w:color w:val="000000"/>
                <w:szCs w:val="21"/>
              </w:rPr>
              <w:t>、</w:t>
            </w:r>
            <w:r w:rsidR="003E0D6D" w:rsidRPr="003E0D6D">
              <w:rPr>
                <w:rFonts w:ascii="宋体" w:hAnsi="宋体" w:hint="eastAsia"/>
                <w:bCs/>
                <w:iCs/>
                <w:color w:val="000000"/>
                <w:szCs w:val="21"/>
              </w:rPr>
              <w:t>国泰君安国际控股有限公司（资管）</w:t>
            </w:r>
            <w:r w:rsidR="003E0D6D">
              <w:rPr>
                <w:rFonts w:ascii="宋体" w:hAnsi="宋体" w:hint="eastAsia"/>
                <w:bCs/>
                <w:iCs/>
                <w:color w:val="000000"/>
                <w:szCs w:val="21"/>
              </w:rPr>
              <w:t>、</w:t>
            </w:r>
            <w:r w:rsidR="003E0D6D" w:rsidRPr="003E0D6D">
              <w:rPr>
                <w:rFonts w:ascii="宋体" w:hAnsi="宋体" w:hint="eastAsia"/>
                <w:bCs/>
                <w:iCs/>
                <w:color w:val="000000"/>
                <w:szCs w:val="21"/>
              </w:rPr>
              <w:t>睿胜投资</w:t>
            </w:r>
            <w:r w:rsidR="003E0D6D">
              <w:rPr>
                <w:rFonts w:ascii="宋体" w:hAnsi="宋体" w:hint="eastAsia"/>
                <w:bCs/>
                <w:iCs/>
                <w:color w:val="000000"/>
                <w:szCs w:val="21"/>
              </w:rPr>
              <w:t>、</w:t>
            </w:r>
            <w:r w:rsidR="003E0D6D" w:rsidRPr="003E0D6D">
              <w:rPr>
                <w:rFonts w:ascii="宋体" w:hAnsi="宋体" w:hint="eastAsia"/>
                <w:bCs/>
                <w:iCs/>
                <w:color w:val="000000"/>
                <w:szCs w:val="21"/>
              </w:rPr>
              <w:t>西部利得基金管理有限公司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前海开源基金</w:t>
            </w:r>
            <w:r w:rsidR="003E0D6D">
              <w:rPr>
                <w:rFonts w:ascii="宋体" w:hAnsi="宋体" w:hint="eastAsia"/>
                <w:bCs/>
                <w:iCs/>
                <w:color w:val="000000"/>
                <w:szCs w:val="21"/>
              </w:rPr>
              <w:t>、</w:t>
            </w:r>
            <w:r w:rsidR="003E0D6D" w:rsidRPr="003E0D6D">
              <w:rPr>
                <w:rFonts w:ascii="宋体" w:hAnsi="宋体" w:hint="eastAsia"/>
                <w:bCs/>
                <w:iCs/>
                <w:color w:val="000000"/>
                <w:szCs w:val="21"/>
              </w:rPr>
              <w:t>人保资产（上海）</w:t>
            </w:r>
            <w:r w:rsidR="003E0D6D">
              <w:rPr>
                <w:rFonts w:ascii="宋体" w:hAnsi="宋体" w:hint="eastAsia"/>
                <w:bCs/>
                <w:iCs/>
                <w:color w:val="000000"/>
                <w:szCs w:val="21"/>
              </w:rPr>
              <w:t>、</w:t>
            </w:r>
            <w:r w:rsidR="003E0D6D" w:rsidRPr="003E0D6D">
              <w:rPr>
                <w:rFonts w:ascii="宋体" w:hAnsi="宋体" w:hint="eastAsia"/>
                <w:bCs/>
                <w:iCs/>
                <w:color w:val="000000"/>
                <w:szCs w:val="21"/>
              </w:rPr>
              <w:t>前海海富资管</w:t>
            </w:r>
            <w:r w:rsidR="003E0D6D">
              <w:rPr>
                <w:rFonts w:ascii="宋体" w:hAnsi="宋体" w:hint="eastAsia"/>
                <w:bCs/>
                <w:iCs/>
                <w:color w:val="000000"/>
                <w:szCs w:val="21"/>
              </w:rPr>
              <w:t>、</w:t>
            </w:r>
            <w:r w:rsidR="003E0D6D" w:rsidRPr="003E0D6D">
              <w:rPr>
                <w:rFonts w:ascii="宋体" w:hAnsi="宋体" w:hint="eastAsia"/>
                <w:bCs/>
                <w:iCs/>
                <w:color w:val="000000"/>
                <w:szCs w:val="21"/>
              </w:rPr>
              <w:t>日照钢铁有限公司</w:t>
            </w:r>
            <w:r w:rsidR="003E0D6D">
              <w:rPr>
                <w:rFonts w:ascii="宋体" w:hAnsi="宋体" w:hint="eastAsia"/>
                <w:bCs/>
                <w:iCs/>
                <w:color w:val="000000"/>
                <w:szCs w:val="21"/>
              </w:rPr>
              <w:t>、</w:t>
            </w:r>
            <w:r w:rsidR="003E0D6D" w:rsidRPr="003E0D6D">
              <w:rPr>
                <w:rFonts w:ascii="宋体" w:hAnsi="宋体" w:hint="eastAsia"/>
                <w:bCs/>
                <w:iCs/>
                <w:color w:val="000000"/>
                <w:szCs w:val="21"/>
              </w:rPr>
              <w:t>东北证券股份有限公司</w:t>
            </w:r>
            <w:r w:rsidR="003E0D6D">
              <w:rPr>
                <w:rFonts w:ascii="宋体" w:hAnsi="宋体" w:hint="eastAsia"/>
                <w:bCs/>
                <w:iCs/>
                <w:color w:val="000000"/>
                <w:szCs w:val="21"/>
              </w:rPr>
              <w:t>、</w:t>
            </w:r>
            <w:r w:rsidR="003E0D6D" w:rsidRPr="003E0D6D">
              <w:rPr>
                <w:rFonts w:ascii="宋体" w:hAnsi="宋体" w:hint="eastAsia"/>
                <w:bCs/>
                <w:iCs/>
                <w:color w:val="000000"/>
                <w:szCs w:val="21"/>
              </w:rPr>
              <w:t>深圳前海富鑫资本投资管理有限公司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中邮证券</w:t>
            </w:r>
            <w:r w:rsidR="003E0D6D">
              <w:rPr>
                <w:rFonts w:ascii="宋体" w:hAnsi="宋体" w:hint="eastAsia"/>
                <w:bCs/>
                <w:iCs/>
                <w:color w:val="000000"/>
                <w:szCs w:val="21"/>
              </w:rPr>
              <w:t>、</w:t>
            </w:r>
            <w:r w:rsidR="003E0D6D" w:rsidRPr="003E0D6D">
              <w:rPr>
                <w:rFonts w:ascii="宋体" w:hAnsi="宋体" w:hint="eastAsia"/>
                <w:bCs/>
                <w:iCs/>
                <w:color w:val="000000"/>
                <w:szCs w:val="21"/>
              </w:rPr>
              <w:t>北京凯斯博投资管理有限公司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吉富创投</w:t>
            </w:r>
            <w:r w:rsidR="003E0D6D">
              <w:rPr>
                <w:rFonts w:ascii="宋体" w:hAnsi="宋体" w:hint="eastAsia"/>
                <w:bCs/>
                <w:iCs/>
                <w:color w:val="000000"/>
                <w:szCs w:val="21"/>
              </w:rPr>
              <w:t>、</w:t>
            </w:r>
            <w:r w:rsidR="003E0D6D" w:rsidRPr="003E0D6D">
              <w:rPr>
                <w:rFonts w:ascii="宋体" w:hAnsi="宋体" w:hint="eastAsia"/>
                <w:bCs/>
                <w:iCs/>
                <w:color w:val="000000"/>
                <w:szCs w:val="21"/>
              </w:rPr>
              <w:t>正圆投资</w:t>
            </w:r>
            <w:r w:rsidR="003E0D6D">
              <w:rPr>
                <w:rFonts w:ascii="宋体" w:hAnsi="宋体" w:hint="eastAsia"/>
                <w:bCs/>
                <w:iCs/>
                <w:color w:val="000000"/>
                <w:szCs w:val="21"/>
              </w:rPr>
              <w:t>、</w:t>
            </w:r>
            <w:r w:rsidR="003E0D6D" w:rsidRPr="003E0D6D">
              <w:rPr>
                <w:rFonts w:ascii="宋体" w:hAnsi="宋体" w:hint="eastAsia"/>
                <w:bCs/>
                <w:iCs/>
                <w:color w:val="000000"/>
                <w:szCs w:val="21"/>
              </w:rPr>
              <w:t>宁波幻方量化投资管理合伙企业(有限合伙)</w:t>
            </w:r>
            <w:r w:rsidR="003E0D6D">
              <w:rPr>
                <w:rFonts w:ascii="宋体" w:hAnsi="宋体" w:hint="eastAsia"/>
                <w:bCs/>
                <w:iCs/>
                <w:color w:val="000000"/>
                <w:szCs w:val="21"/>
              </w:rPr>
              <w:t>、</w:t>
            </w:r>
            <w:r w:rsidR="003E0D6D" w:rsidRPr="003E0D6D">
              <w:rPr>
                <w:rFonts w:ascii="宋体" w:hAnsi="宋体" w:hint="eastAsia"/>
                <w:bCs/>
                <w:iCs/>
                <w:color w:val="000000"/>
                <w:szCs w:val="21"/>
              </w:rPr>
              <w:t>上海深积资产管理有限公司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大横琴股份（香港）有限公司</w:t>
            </w:r>
            <w:r w:rsidR="003E0D6D">
              <w:rPr>
                <w:rFonts w:ascii="宋体" w:hAnsi="宋体" w:hint="eastAsia"/>
                <w:bCs/>
                <w:iCs/>
                <w:color w:val="000000"/>
                <w:szCs w:val="21"/>
              </w:rPr>
              <w:t>、</w:t>
            </w:r>
            <w:r w:rsidR="003E0D6D" w:rsidRPr="003E0D6D">
              <w:rPr>
                <w:rFonts w:ascii="宋体" w:hAnsi="宋体" w:hint="eastAsia"/>
                <w:bCs/>
                <w:iCs/>
                <w:color w:val="000000"/>
                <w:szCs w:val="21"/>
              </w:rPr>
              <w:t>兴业资管</w:t>
            </w:r>
            <w:r w:rsidR="003E0D6D">
              <w:rPr>
                <w:rFonts w:ascii="宋体" w:hAnsi="宋体" w:hint="eastAsia"/>
                <w:bCs/>
                <w:iCs/>
                <w:color w:val="000000"/>
                <w:szCs w:val="21"/>
              </w:rPr>
              <w:t>、</w:t>
            </w:r>
            <w:r w:rsidR="003E0D6D" w:rsidRPr="003E0D6D">
              <w:rPr>
                <w:rFonts w:ascii="宋体" w:hAnsi="宋体" w:hint="eastAsia"/>
                <w:bCs/>
                <w:iCs/>
                <w:color w:val="000000"/>
                <w:szCs w:val="21"/>
              </w:rPr>
              <w:t>上海石锋资产管理公司</w:t>
            </w:r>
            <w:r w:rsidR="003E0D6D">
              <w:rPr>
                <w:rFonts w:ascii="宋体" w:hAnsi="宋体" w:hint="eastAsia"/>
                <w:bCs/>
                <w:iCs/>
                <w:color w:val="000000"/>
                <w:szCs w:val="21"/>
              </w:rPr>
              <w:t>、</w:t>
            </w:r>
            <w:r w:rsidR="003E0D6D" w:rsidRPr="003E0D6D">
              <w:rPr>
                <w:rFonts w:ascii="宋体" w:hAnsi="宋体" w:hint="eastAsia"/>
                <w:bCs/>
                <w:iCs/>
                <w:color w:val="000000"/>
                <w:szCs w:val="21"/>
              </w:rPr>
              <w:t>红杉资本</w:t>
            </w:r>
            <w:r w:rsidR="003E0D6D">
              <w:rPr>
                <w:rFonts w:ascii="宋体" w:hAnsi="宋体" w:hint="eastAsia"/>
                <w:bCs/>
                <w:iCs/>
                <w:color w:val="000000"/>
                <w:szCs w:val="21"/>
              </w:rPr>
              <w:t>、</w:t>
            </w:r>
            <w:r w:rsidR="003E0D6D" w:rsidRPr="003E0D6D">
              <w:rPr>
                <w:rFonts w:ascii="宋体" w:hAnsi="宋体" w:hint="eastAsia"/>
                <w:bCs/>
                <w:iCs/>
                <w:color w:val="000000"/>
                <w:szCs w:val="21"/>
              </w:rPr>
              <w:t>上海贵源投资有限公司</w:t>
            </w:r>
            <w:r w:rsidR="003E0D6D">
              <w:rPr>
                <w:rFonts w:ascii="宋体" w:hAnsi="宋体" w:hint="eastAsia"/>
                <w:bCs/>
                <w:iCs/>
                <w:color w:val="000000"/>
                <w:szCs w:val="21"/>
              </w:rPr>
              <w:t>、</w:t>
            </w:r>
            <w:r w:rsidR="003E0D6D" w:rsidRPr="003E0D6D">
              <w:rPr>
                <w:rFonts w:ascii="宋体" w:hAnsi="宋体" w:hint="eastAsia"/>
                <w:bCs/>
                <w:iCs/>
                <w:color w:val="000000"/>
                <w:szCs w:val="21"/>
              </w:rPr>
              <w:t>福建豪山资产管理有限公司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上海泾溪投资管理合伙企业(有限合伙)</w:t>
            </w:r>
            <w:r w:rsidR="003E0D6D">
              <w:rPr>
                <w:rFonts w:ascii="宋体" w:hAnsi="宋体" w:hint="eastAsia"/>
                <w:bCs/>
                <w:iCs/>
                <w:color w:val="000000"/>
                <w:szCs w:val="21"/>
              </w:rPr>
              <w:t>、</w:t>
            </w:r>
            <w:r w:rsidR="003E0D6D" w:rsidRPr="003E0D6D">
              <w:rPr>
                <w:rFonts w:ascii="宋体" w:hAnsi="宋体" w:hint="eastAsia"/>
                <w:bCs/>
                <w:iCs/>
                <w:color w:val="000000"/>
                <w:szCs w:val="21"/>
              </w:rPr>
              <w:t>中信建投基金</w:t>
            </w:r>
            <w:r w:rsidR="003E0D6D">
              <w:rPr>
                <w:rFonts w:ascii="宋体" w:hAnsi="宋体" w:hint="eastAsia"/>
                <w:bCs/>
                <w:iCs/>
                <w:color w:val="000000"/>
                <w:szCs w:val="21"/>
              </w:rPr>
              <w:t>、</w:t>
            </w:r>
            <w:r w:rsidR="003E0D6D" w:rsidRPr="003E0D6D">
              <w:rPr>
                <w:rFonts w:ascii="宋体" w:hAnsi="宋体" w:hint="eastAsia"/>
                <w:bCs/>
                <w:iCs/>
                <w:color w:val="000000"/>
                <w:szCs w:val="21"/>
              </w:rPr>
              <w:t>浙江国信投资管理有限公司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lastRenderedPageBreak/>
              <w:t>苏州龙远投资管理有限公司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交银施罗德基金管理有限公司</w:t>
            </w:r>
            <w:r w:rsidR="003E0D6D">
              <w:rPr>
                <w:rFonts w:ascii="宋体" w:hAnsi="宋体" w:hint="eastAsia"/>
                <w:bCs/>
                <w:iCs/>
                <w:color w:val="000000"/>
                <w:szCs w:val="21"/>
              </w:rPr>
              <w:t>、</w:t>
            </w:r>
            <w:r w:rsidR="003E0D6D" w:rsidRPr="003E0D6D">
              <w:rPr>
                <w:rFonts w:ascii="宋体" w:hAnsi="宋体" w:hint="eastAsia"/>
                <w:bCs/>
                <w:iCs/>
                <w:color w:val="000000"/>
                <w:szCs w:val="21"/>
              </w:rPr>
              <w:t>中科实业集团(控股)有限公司</w:t>
            </w:r>
          </w:p>
        </w:tc>
      </w:tr>
      <w:tr w:rsidR="00AA3A2F" w14:paraId="3EED0EC9" w14:textId="77777777">
        <w:trPr>
          <w:jc w:val="center"/>
        </w:trPr>
        <w:tc>
          <w:tcPr>
            <w:tcW w:w="2547" w:type="dxa"/>
            <w:vAlign w:val="center"/>
          </w:tcPr>
          <w:p w14:paraId="10F336D4" w14:textId="77777777" w:rsidR="00AA3A2F" w:rsidRDefault="00000000">
            <w:pPr>
              <w:spacing w:line="360" w:lineRule="auto"/>
              <w:jc w:val="center"/>
              <w:rPr>
                <w:rFonts w:ascii="宋体" w:hAnsi="宋体" w:hint="eastAsia"/>
                <w:b/>
                <w:bCs/>
                <w:iCs/>
                <w:color w:val="000000"/>
                <w:szCs w:val="21"/>
              </w:rPr>
            </w:pPr>
            <w:r>
              <w:rPr>
                <w:rFonts w:ascii="宋体" w:hAnsi="宋体"/>
                <w:b/>
                <w:bCs/>
                <w:iCs/>
                <w:color w:val="000000"/>
                <w:szCs w:val="21"/>
              </w:rPr>
              <w:lastRenderedPageBreak/>
              <w:t>时间</w:t>
            </w:r>
          </w:p>
        </w:tc>
        <w:tc>
          <w:tcPr>
            <w:tcW w:w="7088" w:type="dxa"/>
            <w:vAlign w:val="center"/>
          </w:tcPr>
          <w:p w14:paraId="5D8B2A92" w14:textId="26B86C5F" w:rsidR="00AA3A2F" w:rsidRDefault="00000000">
            <w:pPr>
              <w:spacing w:line="276" w:lineRule="auto"/>
              <w:rPr>
                <w:rFonts w:ascii="宋体" w:hAnsi="宋体" w:hint="eastAsia"/>
                <w:bCs/>
                <w:iCs/>
                <w:color w:val="000000"/>
                <w:szCs w:val="21"/>
              </w:rPr>
            </w:pPr>
            <w:r>
              <w:rPr>
                <w:rFonts w:ascii="宋体" w:hAnsi="宋体"/>
                <w:bCs/>
                <w:iCs/>
                <w:color w:val="000000"/>
                <w:szCs w:val="21"/>
              </w:rPr>
              <w:t>202</w:t>
            </w:r>
            <w:r>
              <w:rPr>
                <w:rFonts w:ascii="宋体" w:hAnsi="宋体" w:hint="eastAsia"/>
                <w:bCs/>
                <w:iCs/>
                <w:color w:val="000000"/>
                <w:szCs w:val="21"/>
              </w:rPr>
              <w:t>5年</w:t>
            </w:r>
            <w:r w:rsidR="009628D4">
              <w:rPr>
                <w:rFonts w:ascii="宋体" w:hAnsi="宋体" w:hint="eastAsia"/>
                <w:bCs/>
                <w:iCs/>
                <w:color w:val="000000"/>
                <w:szCs w:val="21"/>
              </w:rPr>
              <w:t>5</w:t>
            </w:r>
            <w:r w:rsidR="0001203A">
              <w:rPr>
                <w:rFonts w:ascii="宋体" w:hAnsi="宋体" w:hint="eastAsia"/>
                <w:bCs/>
                <w:iCs/>
                <w:color w:val="000000"/>
                <w:szCs w:val="21"/>
              </w:rPr>
              <w:t>月</w:t>
            </w:r>
            <w:r w:rsidR="009628D4">
              <w:rPr>
                <w:rFonts w:ascii="宋体" w:hAnsi="宋体" w:hint="eastAsia"/>
                <w:bCs/>
                <w:iCs/>
                <w:color w:val="000000"/>
                <w:szCs w:val="21"/>
              </w:rPr>
              <w:t>6</w:t>
            </w:r>
            <w:r w:rsidR="0001203A">
              <w:rPr>
                <w:rFonts w:ascii="宋体" w:hAnsi="宋体" w:hint="eastAsia"/>
                <w:bCs/>
                <w:iCs/>
                <w:color w:val="000000"/>
                <w:szCs w:val="21"/>
              </w:rPr>
              <w:t>日</w:t>
            </w:r>
            <w:r w:rsidR="009628D4">
              <w:rPr>
                <w:rFonts w:ascii="宋体" w:hAnsi="宋体" w:hint="eastAsia"/>
                <w:bCs/>
                <w:iCs/>
                <w:color w:val="000000"/>
                <w:szCs w:val="21"/>
              </w:rPr>
              <w:t>、5月7日</w:t>
            </w:r>
          </w:p>
        </w:tc>
      </w:tr>
      <w:tr w:rsidR="00AA3A2F" w14:paraId="440FD475" w14:textId="77777777">
        <w:trPr>
          <w:jc w:val="center"/>
        </w:trPr>
        <w:tc>
          <w:tcPr>
            <w:tcW w:w="2547" w:type="dxa"/>
            <w:vAlign w:val="center"/>
          </w:tcPr>
          <w:p w14:paraId="275D1681" w14:textId="77777777" w:rsidR="00AA3A2F" w:rsidRDefault="00000000">
            <w:pPr>
              <w:spacing w:line="360" w:lineRule="auto"/>
              <w:jc w:val="center"/>
              <w:rPr>
                <w:rFonts w:ascii="宋体" w:hAnsi="宋体" w:hint="eastAsia"/>
                <w:b/>
                <w:bCs/>
                <w:iCs/>
                <w:color w:val="000000"/>
                <w:szCs w:val="21"/>
              </w:rPr>
            </w:pPr>
            <w:r>
              <w:rPr>
                <w:rFonts w:ascii="宋体" w:hAnsi="宋体" w:hint="eastAsia"/>
                <w:b/>
                <w:bCs/>
                <w:iCs/>
                <w:color w:val="000000"/>
                <w:szCs w:val="21"/>
              </w:rPr>
              <w:t>地点</w:t>
            </w:r>
          </w:p>
        </w:tc>
        <w:tc>
          <w:tcPr>
            <w:tcW w:w="7088" w:type="dxa"/>
            <w:vAlign w:val="center"/>
          </w:tcPr>
          <w:p w14:paraId="39351267" w14:textId="4D5BFD2F" w:rsidR="00AA3A2F" w:rsidRDefault="009628D4">
            <w:pPr>
              <w:spacing w:line="276" w:lineRule="auto"/>
              <w:rPr>
                <w:rFonts w:ascii="宋体" w:hAnsi="宋体" w:hint="eastAsia"/>
                <w:bCs/>
                <w:iCs/>
                <w:color w:val="000000"/>
                <w:szCs w:val="21"/>
              </w:rPr>
            </w:pPr>
            <w:r>
              <w:rPr>
                <w:rFonts w:ascii="宋体" w:hAnsi="宋体" w:hint="eastAsia"/>
                <w:bCs/>
                <w:iCs/>
                <w:color w:val="000000"/>
                <w:szCs w:val="21"/>
              </w:rPr>
              <w:t>电话会议</w:t>
            </w:r>
          </w:p>
        </w:tc>
      </w:tr>
      <w:tr w:rsidR="00AA3A2F" w14:paraId="73B2EF21" w14:textId="77777777">
        <w:trPr>
          <w:jc w:val="center"/>
        </w:trPr>
        <w:tc>
          <w:tcPr>
            <w:tcW w:w="2547" w:type="dxa"/>
            <w:vAlign w:val="center"/>
          </w:tcPr>
          <w:p w14:paraId="2E565A95" w14:textId="77777777" w:rsidR="00AA3A2F" w:rsidRDefault="00000000">
            <w:pPr>
              <w:spacing w:line="360" w:lineRule="auto"/>
              <w:jc w:val="center"/>
              <w:rPr>
                <w:rFonts w:ascii="宋体" w:hAnsi="宋体" w:hint="eastAsia"/>
                <w:b/>
                <w:bCs/>
                <w:iCs/>
                <w:color w:val="000000"/>
                <w:szCs w:val="21"/>
              </w:rPr>
            </w:pPr>
            <w:r>
              <w:rPr>
                <w:rFonts w:ascii="宋体" w:hAnsi="宋体"/>
                <w:b/>
                <w:bCs/>
                <w:iCs/>
                <w:color w:val="000000"/>
                <w:szCs w:val="21"/>
              </w:rPr>
              <w:t>上市公司接待人员姓名</w:t>
            </w:r>
          </w:p>
        </w:tc>
        <w:tc>
          <w:tcPr>
            <w:tcW w:w="7088" w:type="dxa"/>
            <w:vAlign w:val="center"/>
          </w:tcPr>
          <w:p w14:paraId="788180C1" w14:textId="77777777" w:rsidR="00E31F4A" w:rsidRDefault="00A903B2">
            <w:pPr>
              <w:spacing w:line="276" w:lineRule="auto"/>
              <w:rPr>
                <w:rFonts w:ascii="宋体" w:hAnsi="宋体" w:cs="宋体" w:hint="eastAsia"/>
                <w:color w:val="000000"/>
                <w:kern w:val="0"/>
                <w:szCs w:val="21"/>
              </w:rPr>
            </w:pPr>
            <w:r>
              <w:rPr>
                <w:rFonts w:ascii="宋体" w:hAnsi="宋体" w:cs="宋体" w:hint="eastAsia"/>
                <w:color w:val="000000"/>
                <w:kern w:val="0"/>
                <w:szCs w:val="21"/>
              </w:rPr>
              <w:t xml:space="preserve">董事、副总经理、董事会秘书：郭晓雷 </w:t>
            </w:r>
          </w:p>
          <w:p w14:paraId="2AD59F27" w14:textId="77777777" w:rsidR="00E31F4A" w:rsidRDefault="009628D4">
            <w:pPr>
              <w:spacing w:line="276" w:lineRule="auto"/>
              <w:rPr>
                <w:rFonts w:ascii="宋体" w:hAnsi="宋体" w:cs="宋体" w:hint="eastAsia"/>
                <w:color w:val="000000"/>
                <w:kern w:val="0"/>
                <w:szCs w:val="21"/>
              </w:rPr>
            </w:pPr>
            <w:r>
              <w:rPr>
                <w:rFonts w:ascii="宋体" w:hAnsi="宋体" w:cs="宋体" w:hint="eastAsia"/>
                <w:color w:val="000000"/>
                <w:kern w:val="0"/>
                <w:szCs w:val="21"/>
              </w:rPr>
              <w:t>投资者关系总监：孙宇翔</w:t>
            </w:r>
            <w:r w:rsidR="00A903B2">
              <w:rPr>
                <w:rFonts w:ascii="宋体" w:hAnsi="宋体" w:cs="宋体" w:hint="eastAsia"/>
                <w:color w:val="000000"/>
                <w:kern w:val="0"/>
                <w:szCs w:val="21"/>
              </w:rPr>
              <w:t xml:space="preserve"> </w:t>
            </w:r>
          </w:p>
          <w:p w14:paraId="41DDC3F2" w14:textId="0C68C837" w:rsidR="00AA3A2F" w:rsidRDefault="0001203A">
            <w:pPr>
              <w:spacing w:line="276" w:lineRule="auto"/>
              <w:rPr>
                <w:rFonts w:ascii="宋体" w:hAnsi="宋体" w:hint="eastAsia"/>
                <w:bCs/>
                <w:iCs/>
                <w:color w:val="000000"/>
                <w:szCs w:val="21"/>
              </w:rPr>
            </w:pPr>
            <w:r>
              <w:rPr>
                <w:rFonts w:ascii="宋体" w:hAnsi="宋体" w:cs="宋体" w:hint="eastAsia"/>
                <w:color w:val="000000"/>
                <w:kern w:val="0"/>
                <w:szCs w:val="21"/>
              </w:rPr>
              <w:t>证券</w:t>
            </w:r>
            <w:r w:rsidR="00A903B2">
              <w:rPr>
                <w:rFonts w:ascii="宋体" w:hAnsi="宋体" w:cs="宋体" w:hint="eastAsia"/>
                <w:color w:val="000000"/>
                <w:kern w:val="0"/>
                <w:szCs w:val="21"/>
              </w:rPr>
              <w:t>事务</w:t>
            </w:r>
            <w:r>
              <w:rPr>
                <w:rFonts w:ascii="宋体" w:hAnsi="宋体" w:cs="宋体" w:hint="eastAsia"/>
                <w:color w:val="000000"/>
                <w:kern w:val="0"/>
                <w:szCs w:val="21"/>
              </w:rPr>
              <w:t>代表：陈冬梅</w:t>
            </w:r>
          </w:p>
        </w:tc>
      </w:tr>
      <w:tr w:rsidR="00AA3A2F" w14:paraId="2D415618" w14:textId="77777777">
        <w:trPr>
          <w:jc w:val="center"/>
        </w:trPr>
        <w:tc>
          <w:tcPr>
            <w:tcW w:w="2547" w:type="dxa"/>
            <w:vAlign w:val="center"/>
          </w:tcPr>
          <w:p w14:paraId="328CCB7C" w14:textId="77777777" w:rsidR="00AA3A2F" w:rsidRDefault="00000000">
            <w:pPr>
              <w:spacing w:beforeLines="50" w:before="156"/>
              <w:ind w:firstLineChars="200" w:firstLine="420"/>
              <w:rPr>
                <w:rFonts w:ascii="宋体" w:hAnsi="宋体" w:hint="eastAsia"/>
              </w:rPr>
            </w:pPr>
            <w:r>
              <w:rPr>
                <w:rFonts w:ascii="宋体" w:hAnsi="宋体" w:hint="eastAsia"/>
              </w:rPr>
              <w:t>调研</w:t>
            </w:r>
            <w:r>
              <w:rPr>
                <w:rFonts w:ascii="宋体" w:hAnsi="宋体"/>
              </w:rPr>
              <w:t>主要内容介绍</w:t>
            </w:r>
          </w:p>
          <w:p w14:paraId="5E672FAF" w14:textId="77777777" w:rsidR="00AA3A2F" w:rsidRDefault="00AA3A2F">
            <w:pPr>
              <w:spacing w:beforeLines="50" w:before="156"/>
              <w:ind w:firstLineChars="200" w:firstLine="420"/>
              <w:rPr>
                <w:rFonts w:ascii="宋体" w:hAnsi="宋体" w:hint="eastAsia"/>
              </w:rPr>
            </w:pPr>
          </w:p>
        </w:tc>
        <w:tc>
          <w:tcPr>
            <w:tcW w:w="7088" w:type="dxa"/>
          </w:tcPr>
          <w:p w14:paraId="379D2C09" w14:textId="04CB2F77" w:rsidR="00AA3A2F" w:rsidRDefault="009F4110">
            <w:pPr>
              <w:spacing w:beforeLines="50" w:before="156"/>
              <w:ind w:firstLineChars="200" w:firstLine="420"/>
            </w:pPr>
            <w:proofErr w:type="gramStart"/>
            <w:r w:rsidRPr="009F4110">
              <w:rPr>
                <w:rFonts w:hint="eastAsia"/>
              </w:rPr>
              <w:t>董秘郭晓雷</w:t>
            </w:r>
            <w:proofErr w:type="gramEnd"/>
            <w:r w:rsidR="00BE138D">
              <w:rPr>
                <w:rFonts w:hint="eastAsia"/>
              </w:rPr>
              <w:t>先生</w:t>
            </w:r>
            <w:r w:rsidRPr="009F4110">
              <w:rPr>
                <w:rFonts w:hint="eastAsia"/>
              </w:rPr>
              <w:t>主要向投资者介绍了公司</w:t>
            </w:r>
            <w:r w:rsidR="00AE0CFB">
              <w:rPr>
                <w:rFonts w:hint="eastAsia"/>
              </w:rPr>
              <w:t>2024</w:t>
            </w:r>
            <w:r w:rsidR="00AE0CFB">
              <w:rPr>
                <w:rFonts w:hint="eastAsia"/>
              </w:rPr>
              <w:t>年</w:t>
            </w:r>
            <w:r w:rsidR="009628D4">
              <w:rPr>
                <w:rFonts w:hint="eastAsia"/>
              </w:rPr>
              <w:t>及</w:t>
            </w:r>
            <w:r w:rsidR="009628D4">
              <w:rPr>
                <w:rFonts w:hint="eastAsia"/>
              </w:rPr>
              <w:t>2025</w:t>
            </w:r>
            <w:r w:rsidR="009628D4">
              <w:rPr>
                <w:rFonts w:hint="eastAsia"/>
              </w:rPr>
              <w:t>年一季度</w:t>
            </w:r>
            <w:r w:rsidR="00AE0CFB">
              <w:rPr>
                <w:rFonts w:hint="eastAsia"/>
              </w:rPr>
              <w:t>经营</w:t>
            </w:r>
            <w:r w:rsidR="00A903B2">
              <w:rPr>
                <w:rFonts w:hint="eastAsia"/>
              </w:rPr>
              <w:t>业绩及部分</w:t>
            </w:r>
            <w:r w:rsidR="00AE0CFB">
              <w:rPr>
                <w:rFonts w:hint="eastAsia"/>
              </w:rPr>
              <w:t>重点</w:t>
            </w:r>
            <w:r w:rsidR="00A903B2">
              <w:rPr>
                <w:rFonts w:hint="eastAsia"/>
              </w:rPr>
              <w:t>工作相关</w:t>
            </w:r>
            <w:r w:rsidR="00AE0CFB">
              <w:rPr>
                <w:rFonts w:hint="eastAsia"/>
              </w:rPr>
              <w:t>情况</w:t>
            </w:r>
            <w:r w:rsidR="00A903B2">
              <w:rPr>
                <w:rFonts w:hint="eastAsia"/>
              </w:rPr>
              <w:t>：</w:t>
            </w:r>
          </w:p>
          <w:p w14:paraId="7096E240" w14:textId="1972577C" w:rsidR="00A903B2" w:rsidRDefault="00A903B2" w:rsidP="00A903B2">
            <w:pPr>
              <w:spacing w:beforeLines="50" w:before="156"/>
              <w:ind w:firstLineChars="200" w:firstLine="420"/>
            </w:pPr>
            <w:r w:rsidRPr="00A903B2">
              <w:rPr>
                <w:rFonts w:hint="eastAsia"/>
              </w:rPr>
              <w:t>受主要产品价格波动影响，</w:t>
            </w:r>
            <w:r w:rsidRPr="00A903B2">
              <w:rPr>
                <w:rFonts w:hint="eastAsia"/>
              </w:rPr>
              <w:t xml:space="preserve">2024 </w:t>
            </w:r>
            <w:r w:rsidRPr="00A903B2">
              <w:rPr>
                <w:rFonts w:hint="eastAsia"/>
              </w:rPr>
              <w:t>年度公司实现营业收入</w:t>
            </w:r>
            <w:r w:rsidRPr="00A903B2">
              <w:rPr>
                <w:rFonts w:hint="eastAsia"/>
              </w:rPr>
              <w:t>113.71</w:t>
            </w:r>
            <w:r w:rsidRPr="00A903B2">
              <w:rPr>
                <w:rFonts w:hint="eastAsia"/>
              </w:rPr>
              <w:t>亿元，与上年同比减少</w:t>
            </w:r>
            <w:r w:rsidRPr="00A903B2">
              <w:rPr>
                <w:rFonts w:hint="eastAsia"/>
              </w:rPr>
              <w:t>36.39%</w:t>
            </w:r>
            <w:r w:rsidR="002001C1">
              <w:rPr>
                <w:rFonts w:hint="eastAsia"/>
              </w:rPr>
              <w:t>；</w:t>
            </w:r>
            <w:r w:rsidRPr="00A903B2">
              <w:rPr>
                <w:rFonts w:hint="eastAsia"/>
              </w:rPr>
              <w:t>归属于上市公司股东净利润</w:t>
            </w:r>
            <w:r w:rsidRPr="00A903B2">
              <w:rPr>
                <w:rFonts w:hint="eastAsia"/>
              </w:rPr>
              <w:t>2.07</w:t>
            </w:r>
            <w:r w:rsidRPr="00A903B2">
              <w:rPr>
                <w:rFonts w:hint="eastAsia"/>
              </w:rPr>
              <w:t>亿元，与上年同比减少</w:t>
            </w:r>
            <w:r w:rsidRPr="00A903B2">
              <w:rPr>
                <w:rFonts w:hint="eastAsia"/>
              </w:rPr>
              <w:t>37.73%</w:t>
            </w:r>
            <w:r w:rsidRPr="00A903B2">
              <w:rPr>
                <w:rFonts w:hint="eastAsia"/>
              </w:rPr>
              <w:t>。</w:t>
            </w:r>
            <w:r w:rsidRPr="00A903B2">
              <w:rPr>
                <w:rFonts w:hint="eastAsia"/>
              </w:rPr>
              <w:t>2025</w:t>
            </w:r>
            <w:r w:rsidRPr="00A903B2">
              <w:rPr>
                <w:rFonts w:hint="eastAsia"/>
              </w:rPr>
              <w:t>年第一季度公司实现营业收入</w:t>
            </w:r>
            <w:r w:rsidRPr="00A903B2">
              <w:rPr>
                <w:rFonts w:hint="eastAsia"/>
              </w:rPr>
              <w:t>29.92</w:t>
            </w:r>
            <w:r w:rsidRPr="00A903B2">
              <w:rPr>
                <w:rFonts w:hint="eastAsia"/>
              </w:rPr>
              <w:t>亿元，同比增长</w:t>
            </w:r>
            <w:r w:rsidRPr="00A903B2">
              <w:rPr>
                <w:rFonts w:hint="eastAsia"/>
              </w:rPr>
              <w:t>3.66%</w:t>
            </w:r>
            <w:r w:rsidRPr="00A903B2">
              <w:rPr>
                <w:rFonts w:hint="eastAsia"/>
              </w:rPr>
              <w:t>，归</w:t>
            </w:r>
            <w:r w:rsidR="002001C1" w:rsidRPr="002001C1">
              <w:rPr>
                <w:rFonts w:hint="eastAsia"/>
              </w:rPr>
              <w:t>属于上市公司股东净利润</w:t>
            </w:r>
            <w:r w:rsidR="002001C1" w:rsidRPr="002001C1">
              <w:rPr>
                <w:rFonts w:hint="eastAsia"/>
              </w:rPr>
              <w:t>1.68</w:t>
            </w:r>
            <w:r w:rsidR="002001C1" w:rsidRPr="002001C1">
              <w:rPr>
                <w:rFonts w:hint="eastAsia"/>
              </w:rPr>
              <w:t>亿元，同比增长</w:t>
            </w:r>
            <w:r w:rsidR="002001C1" w:rsidRPr="002001C1">
              <w:rPr>
                <w:rFonts w:hint="eastAsia"/>
              </w:rPr>
              <w:t>178.09%</w:t>
            </w:r>
            <w:r w:rsidR="002001C1" w:rsidRPr="002001C1">
              <w:rPr>
                <w:rFonts w:hint="eastAsia"/>
              </w:rPr>
              <w:t>。</w:t>
            </w:r>
            <w:r>
              <w:rPr>
                <w:rFonts w:hint="eastAsia"/>
              </w:rPr>
              <w:t>去年，在稀土资源方面，公司继续深化和</w:t>
            </w:r>
            <w:r>
              <w:rPr>
                <w:rFonts w:hint="eastAsia"/>
              </w:rPr>
              <w:t>Peak</w:t>
            </w:r>
            <w:r>
              <w:rPr>
                <w:rFonts w:hint="eastAsia"/>
              </w:rPr>
              <w:t>公司在坦桑尼亚</w:t>
            </w:r>
            <w:proofErr w:type="spellStart"/>
            <w:r>
              <w:rPr>
                <w:rFonts w:hint="eastAsia"/>
              </w:rPr>
              <w:t>Ngualla</w:t>
            </w:r>
            <w:proofErr w:type="spellEnd"/>
            <w:r>
              <w:rPr>
                <w:rFonts w:hint="eastAsia"/>
              </w:rPr>
              <w:t>稀土</w:t>
            </w:r>
            <w:proofErr w:type="gramStart"/>
            <w:r>
              <w:rPr>
                <w:rFonts w:hint="eastAsia"/>
              </w:rPr>
              <w:t>矿项目</w:t>
            </w:r>
            <w:proofErr w:type="gramEnd"/>
            <w:r>
              <w:rPr>
                <w:rFonts w:hint="eastAsia"/>
              </w:rPr>
              <w:t>的合作，已就项目的投资资金、开发方案以及权益比例达成了基本的合作意见，为项目下一步的开发运营打下了坚实的基础；</w:t>
            </w:r>
            <w:proofErr w:type="gramStart"/>
            <w:r>
              <w:rPr>
                <w:rFonts w:hint="eastAsia"/>
              </w:rPr>
              <w:t>锆钛资源</w:t>
            </w:r>
            <w:proofErr w:type="gramEnd"/>
            <w:r>
              <w:rPr>
                <w:rFonts w:hint="eastAsia"/>
              </w:rPr>
              <w:t>方面，成功收购</w:t>
            </w:r>
            <w:proofErr w:type="gramStart"/>
            <w:r>
              <w:rPr>
                <w:rFonts w:hint="eastAsia"/>
              </w:rPr>
              <w:t>了嘉成矿业</w:t>
            </w:r>
            <w:proofErr w:type="gramEnd"/>
            <w:r>
              <w:rPr>
                <w:rFonts w:hint="eastAsia"/>
              </w:rPr>
              <w:t>（上海）有限公司</w:t>
            </w:r>
            <w:r>
              <w:rPr>
                <w:rFonts w:hint="eastAsia"/>
              </w:rPr>
              <w:t>65%</w:t>
            </w:r>
            <w:r>
              <w:rPr>
                <w:rFonts w:hint="eastAsia"/>
              </w:rPr>
              <w:t>的权益和非洲资源公司</w:t>
            </w:r>
            <w:r>
              <w:rPr>
                <w:rFonts w:hint="eastAsia"/>
              </w:rPr>
              <w:t>100%</w:t>
            </w:r>
            <w:r>
              <w:rPr>
                <w:rFonts w:hint="eastAsia"/>
              </w:rPr>
              <w:t>的股权，两家公司采矿权证范围内的重矿物资源量合计超过</w:t>
            </w:r>
            <w:r>
              <w:rPr>
                <w:rFonts w:hint="eastAsia"/>
              </w:rPr>
              <w:t>2700</w:t>
            </w:r>
            <w:r>
              <w:rPr>
                <w:rFonts w:hint="eastAsia"/>
              </w:rPr>
              <w:t>万吨，为</w:t>
            </w:r>
            <w:proofErr w:type="gramStart"/>
            <w:r>
              <w:rPr>
                <w:rFonts w:hint="eastAsia"/>
              </w:rPr>
              <w:t>锆钛产业</w:t>
            </w:r>
            <w:proofErr w:type="gramEnd"/>
            <w:r>
              <w:rPr>
                <w:rFonts w:hint="eastAsia"/>
              </w:rPr>
              <w:t>链的发展储备了充足的资源保障。坦桑尼亚</w:t>
            </w:r>
            <w:proofErr w:type="spellStart"/>
            <w:r>
              <w:rPr>
                <w:rFonts w:hint="eastAsia"/>
              </w:rPr>
              <w:t>Fungoni</w:t>
            </w:r>
            <w:proofErr w:type="spellEnd"/>
            <w:r>
              <w:rPr>
                <w:rFonts w:hint="eastAsia"/>
              </w:rPr>
              <w:t xml:space="preserve"> </w:t>
            </w:r>
            <w:r>
              <w:rPr>
                <w:rFonts w:hint="eastAsia"/>
              </w:rPr>
              <w:t>项目一号生产线已于</w:t>
            </w:r>
            <w:r>
              <w:rPr>
                <w:rFonts w:hint="eastAsia"/>
              </w:rPr>
              <w:t>2024</w:t>
            </w:r>
            <w:r>
              <w:rPr>
                <w:rFonts w:hint="eastAsia"/>
              </w:rPr>
              <w:t>年年底正式投产，到</w:t>
            </w:r>
            <w:r>
              <w:rPr>
                <w:rFonts w:hint="eastAsia"/>
              </w:rPr>
              <w:t>2025</w:t>
            </w:r>
            <w:r>
              <w:rPr>
                <w:rFonts w:hint="eastAsia"/>
              </w:rPr>
              <w:t>年</w:t>
            </w:r>
            <w:r>
              <w:rPr>
                <w:rFonts w:hint="eastAsia"/>
              </w:rPr>
              <w:t>9</w:t>
            </w:r>
            <w:r>
              <w:rPr>
                <w:rFonts w:hint="eastAsia"/>
              </w:rPr>
              <w:t>月份将形成</w:t>
            </w:r>
            <w:r>
              <w:rPr>
                <w:rFonts w:hint="eastAsia"/>
              </w:rPr>
              <w:t>10</w:t>
            </w:r>
            <w:r>
              <w:rPr>
                <w:rFonts w:hint="eastAsia"/>
              </w:rPr>
              <w:t>万吨重矿物</w:t>
            </w:r>
            <w:r>
              <w:rPr>
                <w:rFonts w:hint="eastAsia"/>
              </w:rPr>
              <w:t>/</w:t>
            </w:r>
            <w:r>
              <w:rPr>
                <w:rFonts w:hint="eastAsia"/>
              </w:rPr>
              <w:t>年的选矿能力，标志着公司正式向资源控股</w:t>
            </w:r>
            <w:proofErr w:type="gramStart"/>
            <w:r>
              <w:rPr>
                <w:rFonts w:hint="eastAsia"/>
              </w:rPr>
              <w:t>型上市</w:t>
            </w:r>
            <w:proofErr w:type="gramEnd"/>
            <w:r>
              <w:rPr>
                <w:rFonts w:hint="eastAsia"/>
              </w:rPr>
              <w:t>公司转型升级。与此同时，公司通过收购、新建、技改等多种方式，不断提升和优化自身的生产经营能力，公司主要产品的产销量逐年攀升。</w:t>
            </w:r>
          </w:p>
          <w:p w14:paraId="4B098DDE" w14:textId="64071162" w:rsidR="00A903B2" w:rsidRDefault="00A903B2">
            <w:pPr>
              <w:spacing w:beforeLines="50" w:before="156"/>
              <w:ind w:firstLineChars="200" w:firstLine="420"/>
            </w:pPr>
            <w:r>
              <w:rPr>
                <w:rFonts w:hint="eastAsia"/>
              </w:rPr>
              <w:t>Q&amp;A</w:t>
            </w:r>
            <w:r>
              <w:rPr>
                <w:rFonts w:hint="eastAsia"/>
              </w:rPr>
              <w:t>：</w:t>
            </w:r>
          </w:p>
          <w:p w14:paraId="1CBE387A" w14:textId="01E8A36E" w:rsidR="000A4871" w:rsidRDefault="000A4871">
            <w:pPr>
              <w:spacing w:beforeLines="50" w:before="156"/>
              <w:ind w:firstLineChars="200" w:firstLine="420"/>
            </w:pPr>
            <w:r>
              <w:rPr>
                <w:rFonts w:hint="eastAsia"/>
              </w:rPr>
              <w:t>1</w:t>
            </w:r>
            <w:r>
              <w:rPr>
                <w:rFonts w:hint="eastAsia"/>
              </w:rPr>
              <w:t>、美国</w:t>
            </w:r>
            <w:r>
              <w:rPr>
                <w:rFonts w:hint="eastAsia"/>
              </w:rPr>
              <w:t>MP</w:t>
            </w:r>
            <w:r>
              <w:rPr>
                <w:rFonts w:hint="eastAsia"/>
              </w:rPr>
              <w:t>公司</w:t>
            </w:r>
            <w:r w:rsidR="00AE0CFB">
              <w:rPr>
                <w:rFonts w:hint="eastAsia"/>
              </w:rPr>
              <w:t>暂停</w:t>
            </w:r>
            <w:r w:rsidR="002001C1">
              <w:rPr>
                <w:rFonts w:hint="eastAsia"/>
              </w:rPr>
              <w:t>向中国出口</w:t>
            </w:r>
            <w:r w:rsidR="003543E6">
              <w:rPr>
                <w:rFonts w:hint="eastAsia"/>
              </w:rPr>
              <w:t>稀土</w:t>
            </w:r>
            <w:r w:rsidR="002001C1">
              <w:rPr>
                <w:rFonts w:hint="eastAsia"/>
              </w:rPr>
              <w:t>精</w:t>
            </w:r>
            <w:r w:rsidR="003543E6">
              <w:rPr>
                <w:rFonts w:hint="eastAsia"/>
              </w:rPr>
              <w:t>矿，对公司影响程度如何</w:t>
            </w:r>
            <w:r>
              <w:rPr>
                <w:rFonts w:hint="eastAsia"/>
              </w:rPr>
              <w:t>？</w:t>
            </w:r>
          </w:p>
          <w:p w14:paraId="50D9B16F" w14:textId="23CB09BB" w:rsidR="003543E6" w:rsidRDefault="00A903B2">
            <w:pPr>
              <w:spacing w:beforeLines="50" w:before="156"/>
              <w:ind w:firstLineChars="200" w:firstLine="420"/>
            </w:pPr>
            <w:r>
              <w:rPr>
                <w:rFonts w:hint="eastAsia"/>
              </w:rPr>
              <w:t>答：</w:t>
            </w:r>
            <w:r w:rsidR="003543E6" w:rsidRPr="003543E6">
              <w:rPr>
                <w:rFonts w:hint="eastAsia"/>
              </w:rPr>
              <w:t>MP</w:t>
            </w:r>
            <w:r w:rsidR="003543E6" w:rsidRPr="003543E6">
              <w:rPr>
                <w:rFonts w:hint="eastAsia"/>
              </w:rPr>
              <w:t>公司与公司控股子公司盛和资源（新加坡）国际贸易有限公司</w:t>
            </w:r>
            <w:r w:rsidR="003543E6">
              <w:rPr>
                <w:rFonts w:hint="eastAsia"/>
              </w:rPr>
              <w:t>于</w:t>
            </w:r>
            <w:r w:rsidR="003543E6" w:rsidRPr="003543E6">
              <w:rPr>
                <w:rFonts w:hint="eastAsia"/>
              </w:rPr>
              <w:t>2024</w:t>
            </w:r>
            <w:r w:rsidR="003543E6" w:rsidRPr="003543E6">
              <w:rPr>
                <w:rFonts w:hint="eastAsia"/>
              </w:rPr>
              <w:t>年</w:t>
            </w:r>
            <w:r w:rsidR="003543E6" w:rsidRPr="003543E6">
              <w:rPr>
                <w:rFonts w:hint="eastAsia"/>
              </w:rPr>
              <w:t>1</w:t>
            </w:r>
            <w:r w:rsidR="003543E6" w:rsidRPr="003543E6">
              <w:rPr>
                <w:rFonts w:hint="eastAsia"/>
              </w:rPr>
              <w:t>月再次续签了新的包销协议，盛和资源（新加坡）国际贸易有限公司为</w:t>
            </w:r>
            <w:r w:rsidR="003543E6" w:rsidRPr="003543E6">
              <w:rPr>
                <w:rFonts w:hint="eastAsia"/>
              </w:rPr>
              <w:t xml:space="preserve">MP </w:t>
            </w:r>
            <w:r w:rsidR="003543E6" w:rsidRPr="003543E6">
              <w:rPr>
                <w:rFonts w:hint="eastAsia"/>
              </w:rPr>
              <w:t>公司在中国的独家经销商；协议期限</w:t>
            </w:r>
            <w:r w:rsidR="003543E6" w:rsidRPr="003543E6">
              <w:rPr>
                <w:rFonts w:hint="eastAsia"/>
              </w:rPr>
              <w:t xml:space="preserve">2 </w:t>
            </w:r>
            <w:r w:rsidR="003543E6" w:rsidRPr="003543E6">
              <w:rPr>
                <w:rFonts w:hint="eastAsia"/>
              </w:rPr>
              <w:t>年，到期后可延长</w:t>
            </w:r>
            <w:r w:rsidR="003543E6" w:rsidRPr="003543E6">
              <w:rPr>
                <w:rFonts w:hint="eastAsia"/>
              </w:rPr>
              <w:t>1</w:t>
            </w:r>
            <w:r w:rsidR="003543E6" w:rsidRPr="003543E6">
              <w:rPr>
                <w:rFonts w:hint="eastAsia"/>
              </w:rPr>
              <w:t>年；包销产品除稀土精矿外，还有其他稀土产品。截</w:t>
            </w:r>
            <w:r w:rsidR="00836509">
              <w:rPr>
                <w:rFonts w:hint="eastAsia"/>
              </w:rPr>
              <w:t>至</w:t>
            </w:r>
            <w:r w:rsidR="003543E6" w:rsidRPr="003543E6">
              <w:rPr>
                <w:rFonts w:hint="eastAsia"/>
              </w:rPr>
              <w:t>目前，双方签署的包销协议尚在有效期内。</w:t>
            </w:r>
          </w:p>
          <w:p w14:paraId="28B72DD0" w14:textId="3F410A06" w:rsidR="00836509" w:rsidRDefault="003543E6">
            <w:pPr>
              <w:spacing w:beforeLines="50" w:before="156"/>
              <w:ind w:firstLineChars="200" w:firstLine="420"/>
            </w:pPr>
            <w:r w:rsidRPr="003543E6">
              <w:rPr>
                <w:rFonts w:hint="eastAsia"/>
              </w:rPr>
              <w:t>目前</w:t>
            </w:r>
            <w:r w:rsidR="00836509">
              <w:rPr>
                <w:rFonts w:hint="eastAsia"/>
              </w:rPr>
              <w:t>受中美两国互相</w:t>
            </w:r>
            <w:r w:rsidRPr="003543E6">
              <w:rPr>
                <w:rFonts w:hint="eastAsia"/>
              </w:rPr>
              <w:t>加征关税</w:t>
            </w:r>
            <w:r w:rsidR="00E62C0E">
              <w:rPr>
                <w:rFonts w:hint="eastAsia"/>
              </w:rPr>
              <w:t>的</w:t>
            </w:r>
            <w:r w:rsidR="00836509">
              <w:rPr>
                <w:rFonts w:hint="eastAsia"/>
              </w:rPr>
              <w:t>影响</w:t>
            </w:r>
            <w:r w:rsidRPr="003543E6">
              <w:rPr>
                <w:rFonts w:hint="eastAsia"/>
              </w:rPr>
              <w:t>，</w:t>
            </w:r>
            <w:r w:rsidR="00836509">
              <w:rPr>
                <w:rFonts w:hint="eastAsia"/>
              </w:rPr>
              <w:t>出于经济性</w:t>
            </w:r>
            <w:proofErr w:type="gramStart"/>
            <w:r w:rsidR="00836509">
              <w:rPr>
                <w:rFonts w:hint="eastAsia"/>
              </w:rPr>
              <w:t>考量</w:t>
            </w:r>
            <w:proofErr w:type="gramEnd"/>
            <w:r w:rsidR="00836509">
              <w:rPr>
                <w:rFonts w:hint="eastAsia"/>
              </w:rPr>
              <w:t>，</w:t>
            </w:r>
            <w:r w:rsidRPr="003543E6">
              <w:rPr>
                <w:rFonts w:hint="eastAsia"/>
              </w:rPr>
              <w:t>MP</w:t>
            </w:r>
            <w:r w:rsidRPr="003543E6">
              <w:rPr>
                <w:rFonts w:hint="eastAsia"/>
              </w:rPr>
              <w:t>公司暂时停止向中国出口稀土精矿</w:t>
            </w:r>
            <w:r w:rsidR="00836509">
              <w:rPr>
                <w:rFonts w:hint="eastAsia"/>
              </w:rPr>
              <w:t>；后续</w:t>
            </w:r>
            <w:r w:rsidR="00836509">
              <w:rPr>
                <w:rFonts w:hint="eastAsia"/>
              </w:rPr>
              <w:t>MP</w:t>
            </w:r>
            <w:r w:rsidR="00836509">
              <w:rPr>
                <w:rFonts w:hint="eastAsia"/>
              </w:rPr>
              <w:t>也将视关税政策变动走向灵活调整对于</w:t>
            </w:r>
            <w:r w:rsidR="00836509">
              <w:rPr>
                <w:rFonts w:hint="eastAsia"/>
              </w:rPr>
              <w:lastRenderedPageBreak/>
              <w:t>国内</w:t>
            </w:r>
            <w:r w:rsidR="00E62C0E">
              <w:rPr>
                <w:rFonts w:hint="eastAsia"/>
              </w:rPr>
              <w:t>的</w:t>
            </w:r>
            <w:r w:rsidR="00836509">
              <w:rPr>
                <w:rFonts w:hint="eastAsia"/>
              </w:rPr>
              <w:t>精矿出口</w:t>
            </w:r>
            <w:r w:rsidR="002001C1">
              <w:rPr>
                <w:rFonts w:hint="eastAsia"/>
              </w:rPr>
              <w:t>的</w:t>
            </w:r>
            <w:r w:rsidR="00836509">
              <w:rPr>
                <w:rFonts w:hint="eastAsia"/>
              </w:rPr>
              <w:t>策略</w:t>
            </w:r>
            <w:r w:rsidRPr="003543E6">
              <w:rPr>
                <w:rFonts w:hint="eastAsia"/>
              </w:rPr>
              <w:t>。</w:t>
            </w:r>
          </w:p>
          <w:p w14:paraId="157B0717" w14:textId="1F4A3186" w:rsidR="003543E6" w:rsidRDefault="003543E6">
            <w:pPr>
              <w:spacing w:beforeLines="50" w:before="156"/>
              <w:ind w:firstLineChars="200" w:firstLine="420"/>
            </w:pPr>
            <w:r w:rsidRPr="003543E6">
              <w:rPr>
                <w:rFonts w:hint="eastAsia"/>
              </w:rPr>
              <w:t>公司已构建了多元化的稀土原料供应渠道，</w:t>
            </w:r>
            <w:r w:rsidR="007F51F0">
              <w:rPr>
                <w:rFonts w:hint="eastAsia"/>
              </w:rPr>
              <w:t>短期看国内</w:t>
            </w:r>
            <w:r w:rsidRPr="003543E6">
              <w:rPr>
                <w:rFonts w:hint="eastAsia"/>
              </w:rPr>
              <w:t>四川矿、独居石以及其他国家进口矿可以作为替代供应</w:t>
            </w:r>
            <w:r w:rsidR="002001C1">
              <w:rPr>
                <w:rFonts w:hint="eastAsia"/>
              </w:rPr>
              <w:t>来源</w:t>
            </w:r>
            <w:r w:rsidR="007F51F0">
              <w:rPr>
                <w:rFonts w:hint="eastAsia"/>
              </w:rPr>
              <w:t>，长期看公司海外资源项目投产后可进一步增强公司对于原材料的需求保障</w:t>
            </w:r>
            <w:r w:rsidRPr="003543E6">
              <w:rPr>
                <w:rFonts w:hint="eastAsia"/>
              </w:rPr>
              <w:t>。</w:t>
            </w:r>
            <w:r w:rsidR="007F51F0">
              <w:rPr>
                <w:rFonts w:hint="eastAsia"/>
              </w:rPr>
              <w:t>总体来看，</w:t>
            </w:r>
            <w:r w:rsidRPr="003543E6">
              <w:rPr>
                <w:rFonts w:hint="eastAsia"/>
              </w:rPr>
              <w:t>MP</w:t>
            </w:r>
            <w:r w:rsidRPr="003543E6">
              <w:rPr>
                <w:rFonts w:hint="eastAsia"/>
              </w:rPr>
              <w:t>公司暂停向中国出口稀土精矿不会对公司生产经营产生重大影响。</w:t>
            </w:r>
          </w:p>
          <w:p w14:paraId="059ED576" w14:textId="3D2A5FC5" w:rsidR="006D761D" w:rsidRDefault="006D761D" w:rsidP="006D761D">
            <w:pPr>
              <w:spacing w:beforeLines="50" w:before="156"/>
              <w:ind w:firstLineChars="200" w:firstLine="420"/>
            </w:pPr>
            <w:r>
              <w:rPr>
                <w:rFonts w:hint="eastAsia"/>
              </w:rPr>
              <w:t>2</w:t>
            </w:r>
            <w:r w:rsidRPr="00BB0618">
              <w:rPr>
                <w:rFonts w:hint="eastAsia"/>
              </w:rPr>
              <w:t>、</w:t>
            </w:r>
            <w:r w:rsidR="007F51F0">
              <w:rPr>
                <w:rFonts w:hint="eastAsia"/>
              </w:rPr>
              <w:t>近期</w:t>
            </w:r>
            <w:r>
              <w:rPr>
                <w:rFonts w:hint="eastAsia"/>
              </w:rPr>
              <w:t>海外稀土价格涨幅较大，对国内稀土出货和价格有何影响？</w:t>
            </w:r>
            <w:r>
              <w:rPr>
                <w:rFonts w:hint="eastAsia"/>
              </w:rPr>
              <w:t xml:space="preserve"> </w:t>
            </w:r>
          </w:p>
          <w:p w14:paraId="396FC824" w14:textId="76E06583" w:rsidR="006D761D" w:rsidRDefault="006D761D" w:rsidP="006D761D">
            <w:pPr>
              <w:spacing w:beforeLines="50" w:before="156"/>
              <w:ind w:firstLineChars="200" w:firstLine="420"/>
            </w:pPr>
            <w:r>
              <w:rPr>
                <w:rFonts w:hint="eastAsia"/>
              </w:rPr>
              <w:t>答：国内稀土价格</w:t>
            </w:r>
            <w:r w:rsidR="007F51F0">
              <w:rPr>
                <w:rFonts w:hint="eastAsia"/>
              </w:rPr>
              <w:t>走势</w:t>
            </w:r>
            <w:r>
              <w:rPr>
                <w:rFonts w:hint="eastAsia"/>
              </w:rPr>
              <w:t>目前还未受到海外</w:t>
            </w:r>
            <w:r w:rsidR="007F51F0">
              <w:rPr>
                <w:rFonts w:hint="eastAsia"/>
              </w:rPr>
              <w:t>市场</w:t>
            </w:r>
            <w:r>
              <w:rPr>
                <w:rFonts w:hint="eastAsia"/>
              </w:rPr>
              <w:t>的显</w:t>
            </w:r>
            <w:r w:rsidR="000B7E1C">
              <w:rPr>
                <w:rFonts w:hint="eastAsia"/>
              </w:rPr>
              <w:t>著</w:t>
            </w:r>
            <w:r>
              <w:rPr>
                <w:rFonts w:hint="eastAsia"/>
              </w:rPr>
              <w:t>影响</w:t>
            </w:r>
            <w:r w:rsidR="00EC289B">
              <w:rPr>
                <w:rFonts w:hint="eastAsia"/>
              </w:rPr>
              <w:t>。以</w:t>
            </w:r>
            <w:proofErr w:type="gramStart"/>
            <w:r w:rsidR="00EC289B">
              <w:rPr>
                <w:rFonts w:hint="eastAsia"/>
              </w:rPr>
              <w:t>镝</w:t>
            </w:r>
            <w:proofErr w:type="gramEnd"/>
            <w:r w:rsidR="00EC289B">
              <w:rPr>
                <w:rFonts w:hint="eastAsia"/>
              </w:rPr>
              <w:t>、</w:t>
            </w:r>
            <w:proofErr w:type="gramStart"/>
            <w:r w:rsidR="00EC289B">
              <w:rPr>
                <w:rFonts w:hint="eastAsia"/>
              </w:rPr>
              <w:t>铽</w:t>
            </w:r>
            <w:proofErr w:type="gramEnd"/>
            <w:r w:rsidR="00EC289B">
              <w:rPr>
                <w:rFonts w:hint="eastAsia"/>
              </w:rPr>
              <w:t>为代表的近期海外市场价格涨幅较大的上游稀土金属产品历年直接对外出口数量较为有限；中下游产品方面，根据</w:t>
            </w:r>
            <w:r w:rsidR="00EC289B">
              <w:rPr>
                <w:rFonts w:hint="eastAsia"/>
              </w:rPr>
              <w:t>2025</w:t>
            </w:r>
            <w:r w:rsidR="00EC289B">
              <w:rPr>
                <w:rFonts w:hint="eastAsia"/>
              </w:rPr>
              <w:t>年</w:t>
            </w:r>
            <w:r w:rsidR="00EC289B">
              <w:rPr>
                <w:rFonts w:hint="eastAsia"/>
              </w:rPr>
              <w:t>4</w:t>
            </w:r>
            <w:r w:rsidR="00EC289B">
              <w:rPr>
                <w:rFonts w:hint="eastAsia"/>
              </w:rPr>
              <w:t>月</w:t>
            </w:r>
            <w:r w:rsidR="000B7E1C">
              <w:rPr>
                <w:rFonts w:hint="eastAsia"/>
              </w:rPr>
              <w:t>商务部产业安全与进出</w:t>
            </w:r>
            <w:proofErr w:type="gramStart"/>
            <w:r w:rsidR="000B7E1C">
              <w:rPr>
                <w:rFonts w:hint="eastAsia"/>
              </w:rPr>
              <w:t>口管制局等</w:t>
            </w:r>
            <w:proofErr w:type="gramEnd"/>
            <w:r w:rsidR="000B7E1C">
              <w:rPr>
                <w:rFonts w:hint="eastAsia"/>
              </w:rPr>
              <w:t>国家主管部门政策解答：“由</w:t>
            </w:r>
            <w:r w:rsidR="00A903B2" w:rsidRPr="00A903B2">
              <w:rPr>
                <w:rFonts w:hint="eastAsia"/>
              </w:rPr>
              <w:t>钐钴永磁材料、含</w:t>
            </w:r>
            <w:proofErr w:type="gramStart"/>
            <w:r w:rsidR="00A903B2" w:rsidRPr="00A903B2">
              <w:rPr>
                <w:rFonts w:hint="eastAsia"/>
              </w:rPr>
              <w:t>铽</w:t>
            </w:r>
            <w:proofErr w:type="gramEnd"/>
            <w:r w:rsidR="00A903B2" w:rsidRPr="00A903B2">
              <w:rPr>
                <w:rFonts w:hint="eastAsia"/>
              </w:rPr>
              <w:t>的钕铁硼永磁材料、含</w:t>
            </w:r>
            <w:proofErr w:type="gramStart"/>
            <w:r w:rsidR="00A903B2" w:rsidRPr="00A903B2">
              <w:rPr>
                <w:rFonts w:hint="eastAsia"/>
              </w:rPr>
              <w:t>镝</w:t>
            </w:r>
            <w:proofErr w:type="gramEnd"/>
            <w:r w:rsidR="00A903B2" w:rsidRPr="00A903B2">
              <w:rPr>
                <w:rFonts w:hint="eastAsia"/>
              </w:rPr>
              <w:t>的钕铁硼永磁材料</w:t>
            </w:r>
            <w:r w:rsidR="000B7E1C" w:rsidRPr="000B7E1C">
              <w:rPr>
                <w:rFonts w:hint="eastAsia"/>
              </w:rPr>
              <w:t>进一步深度加工形成的电子元器件（如电机）或电子产品（如扬声器、耳机等），不属于管制范围</w:t>
            </w:r>
            <w:r w:rsidR="000B7E1C">
              <w:rPr>
                <w:rFonts w:hint="eastAsia"/>
              </w:rPr>
              <w:t>”、“</w:t>
            </w:r>
            <w:r w:rsidR="000B7E1C" w:rsidRPr="000B7E1C">
              <w:rPr>
                <w:rFonts w:hint="eastAsia"/>
              </w:rPr>
              <w:t>荧光粉、催化材料（如</w:t>
            </w:r>
            <w:r w:rsidR="004460E0">
              <w:rPr>
                <w:rFonts w:hint="eastAsia"/>
              </w:rPr>
              <w:t>‘</w:t>
            </w:r>
            <w:r w:rsidR="000B7E1C" w:rsidRPr="000B7E1C">
              <w:rPr>
                <w:rFonts w:hint="eastAsia"/>
              </w:rPr>
              <w:t>汽车用触媒</w:t>
            </w:r>
            <w:r w:rsidR="004460E0">
              <w:rPr>
                <w:rFonts w:hint="eastAsia"/>
              </w:rPr>
              <w:t>’</w:t>
            </w:r>
            <w:r w:rsidR="000B7E1C" w:rsidRPr="000B7E1C">
              <w:rPr>
                <w:rFonts w:hint="eastAsia"/>
              </w:rPr>
              <w:t>）、晶体材料（如</w:t>
            </w:r>
            <w:r w:rsidR="004460E0">
              <w:rPr>
                <w:rFonts w:hint="eastAsia"/>
              </w:rPr>
              <w:t>‘</w:t>
            </w:r>
            <w:r w:rsidR="000B7E1C" w:rsidRPr="000B7E1C">
              <w:rPr>
                <w:rFonts w:hint="eastAsia"/>
              </w:rPr>
              <w:t>硅酸镥钇光学晶体</w:t>
            </w:r>
            <w:r w:rsidR="004460E0">
              <w:rPr>
                <w:rFonts w:hint="eastAsia"/>
              </w:rPr>
              <w:t>’</w:t>
            </w:r>
            <w:r w:rsidR="000B7E1C" w:rsidRPr="000B7E1C">
              <w:rPr>
                <w:rFonts w:hint="eastAsia"/>
              </w:rPr>
              <w:t>）、陶瓷材料（如</w:t>
            </w:r>
            <w:r w:rsidR="004460E0">
              <w:rPr>
                <w:rFonts w:hint="eastAsia"/>
              </w:rPr>
              <w:t>‘</w:t>
            </w:r>
            <w:r w:rsidR="000B7E1C" w:rsidRPr="000B7E1C">
              <w:rPr>
                <w:rFonts w:hint="eastAsia"/>
              </w:rPr>
              <w:t>钇锆合金</w:t>
            </w:r>
            <w:r w:rsidR="004460E0">
              <w:rPr>
                <w:rFonts w:hint="eastAsia"/>
              </w:rPr>
              <w:t>’‘</w:t>
            </w:r>
            <w:r w:rsidR="000B7E1C" w:rsidRPr="000B7E1C">
              <w:rPr>
                <w:rFonts w:hint="eastAsia"/>
              </w:rPr>
              <w:t>全磁义齿用氧化锆瓷块</w:t>
            </w:r>
            <w:r w:rsidR="004460E0">
              <w:rPr>
                <w:rFonts w:hint="eastAsia"/>
              </w:rPr>
              <w:t>’‘</w:t>
            </w:r>
            <w:r w:rsidR="000B7E1C" w:rsidRPr="000B7E1C">
              <w:rPr>
                <w:rFonts w:hint="eastAsia"/>
              </w:rPr>
              <w:t>陶瓷增白剂</w:t>
            </w:r>
            <w:r w:rsidR="004460E0">
              <w:rPr>
                <w:rFonts w:hint="eastAsia"/>
              </w:rPr>
              <w:t>’‘</w:t>
            </w:r>
            <w:r w:rsidR="000B7E1C" w:rsidRPr="000B7E1C">
              <w:rPr>
                <w:rFonts w:hint="eastAsia"/>
              </w:rPr>
              <w:t>热喷涂粉末</w:t>
            </w:r>
            <w:r w:rsidR="004460E0">
              <w:rPr>
                <w:rFonts w:hint="eastAsia"/>
              </w:rPr>
              <w:t>’‘</w:t>
            </w:r>
            <w:r w:rsidR="000B7E1C" w:rsidRPr="000B7E1C">
              <w:rPr>
                <w:rFonts w:hint="eastAsia"/>
              </w:rPr>
              <w:t>钇稳定氧化锆粉末</w:t>
            </w:r>
            <w:r w:rsidR="004460E0">
              <w:rPr>
                <w:rFonts w:hint="eastAsia"/>
              </w:rPr>
              <w:t>’</w:t>
            </w:r>
            <w:r w:rsidR="000B7E1C" w:rsidRPr="000B7E1C">
              <w:rPr>
                <w:rFonts w:hint="eastAsia"/>
              </w:rPr>
              <w:t>）等稀土下游功能材料不属于中重稀土物项管制范围</w:t>
            </w:r>
            <w:r w:rsidR="000B7E1C">
              <w:rPr>
                <w:rFonts w:hint="eastAsia"/>
              </w:rPr>
              <w:t>”</w:t>
            </w:r>
            <w:r>
              <w:rPr>
                <w:rFonts w:hint="eastAsia"/>
              </w:rPr>
              <w:t>。整体来看，</w:t>
            </w:r>
            <w:r w:rsidR="003751F0" w:rsidRPr="003751F0">
              <w:rPr>
                <w:rFonts w:hint="eastAsia"/>
              </w:rPr>
              <w:t>受上游原料供应集中度进一步提升及增量预期放缓，以及下游消费需求预期增长等因素影响，稀土主要产品价格走势向好。尽管近期加征关税等因素引发市场对整体消费需求的担忧，影响主要稀土产品价格有所回调，但下跌幅度有限。随着政策的逐步明朗，预期后市将向好发展</w:t>
            </w:r>
            <w:r>
              <w:rPr>
                <w:rFonts w:hint="eastAsia"/>
              </w:rPr>
              <w:t>。</w:t>
            </w:r>
          </w:p>
          <w:p w14:paraId="20B462D8" w14:textId="212574C1" w:rsidR="006D761D" w:rsidRDefault="00A903B2" w:rsidP="006D761D">
            <w:pPr>
              <w:spacing w:beforeLines="50" w:before="156"/>
              <w:ind w:firstLineChars="200" w:firstLine="420"/>
            </w:pPr>
            <w:r>
              <w:rPr>
                <w:rFonts w:hint="eastAsia"/>
              </w:rPr>
              <w:t>3</w:t>
            </w:r>
            <w:r w:rsidR="001A09A4">
              <w:rPr>
                <w:rFonts w:hint="eastAsia"/>
              </w:rPr>
              <w:t>、</w:t>
            </w:r>
            <w:r w:rsidR="006D761D">
              <w:rPr>
                <w:rFonts w:hint="eastAsia"/>
              </w:rPr>
              <w:t>公司在海外</w:t>
            </w:r>
            <w:proofErr w:type="gramStart"/>
            <w:r w:rsidR="006D761D">
              <w:rPr>
                <w:rFonts w:hint="eastAsia"/>
              </w:rPr>
              <w:t>开发锆钛资源</w:t>
            </w:r>
            <w:proofErr w:type="gramEnd"/>
            <w:r w:rsidR="006D761D">
              <w:rPr>
                <w:rFonts w:hint="eastAsia"/>
              </w:rPr>
              <w:t>后续的资本开支需要投入多少？</w:t>
            </w:r>
          </w:p>
          <w:p w14:paraId="61A0F543" w14:textId="08446B09" w:rsidR="006D761D" w:rsidRDefault="006D761D" w:rsidP="006D761D">
            <w:pPr>
              <w:spacing w:beforeLines="50" w:before="156"/>
              <w:ind w:firstLineChars="200" w:firstLine="420"/>
            </w:pPr>
            <w:r>
              <w:rPr>
                <w:rFonts w:hint="eastAsia"/>
              </w:rPr>
              <w:t>答：</w:t>
            </w:r>
            <w:r w:rsidR="00BE138D">
              <w:rPr>
                <w:rFonts w:hint="eastAsia"/>
              </w:rPr>
              <w:t>由于</w:t>
            </w:r>
            <w:r w:rsidR="00A903B2">
              <w:rPr>
                <w:rFonts w:hint="eastAsia"/>
              </w:rPr>
              <w:t>公司</w:t>
            </w:r>
            <w:proofErr w:type="gramStart"/>
            <w:r w:rsidR="00A903B2">
              <w:rPr>
                <w:rFonts w:hint="eastAsia"/>
              </w:rPr>
              <w:t>海外锆</w:t>
            </w:r>
            <w:r>
              <w:rPr>
                <w:rFonts w:hint="eastAsia"/>
              </w:rPr>
              <w:t>钛资源</w:t>
            </w:r>
            <w:proofErr w:type="gramEnd"/>
            <w:r>
              <w:rPr>
                <w:rFonts w:hint="eastAsia"/>
              </w:rPr>
              <w:t>项目</w:t>
            </w:r>
            <w:r w:rsidR="00BE138D">
              <w:rPr>
                <w:rFonts w:hint="eastAsia"/>
              </w:rPr>
              <w:t>属</w:t>
            </w:r>
            <w:r w:rsidR="004460E0">
              <w:rPr>
                <w:rFonts w:hint="eastAsia"/>
              </w:rPr>
              <w:t>重</w:t>
            </w:r>
            <w:r w:rsidR="00BE138D">
              <w:rPr>
                <w:rFonts w:hint="eastAsia"/>
              </w:rPr>
              <w:t>矿砂类型，采选难度较小，故对于设备等</w:t>
            </w:r>
            <w:r>
              <w:rPr>
                <w:rFonts w:hint="eastAsia"/>
              </w:rPr>
              <w:t>的资本开支</w:t>
            </w:r>
            <w:r w:rsidR="00BE138D">
              <w:rPr>
                <w:rFonts w:hint="eastAsia"/>
              </w:rPr>
              <w:t>强度较低，资本性支出</w:t>
            </w:r>
            <w:r w:rsidR="004460E0">
              <w:rPr>
                <w:rFonts w:hint="eastAsia"/>
              </w:rPr>
              <w:t>或</w:t>
            </w:r>
            <w:r>
              <w:rPr>
                <w:rFonts w:hint="eastAsia"/>
              </w:rPr>
              <w:t>主要集中在基础设施建设上</w:t>
            </w:r>
            <w:r w:rsidR="00A903B2">
              <w:rPr>
                <w:rFonts w:hint="eastAsia"/>
              </w:rPr>
              <w:t>（</w:t>
            </w:r>
            <w:r>
              <w:rPr>
                <w:rFonts w:hint="eastAsia"/>
              </w:rPr>
              <w:t>如</w:t>
            </w:r>
            <w:r w:rsidR="00A903B2">
              <w:rPr>
                <w:rFonts w:hint="eastAsia"/>
              </w:rPr>
              <w:t>马国项目</w:t>
            </w:r>
            <w:r>
              <w:rPr>
                <w:rFonts w:hint="eastAsia"/>
              </w:rPr>
              <w:t>可能需要修建简易码头</w:t>
            </w:r>
            <w:r w:rsidR="00A903B2">
              <w:rPr>
                <w:rFonts w:hint="eastAsia"/>
              </w:rPr>
              <w:t>以</w:t>
            </w:r>
            <w:r>
              <w:rPr>
                <w:rFonts w:hint="eastAsia"/>
              </w:rPr>
              <w:t>解决运输问题</w:t>
            </w:r>
            <w:r w:rsidR="00A903B2">
              <w:rPr>
                <w:rFonts w:hint="eastAsia"/>
              </w:rPr>
              <w:t>）</w:t>
            </w:r>
            <w:r w:rsidR="00BE138D">
              <w:rPr>
                <w:rFonts w:hint="eastAsia"/>
              </w:rPr>
              <w:t>，</w:t>
            </w:r>
            <w:r>
              <w:rPr>
                <w:rFonts w:hint="eastAsia"/>
              </w:rPr>
              <w:t>总体</w:t>
            </w:r>
            <w:r w:rsidR="00A903B2">
              <w:rPr>
                <w:rFonts w:hint="eastAsia"/>
              </w:rPr>
              <w:t>资本开支金额</w:t>
            </w:r>
            <w:r>
              <w:rPr>
                <w:rFonts w:hint="eastAsia"/>
              </w:rPr>
              <w:t>在公司可承受范围内</w:t>
            </w:r>
            <w:r w:rsidR="00A903B2">
              <w:rPr>
                <w:rFonts w:hint="eastAsia"/>
              </w:rPr>
              <w:t>且项目具备良好的经济</w:t>
            </w:r>
            <w:r w:rsidR="00BE138D">
              <w:rPr>
                <w:rFonts w:hint="eastAsia"/>
              </w:rPr>
              <w:t>可行性</w:t>
            </w:r>
            <w:r>
              <w:rPr>
                <w:rFonts w:hint="eastAsia"/>
              </w:rPr>
              <w:t>。</w:t>
            </w:r>
          </w:p>
          <w:p w14:paraId="136D257C" w14:textId="43CAEBE5" w:rsidR="000B620F" w:rsidRDefault="00A903B2" w:rsidP="000B620F">
            <w:pPr>
              <w:spacing w:after="0" w:line="240" w:lineRule="auto"/>
              <w:ind w:firstLineChars="200" w:firstLine="420"/>
              <w:contextualSpacing/>
            </w:pPr>
            <w:r>
              <w:rPr>
                <w:rFonts w:hint="eastAsia"/>
              </w:rPr>
              <w:t>4</w:t>
            </w:r>
            <w:r w:rsidR="00A46045" w:rsidRPr="00A46045">
              <w:rPr>
                <w:rFonts w:hint="eastAsia"/>
              </w:rPr>
              <w:t>、</w:t>
            </w:r>
            <w:r w:rsidR="000B620F">
              <w:rPr>
                <w:rFonts w:hint="eastAsia"/>
              </w:rPr>
              <w:t>公司一季度产量有所增长，预计</w:t>
            </w:r>
            <w:r w:rsidR="000B620F">
              <w:rPr>
                <w:rFonts w:hint="eastAsia"/>
              </w:rPr>
              <w:t>2025</w:t>
            </w:r>
            <w:r w:rsidR="000B620F">
              <w:rPr>
                <w:rFonts w:hint="eastAsia"/>
              </w:rPr>
              <w:t>年产量情况会继续增长吗？</w:t>
            </w:r>
          </w:p>
          <w:p w14:paraId="2F0CB863" w14:textId="7E9E4327" w:rsidR="00013509" w:rsidRDefault="000B620F" w:rsidP="000B620F">
            <w:pPr>
              <w:ind w:firstLineChars="200" w:firstLine="420"/>
            </w:pPr>
            <w:r>
              <w:rPr>
                <w:rFonts w:hint="eastAsia"/>
              </w:rPr>
              <w:t>答：</w:t>
            </w:r>
            <w:r w:rsidR="002001C1">
              <w:rPr>
                <w:rFonts w:hint="eastAsia"/>
              </w:rPr>
              <w:t>公司主要产品的产销量逐年攀升，</w:t>
            </w:r>
            <w:r w:rsidR="00BE138D">
              <w:rPr>
                <w:rFonts w:hint="eastAsia"/>
              </w:rPr>
              <w:t>后续</w:t>
            </w:r>
            <w:r w:rsidR="002001C1">
              <w:rPr>
                <w:rFonts w:hint="eastAsia"/>
              </w:rPr>
              <w:t>将通过收购、新建、技改等多种方式不断提升和优化自身的生产经营能力，</w:t>
            </w:r>
            <w:r w:rsidR="00BE138D">
              <w:rPr>
                <w:rFonts w:hint="eastAsia"/>
              </w:rPr>
              <w:t>伴随</w:t>
            </w:r>
            <w:r w:rsidR="004460E0">
              <w:rPr>
                <w:rFonts w:hint="eastAsia"/>
              </w:rPr>
              <w:t>着</w:t>
            </w:r>
            <w:r w:rsidR="002001C1">
              <w:rPr>
                <w:rFonts w:hint="eastAsia"/>
              </w:rPr>
              <w:t>上述</w:t>
            </w:r>
            <w:r>
              <w:rPr>
                <w:rFonts w:hint="eastAsia"/>
              </w:rPr>
              <w:t>新项目</w:t>
            </w:r>
            <w:r w:rsidR="00BE138D">
              <w:rPr>
                <w:rFonts w:hint="eastAsia"/>
              </w:rPr>
              <w:t>的陆续</w:t>
            </w:r>
            <w:r>
              <w:rPr>
                <w:rFonts w:hint="eastAsia"/>
              </w:rPr>
              <w:t>投产</w:t>
            </w:r>
            <w:r w:rsidR="00BE138D">
              <w:rPr>
                <w:rFonts w:hint="eastAsia"/>
              </w:rPr>
              <w:t>，预计公司主要产品的产销量将保持</w:t>
            </w:r>
            <w:r w:rsidR="002001C1">
              <w:rPr>
                <w:rFonts w:hint="eastAsia"/>
              </w:rPr>
              <w:t>持续</w:t>
            </w:r>
            <w:r w:rsidR="00BE138D">
              <w:rPr>
                <w:rFonts w:hint="eastAsia"/>
              </w:rPr>
              <w:t>增长势头。</w:t>
            </w:r>
          </w:p>
          <w:p w14:paraId="76065FEF" w14:textId="7D1611BC" w:rsidR="000B620F" w:rsidRDefault="00A903B2" w:rsidP="000B620F">
            <w:pPr>
              <w:ind w:firstLineChars="200" w:firstLine="420"/>
            </w:pPr>
            <w:r>
              <w:rPr>
                <w:rFonts w:hint="eastAsia"/>
              </w:rPr>
              <w:t>5</w:t>
            </w:r>
            <w:r w:rsidR="000B620F">
              <w:rPr>
                <w:rFonts w:hint="eastAsia"/>
              </w:rPr>
              <w:t>、公司目前的原料和成品的库存情况如何？未来的库存策略是</w:t>
            </w:r>
            <w:r w:rsidR="00BE138D">
              <w:rPr>
                <w:rFonts w:hint="eastAsia"/>
              </w:rPr>
              <w:t>怎样的</w:t>
            </w:r>
            <w:r w:rsidR="000B620F">
              <w:rPr>
                <w:rFonts w:hint="eastAsia"/>
              </w:rPr>
              <w:t>？</w:t>
            </w:r>
          </w:p>
          <w:p w14:paraId="4FEC09D0" w14:textId="52B36437" w:rsidR="000B620F" w:rsidRPr="000B620F" w:rsidRDefault="000B620F" w:rsidP="000B620F">
            <w:pPr>
              <w:ind w:firstLineChars="200" w:firstLine="420"/>
            </w:pPr>
            <w:r>
              <w:rPr>
                <w:rFonts w:hint="eastAsia"/>
              </w:rPr>
              <w:t>答：公司会</w:t>
            </w:r>
            <w:r w:rsidR="00BE138D">
              <w:rPr>
                <w:rFonts w:hint="eastAsia"/>
              </w:rPr>
              <w:t>在</w:t>
            </w:r>
            <w:r>
              <w:rPr>
                <w:rFonts w:hint="eastAsia"/>
              </w:rPr>
              <w:t>维持安全库存</w:t>
            </w:r>
            <w:r w:rsidR="00BE138D">
              <w:rPr>
                <w:rFonts w:hint="eastAsia"/>
              </w:rPr>
              <w:t>的基础上</w:t>
            </w:r>
            <w:r>
              <w:rPr>
                <w:rFonts w:hint="eastAsia"/>
              </w:rPr>
              <w:t>，根据</w:t>
            </w:r>
            <w:r w:rsidR="00BE138D">
              <w:rPr>
                <w:rFonts w:hint="eastAsia"/>
              </w:rPr>
              <w:t>对</w:t>
            </w:r>
            <w:r>
              <w:rPr>
                <w:rFonts w:hint="eastAsia"/>
              </w:rPr>
              <w:t>市场走势</w:t>
            </w:r>
            <w:r w:rsidR="00BE138D">
              <w:rPr>
                <w:rFonts w:hint="eastAsia"/>
              </w:rPr>
              <w:t>的合理</w:t>
            </w:r>
            <w:proofErr w:type="gramStart"/>
            <w:r w:rsidR="00BE138D">
              <w:rPr>
                <w:rFonts w:hint="eastAsia"/>
              </w:rPr>
              <w:t>研</w:t>
            </w:r>
            <w:proofErr w:type="gramEnd"/>
            <w:r w:rsidR="00BE138D">
              <w:rPr>
                <w:rFonts w:hint="eastAsia"/>
              </w:rPr>
              <w:t>判</w:t>
            </w:r>
            <w:r>
              <w:rPr>
                <w:rFonts w:hint="eastAsia"/>
              </w:rPr>
              <w:t>灵活调整库存</w:t>
            </w:r>
            <w:r w:rsidR="00BE138D">
              <w:rPr>
                <w:rFonts w:hint="eastAsia"/>
              </w:rPr>
              <w:t>策略</w:t>
            </w:r>
            <w:r>
              <w:rPr>
                <w:rFonts w:hint="eastAsia"/>
              </w:rPr>
              <w:t>，</w:t>
            </w:r>
            <w:r w:rsidR="00BE138D">
              <w:rPr>
                <w:rFonts w:hint="eastAsia"/>
              </w:rPr>
              <w:t>以期实现生产平稳及效益增厚的双重目标</w:t>
            </w:r>
            <w:r>
              <w:rPr>
                <w:rFonts w:hint="eastAsia"/>
              </w:rPr>
              <w:t>。</w:t>
            </w:r>
          </w:p>
        </w:tc>
      </w:tr>
      <w:tr w:rsidR="00AA3A2F" w14:paraId="63FA073E" w14:textId="77777777">
        <w:trPr>
          <w:jc w:val="center"/>
        </w:trPr>
        <w:tc>
          <w:tcPr>
            <w:tcW w:w="2547" w:type="dxa"/>
            <w:vAlign w:val="center"/>
          </w:tcPr>
          <w:p w14:paraId="3E908EEA" w14:textId="77777777" w:rsidR="00AA3A2F" w:rsidRDefault="00000000">
            <w:pPr>
              <w:spacing w:line="360" w:lineRule="auto"/>
              <w:jc w:val="center"/>
              <w:rPr>
                <w:rFonts w:ascii="宋体" w:hAnsi="宋体" w:hint="eastAsia"/>
                <w:b/>
                <w:bCs/>
                <w:iCs/>
                <w:color w:val="000000"/>
                <w:szCs w:val="21"/>
              </w:rPr>
            </w:pPr>
            <w:r>
              <w:rPr>
                <w:rFonts w:ascii="宋体" w:hAnsi="宋体" w:hint="eastAsia"/>
                <w:b/>
                <w:bCs/>
                <w:iCs/>
                <w:color w:val="000000"/>
                <w:szCs w:val="21"/>
              </w:rPr>
              <w:lastRenderedPageBreak/>
              <w:t xml:space="preserve"> </w:t>
            </w:r>
            <w:r>
              <w:rPr>
                <w:rFonts w:ascii="宋体" w:hAnsi="宋体"/>
                <w:b/>
                <w:bCs/>
                <w:iCs/>
                <w:color w:val="000000"/>
                <w:szCs w:val="21"/>
              </w:rPr>
              <w:t>附件清单（如有）</w:t>
            </w:r>
          </w:p>
        </w:tc>
        <w:tc>
          <w:tcPr>
            <w:tcW w:w="7088" w:type="dxa"/>
          </w:tcPr>
          <w:p w14:paraId="4AC789B0" w14:textId="77777777" w:rsidR="00AA3A2F" w:rsidRDefault="00000000">
            <w:pPr>
              <w:spacing w:line="360" w:lineRule="auto"/>
              <w:ind w:firstLineChars="50" w:firstLine="105"/>
              <w:jc w:val="center"/>
              <w:rPr>
                <w:rFonts w:ascii="宋体" w:hAnsi="宋体" w:hint="eastAsia"/>
                <w:bCs/>
                <w:iCs/>
                <w:color w:val="000000"/>
                <w:szCs w:val="21"/>
              </w:rPr>
            </w:pPr>
            <w:r>
              <w:rPr>
                <w:rFonts w:ascii="宋体" w:hAnsi="宋体" w:hint="eastAsia"/>
                <w:bCs/>
                <w:iCs/>
                <w:color w:val="000000"/>
                <w:szCs w:val="21"/>
              </w:rPr>
              <w:t>无</w:t>
            </w:r>
          </w:p>
        </w:tc>
      </w:tr>
      <w:tr w:rsidR="00AA3A2F" w14:paraId="5FCF1466" w14:textId="77777777">
        <w:trPr>
          <w:jc w:val="center"/>
        </w:trPr>
        <w:tc>
          <w:tcPr>
            <w:tcW w:w="2547" w:type="dxa"/>
            <w:vAlign w:val="center"/>
          </w:tcPr>
          <w:p w14:paraId="09F4BB5B" w14:textId="77777777" w:rsidR="00AA3A2F" w:rsidRDefault="00000000">
            <w:pPr>
              <w:spacing w:line="360" w:lineRule="auto"/>
              <w:jc w:val="center"/>
              <w:rPr>
                <w:rFonts w:ascii="宋体" w:hAnsi="宋体" w:hint="eastAsia"/>
                <w:b/>
                <w:bCs/>
                <w:iCs/>
                <w:color w:val="000000"/>
                <w:szCs w:val="21"/>
              </w:rPr>
            </w:pPr>
            <w:r>
              <w:rPr>
                <w:rFonts w:ascii="宋体" w:hAnsi="宋体"/>
                <w:b/>
                <w:bCs/>
                <w:iCs/>
                <w:color w:val="000000"/>
                <w:szCs w:val="21"/>
              </w:rPr>
              <w:lastRenderedPageBreak/>
              <w:t>日期</w:t>
            </w:r>
          </w:p>
        </w:tc>
        <w:tc>
          <w:tcPr>
            <w:tcW w:w="7088" w:type="dxa"/>
          </w:tcPr>
          <w:p w14:paraId="0CC43FC5" w14:textId="1CCBB4D8" w:rsidR="00AA3A2F" w:rsidRDefault="00000000">
            <w:pPr>
              <w:spacing w:line="360" w:lineRule="auto"/>
              <w:jc w:val="center"/>
              <w:rPr>
                <w:rFonts w:ascii="宋体" w:hAnsi="宋体" w:hint="eastAsia"/>
                <w:bCs/>
                <w:iCs/>
                <w:color w:val="000000"/>
                <w:szCs w:val="21"/>
              </w:rPr>
            </w:pPr>
            <w:r>
              <w:rPr>
                <w:rFonts w:ascii="宋体" w:hAnsi="宋体"/>
                <w:bCs/>
                <w:iCs/>
                <w:color w:val="000000"/>
                <w:szCs w:val="21"/>
              </w:rPr>
              <w:t>202</w:t>
            </w:r>
            <w:r>
              <w:rPr>
                <w:rFonts w:ascii="宋体" w:hAnsi="宋体" w:hint="eastAsia"/>
                <w:bCs/>
                <w:iCs/>
                <w:color w:val="000000"/>
                <w:szCs w:val="21"/>
              </w:rPr>
              <w:t>5年</w:t>
            </w:r>
            <w:r w:rsidR="006D761D">
              <w:rPr>
                <w:rFonts w:ascii="宋体" w:hAnsi="宋体" w:hint="eastAsia"/>
                <w:bCs/>
                <w:iCs/>
                <w:color w:val="000000"/>
                <w:szCs w:val="21"/>
              </w:rPr>
              <w:t>5</w:t>
            </w:r>
            <w:r>
              <w:rPr>
                <w:rFonts w:ascii="宋体" w:hAnsi="宋体" w:hint="eastAsia"/>
                <w:bCs/>
                <w:iCs/>
                <w:color w:val="000000"/>
                <w:szCs w:val="21"/>
              </w:rPr>
              <w:t>月</w:t>
            </w:r>
            <w:r w:rsidR="006D761D">
              <w:rPr>
                <w:rFonts w:ascii="宋体" w:hAnsi="宋体" w:hint="eastAsia"/>
                <w:bCs/>
                <w:iCs/>
                <w:color w:val="000000"/>
                <w:szCs w:val="21"/>
              </w:rPr>
              <w:t>7</w:t>
            </w:r>
            <w:r>
              <w:rPr>
                <w:rFonts w:ascii="宋体" w:hAnsi="宋体" w:hint="eastAsia"/>
                <w:bCs/>
                <w:iCs/>
                <w:color w:val="000000"/>
                <w:szCs w:val="21"/>
              </w:rPr>
              <w:t>日</w:t>
            </w:r>
          </w:p>
        </w:tc>
      </w:tr>
      <w:bookmarkEnd w:id="0"/>
    </w:tbl>
    <w:p w14:paraId="264E70DC" w14:textId="77777777" w:rsidR="00AA3A2F" w:rsidRDefault="00AA3A2F">
      <w:pPr>
        <w:widowControl/>
        <w:jc w:val="left"/>
        <w:rPr>
          <w:rFonts w:ascii="仿宋" w:eastAsia="仿宋" w:hAnsi="仿宋" w:hint="eastAsia"/>
          <w:sz w:val="28"/>
          <w:szCs w:val="28"/>
        </w:rPr>
      </w:pPr>
    </w:p>
    <w:sectPr w:rsidR="00AA3A2F">
      <w:footerReference w:type="even" r:id="rId8"/>
      <w:footerReference w:type="default" r:id="rId9"/>
      <w:pgSz w:w="11906" w:h="16838"/>
      <w:pgMar w:top="1701" w:right="1797" w:bottom="1134"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788C" w14:textId="77777777" w:rsidR="00AD3BBC" w:rsidRDefault="00AD3BBC">
      <w:pPr>
        <w:spacing w:after="0" w:line="240" w:lineRule="auto"/>
      </w:pPr>
      <w:r>
        <w:separator/>
      </w:r>
    </w:p>
  </w:endnote>
  <w:endnote w:type="continuationSeparator" w:id="0">
    <w:p w14:paraId="6FAFBDBA" w14:textId="77777777" w:rsidR="00AD3BBC" w:rsidRDefault="00AD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8579" w14:textId="77777777" w:rsidR="00AA3A2F" w:rsidRDefault="00000000">
    <w:pPr>
      <w:pStyle w:val="a8"/>
      <w:framePr w:wrap="around" w:vAnchor="text" w:hAnchor="margin" w:xAlign="center" w:y="1"/>
      <w:rPr>
        <w:rStyle w:val="ad"/>
      </w:rPr>
    </w:pPr>
    <w:r>
      <w:fldChar w:fldCharType="begin"/>
    </w:r>
    <w:r>
      <w:rPr>
        <w:rStyle w:val="ad"/>
      </w:rPr>
      <w:instrText xml:space="preserve">PAGE  </w:instrText>
    </w:r>
    <w:r>
      <w:fldChar w:fldCharType="end"/>
    </w:r>
  </w:p>
  <w:p w14:paraId="7FA730D8" w14:textId="77777777" w:rsidR="00AA3A2F" w:rsidRDefault="00AA3A2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2BE8" w14:textId="77777777" w:rsidR="00AA3A2F" w:rsidRDefault="00000000">
    <w:pPr>
      <w:pStyle w:val="a8"/>
      <w:framePr w:wrap="around" w:vAnchor="text" w:hAnchor="margin" w:xAlign="center" w:y="1"/>
      <w:rPr>
        <w:rStyle w:val="ad"/>
        <w:rFonts w:ascii="宋体" w:hAnsi="宋体" w:hint="eastAsia"/>
        <w:sz w:val="28"/>
        <w:szCs w:val="28"/>
      </w:rPr>
    </w:pPr>
    <w:r>
      <w:rPr>
        <w:rStyle w:val="ad"/>
        <w:rFonts w:ascii="宋体" w:hAnsi="宋体" w:hint="eastAsia"/>
        <w:sz w:val="28"/>
        <w:szCs w:val="28"/>
      </w:rPr>
      <w:t>—</w:t>
    </w:r>
    <w:r>
      <w:rPr>
        <w:rFonts w:ascii="宋体" w:hAnsi="宋体" w:hint="eastAsia"/>
        <w:sz w:val="28"/>
        <w:szCs w:val="28"/>
      </w:rPr>
      <w:fldChar w:fldCharType="begin"/>
    </w:r>
    <w:r>
      <w:rPr>
        <w:rStyle w:val="ad"/>
        <w:rFonts w:ascii="宋体" w:hAnsi="宋体" w:hint="eastAsia"/>
        <w:sz w:val="28"/>
        <w:szCs w:val="28"/>
      </w:rPr>
      <w:instrText xml:space="preserve">PAGE  </w:instrText>
    </w:r>
    <w:r>
      <w:rPr>
        <w:rFonts w:ascii="宋体" w:hAnsi="宋体" w:hint="eastAsia"/>
        <w:sz w:val="28"/>
        <w:szCs w:val="28"/>
      </w:rPr>
      <w:fldChar w:fldCharType="separate"/>
    </w:r>
    <w:r>
      <w:rPr>
        <w:rStyle w:val="ad"/>
        <w:rFonts w:ascii="宋体" w:hAnsi="宋体"/>
        <w:sz w:val="28"/>
        <w:szCs w:val="28"/>
      </w:rPr>
      <w:t>2</w:t>
    </w:r>
    <w:r>
      <w:rPr>
        <w:rFonts w:ascii="宋体" w:hAnsi="宋体" w:hint="eastAsia"/>
        <w:sz w:val="28"/>
        <w:szCs w:val="28"/>
      </w:rPr>
      <w:fldChar w:fldCharType="end"/>
    </w:r>
    <w:r>
      <w:rPr>
        <w:rStyle w:val="ad"/>
        <w:rFonts w:ascii="宋体" w:hAnsi="宋体" w:hint="eastAsia"/>
        <w:sz w:val="28"/>
        <w:szCs w:val="28"/>
      </w:rPr>
      <w:t>—</w:t>
    </w:r>
  </w:p>
  <w:p w14:paraId="16671FD4" w14:textId="77777777" w:rsidR="00AA3A2F" w:rsidRDefault="00AA3A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3B2C" w14:textId="77777777" w:rsidR="00AD3BBC" w:rsidRDefault="00AD3BBC">
      <w:pPr>
        <w:spacing w:after="0" w:line="240" w:lineRule="auto"/>
      </w:pPr>
      <w:r>
        <w:separator/>
      </w:r>
    </w:p>
  </w:footnote>
  <w:footnote w:type="continuationSeparator" w:id="0">
    <w:p w14:paraId="7DD36596" w14:textId="77777777" w:rsidR="00AD3BBC" w:rsidRDefault="00AD3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C5EE0"/>
    <w:multiLevelType w:val="hybridMultilevel"/>
    <w:tmpl w:val="87E047E8"/>
    <w:lvl w:ilvl="0" w:tplc="F258AF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50B2104"/>
    <w:multiLevelType w:val="multilevel"/>
    <w:tmpl w:val="650B2104"/>
    <w:lvl w:ilvl="0">
      <w:start w:val="1"/>
      <w:numFmt w:val="decimal"/>
      <w:lvlText w:val="%1、"/>
      <w:lvlJc w:val="left"/>
      <w:pPr>
        <w:ind w:left="78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5925F05"/>
    <w:multiLevelType w:val="multilevel"/>
    <w:tmpl w:val="65925F05"/>
    <w:lvl w:ilvl="0">
      <w:start w:val="4"/>
      <w:numFmt w:val="decimal"/>
      <w:lvlText w:val="%1、"/>
      <w:lvlJc w:val="left"/>
      <w:pPr>
        <w:ind w:left="78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66280278">
    <w:abstractNumId w:val="1"/>
  </w:num>
  <w:num w:numId="2" w16cid:durableId="276638805">
    <w:abstractNumId w:val="2"/>
  </w:num>
  <w:num w:numId="3" w16cid:durableId="2217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U3YWU0ODljM2NmZjU5OGNmMjFkOGY5YmJkOTk2ODUifQ=="/>
  </w:docVars>
  <w:rsids>
    <w:rsidRoot w:val="00953981"/>
    <w:rsid w:val="0001203A"/>
    <w:rsid w:val="00013509"/>
    <w:rsid w:val="00036947"/>
    <w:rsid w:val="000532C1"/>
    <w:rsid w:val="000550EB"/>
    <w:rsid w:val="0007285A"/>
    <w:rsid w:val="000731BB"/>
    <w:rsid w:val="00081574"/>
    <w:rsid w:val="000A4871"/>
    <w:rsid w:val="000A6FEC"/>
    <w:rsid w:val="000B37B1"/>
    <w:rsid w:val="000B620F"/>
    <w:rsid w:val="000B7E1C"/>
    <w:rsid w:val="000D7761"/>
    <w:rsid w:val="00126512"/>
    <w:rsid w:val="00176F31"/>
    <w:rsid w:val="00177EC3"/>
    <w:rsid w:val="00180568"/>
    <w:rsid w:val="001A04B5"/>
    <w:rsid w:val="001A09A4"/>
    <w:rsid w:val="001C1D99"/>
    <w:rsid w:val="001F4540"/>
    <w:rsid w:val="002001C1"/>
    <w:rsid w:val="00214702"/>
    <w:rsid w:val="0023626F"/>
    <w:rsid w:val="00273F00"/>
    <w:rsid w:val="00295305"/>
    <w:rsid w:val="002B7B99"/>
    <w:rsid w:val="002E1978"/>
    <w:rsid w:val="002F790C"/>
    <w:rsid w:val="0031359B"/>
    <w:rsid w:val="003543E6"/>
    <w:rsid w:val="003635FB"/>
    <w:rsid w:val="003751F0"/>
    <w:rsid w:val="003E0D6D"/>
    <w:rsid w:val="003F075D"/>
    <w:rsid w:val="00431FFB"/>
    <w:rsid w:val="004460E0"/>
    <w:rsid w:val="004C55DA"/>
    <w:rsid w:val="004D4ECC"/>
    <w:rsid w:val="004E149C"/>
    <w:rsid w:val="004E7079"/>
    <w:rsid w:val="004F5FC7"/>
    <w:rsid w:val="00503F30"/>
    <w:rsid w:val="00593A9B"/>
    <w:rsid w:val="005B097F"/>
    <w:rsid w:val="005B151D"/>
    <w:rsid w:val="005C1E93"/>
    <w:rsid w:val="005F33F1"/>
    <w:rsid w:val="0060780A"/>
    <w:rsid w:val="00621A53"/>
    <w:rsid w:val="006401DD"/>
    <w:rsid w:val="00650410"/>
    <w:rsid w:val="00656C48"/>
    <w:rsid w:val="00676A4E"/>
    <w:rsid w:val="00681D44"/>
    <w:rsid w:val="006924FD"/>
    <w:rsid w:val="006D761D"/>
    <w:rsid w:val="007549ED"/>
    <w:rsid w:val="0077568A"/>
    <w:rsid w:val="007A7D5B"/>
    <w:rsid w:val="007C2390"/>
    <w:rsid w:val="007C5823"/>
    <w:rsid w:val="007D4949"/>
    <w:rsid w:val="007E1E56"/>
    <w:rsid w:val="007E4551"/>
    <w:rsid w:val="007E7F4E"/>
    <w:rsid w:val="007F5049"/>
    <w:rsid w:val="007F51F0"/>
    <w:rsid w:val="00814133"/>
    <w:rsid w:val="008359E8"/>
    <w:rsid w:val="00836509"/>
    <w:rsid w:val="00871D04"/>
    <w:rsid w:val="0089239A"/>
    <w:rsid w:val="008C3B4A"/>
    <w:rsid w:val="008C44AA"/>
    <w:rsid w:val="008D5F92"/>
    <w:rsid w:val="008F346F"/>
    <w:rsid w:val="00905BC4"/>
    <w:rsid w:val="009456A9"/>
    <w:rsid w:val="00953981"/>
    <w:rsid w:val="009628D4"/>
    <w:rsid w:val="00992AD5"/>
    <w:rsid w:val="009B0861"/>
    <w:rsid w:val="009F4110"/>
    <w:rsid w:val="009F45A2"/>
    <w:rsid w:val="00A05D19"/>
    <w:rsid w:val="00A103B1"/>
    <w:rsid w:val="00A130E2"/>
    <w:rsid w:val="00A30EA4"/>
    <w:rsid w:val="00A46045"/>
    <w:rsid w:val="00A4725A"/>
    <w:rsid w:val="00A540D5"/>
    <w:rsid w:val="00A903B2"/>
    <w:rsid w:val="00AA3A2F"/>
    <w:rsid w:val="00AB65AE"/>
    <w:rsid w:val="00AC431B"/>
    <w:rsid w:val="00AD3BBC"/>
    <w:rsid w:val="00AE0CFB"/>
    <w:rsid w:val="00AE58F2"/>
    <w:rsid w:val="00AF6245"/>
    <w:rsid w:val="00B0411F"/>
    <w:rsid w:val="00B10F99"/>
    <w:rsid w:val="00B22C28"/>
    <w:rsid w:val="00B23358"/>
    <w:rsid w:val="00B34641"/>
    <w:rsid w:val="00B61496"/>
    <w:rsid w:val="00B61558"/>
    <w:rsid w:val="00B65884"/>
    <w:rsid w:val="00B943F5"/>
    <w:rsid w:val="00BB0618"/>
    <w:rsid w:val="00BC283B"/>
    <w:rsid w:val="00BE138D"/>
    <w:rsid w:val="00BF20BB"/>
    <w:rsid w:val="00C00ED0"/>
    <w:rsid w:val="00C037C8"/>
    <w:rsid w:val="00C125C5"/>
    <w:rsid w:val="00C3495A"/>
    <w:rsid w:val="00C40C24"/>
    <w:rsid w:val="00C655A8"/>
    <w:rsid w:val="00C73011"/>
    <w:rsid w:val="00C74CFE"/>
    <w:rsid w:val="00C8030F"/>
    <w:rsid w:val="00CC0983"/>
    <w:rsid w:val="00CE0A43"/>
    <w:rsid w:val="00CE6605"/>
    <w:rsid w:val="00D03E6A"/>
    <w:rsid w:val="00D0557B"/>
    <w:rsid w:val="00D15A3A"/>
    <w:rsid w:val="00D16C08"/>
    <w:rsid w:val="00D23B76"/>
    <w:rsid w:val="00D346BD"/>
    <w:rsid w:val="00D35C68"/>
    <w:rsid w:val="00D41450"/>
    <w:rsid w:val="00D53AA6"/>
    <w:rsid w:val="00D5647D"/>
    <w:rsid w:val="00D70AE6"/>
    <w:rsid w:val="00D74D49"/>
    <w:rsid w:val="00DA7E5B"/>
    <w:rsid w:val="00DB45D0"/>
    <w:rsid w:val="00DE22B5"/>
    <w:rsid w:val="00E31F4A"/>
    <w:rsid w:val="00E62C0E"/>
    <w:rsid w:val="00E877F5"/>
    <w:rsid w:val="00E91845"/>
    <w:rsid w:val="00E92BDF"/>
    <w:rsid w:val="00EA062D"/>
    <w:rsid w:val="00EC0E1C"/>
    <w:rsid w:val="00EC289B"/>
    <w:rsid w:val="00ED31BF"/>
    <w:rsid w:val="00F273B8"/>
    <w:rsid w:val="00F4436E"/>
    <w:rsid w:val="00F536E6"/>
    <w:rsid w:val="00F619A6"/>
    <w:rsid w:val="00F72C4E"/>
    <w:rsid w:val="00F958D0"/>
    <w:rsid w:val="00FA38A8"/>
    <w:rsid w:val="00FA7A09"/>
    <w:rsid w:val="00FB5270"/>
    <w:rsid w:val="00FD2C33"/>
    <w:rsid w:val="035E62A9"/>
    <w:rsid w:val="0C1C4875"/>
    <w:rsid w:val="0ECB5A9B"/>
    <w:rsid w:val="1E38504E"/>
    <w:rsid w:val="222A111F"/>
    <w:rsid w:val="2C0B44D1"/>
    <w:rsid w:val="36C22E36"/>
    <w:rsid w:val="3A8638A8"/>
    <w:rsid w:val="3ED65E91"/>
    <w:rsid w:val="41C10393"/>
    <w:rsid w:val="4599357F"/>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BBCCD"/>
  <w15:docId w15:val="{A862A691-D649-4F97-9F98-45579B7A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28"/>
    </w:rPr>
  </w:style>
  <w:style w:type="paragraph" w:styleId="a5">
    <w:name w:val="Date"/>
    <w:basedOn w:val="a"/>
    <w:next w:val="a"/>
    <w:qFormat/>
    <w:pPr>
      <w:ind w:leftChars="2500" w:left="10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Pr>
      <w:rFonts w:ascii="Calibri" w:hAnsi="Calibri"/>
      <w:sz w:val="24"/>
    </w:rPr>
  </w:style>
  <w:style w:type="table" w:styleId="ab">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page number"/>
    <w:qFormat/>
  </w:style>
  <w:style w:type="character" w:styleId="ae">
    <w:name w:val="Emphasis"/>
    <w:qFormat/>
    <w:rPr>
      <w:i/>
    </w:rPr>
  </w:style>
  <w:style w:type="character" w:styleId="af">
    <w:name w:val="Hyperlink"/>
    <w:uiPriority w:val="99"/>
    <w:qFormat/>
    <w:rPr>
      <w:rFonts w:cs="Times New Roman"/>
      <w:color w:val="0000FF"/>
      <w:u w:val="single"/>
    </w:rPr>
  </w:style>
  <w:style w:type="character" w:customStyle="1" w:styleId="10">
    <w:name w:val="标题 1 字符"/>
    <w:link w:val="1"/>
    <w:uiPriority w:val="9"/>
    <w:qFormat/>
    <w:rPr>
      <w:rFonts w:ascii="Calibri" w:hAnsi="Calibri"/>
      <w:b/>
      <w:bCs/>
      <w:kern w:val="44"/>
      <w:sz w:val="44"/>
      <w:szCs w:val="44"/>
    </w:rPr>
  </w:style>
  <w:style w:type="character" w:customStyle="1" w:styleId="20">
    <w:name w:val="标题 2 字符"/>
    <w:link w:val="2"/>
    <w:uiPriority w:val="9"/>
    <w:qFormat/>
    <w:rPr>
      <w:rFonts w:ascii="Calibri Light" w:hAnsi="Calibri Light"/>
      <w:b/>
      <w:bCs/>
      <w:kern w:val="2"/>
      <w:sz w:val="32"/>
      <w:szCs w:val="32"/>
    </w:rPr>
  </w:style>
  <w:style w:type="character" w:customStyle="1" w:styleId="a4">
    <w:name w:val="正文文本 字符"/>
    <w:link w:val="a3"/>
    <w:qFormat/>
    <w:rPr>
      <w:kern w:val="2"/>
      <w:sz w:val="28"/>
      <w:szCs w:val="24"/>
    </w:rPr>
  </w:style>
  <w:style w:type="character" w:customStyle="1" w:styleId="a7">
    <w:name w:val="批注框文本 字符"/>
    <w:link w:val="a6"/>
    <w:qFormat/>
    <w:rPr>
      <w:kern w:val="2"/>
      <w:sz w:val="18"/>
      <w:szCs w:val="18"/>
    </w:rPr>
  </w:style>
  <w:style w:type="paragraph" w:styleId="af0">
    <w:name w:val="List Paragraph"/>
    <w:basedOn w:val="a"/>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msolistparagraph0">
    <w:name w:val="msolistparagraph"/>
    <w:basedOn w:val="a"/>
    <w:qFormat/>
    <w:pPr>
      <w:ind w:firstLineChars="200" w:firstLine="420"/>
    </w:pPr>
    <w:rPr>
      <w:rFonts w:ascii="Calibri" w:hAnsi="Calibri"/>
      <w:szCs w:val="21"/>
    </w:rPr>
  </w:style>
  <w:style w:type="paragraph" w:styleId="af1">
    <w:name w:val="Revision"/>
    <w:hidden/>
    <w:uiPriority w:val="99"/>
    <w:unhideWhenUsed/>
    <w:rsid w:val="00836509"/>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2108">
      <w:bodyDiv w:val="1"/>
      <w:marLeft w:val="0"/>
      <w:marRight w:val="0"/>
      <w:marTop w:val="0"/>
      <w:marBottom w:val="0"/>
      <w:divBdr>
        <w:top w:val="none" w:sz="0" w:space="0" w:color="auto"/>
        <w:left w:val="none" w:sz="0" w:space="0" w:color="auto"/>
        <w:bottom w:val="none" w:sz="0" w:space="0" w:color="auto"/>
        <w:right w:val="none" w:sz="0" w:space="0" w:color="auto"/>
      </w:divBdr>
    </w:div>
    <w:div w:id="1018122539">
      <w:bodyDiv w:val="1"/>
      <w:marLeft w:val="0"/>
      <w:marRight w:val="0"/>
      <w:marTop w:val="0"/>
      <w:marBottom w:val="0"/>
      <w:divBdr>
        <w:top w:val="none" w:sz="0" w:space="0" w:color="auto"/>
        <w:left w:val="none" w:sz="0" w:space="0" w:color="auto"/>
        <w:bottom w:val="none" w:sz="0" w:space="0" w:color="auto"/>
        <w:right w:val="none" w:sz="0" w:space="0" w:color="auto"/>
      </w:divBdr>
    </w:div>
    <w:div w:id="1235161307">
      <w:bodyDiv w:val="1"/>
      <w:marLeft w:val="0"/>
      <w:marRight w:val="0"/>
      <w:marTop w:val="0"/>
      <w:marBottom w:val="0"/>
      <w:divBdr>
        <w:top w:val="none" w:sz="0" w:space="0" w:color="auto"/>
        <w:left w:val="none" w:sz="0" w:space="0" w:color="auto"/>
        <w:bottom w:val="none" w:sz="0" w:space="0" w:color="auto"/>
        <w:right w:val="none" w:sz="0" w:space="0" w:color="auto"/>
      </w:divBdr>
    </w:div>
    <w:div w:id="186012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1534</Characters>
  <Application>Microsoft Office Word</Application>
  <DocSecurity>0</DocSecurity>
  <Lines>59</Lines>
  <Paragraphs>37</Paragraphs>
  <ScaleCrop>false</ScaleCrop>
  <Company>SC</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四川省上市公司协会文件</dc:title>
  <dc:creator>Li</dc:creator>
  <cp:lastModifiedBy>yx sun</cp:lastModifiedBy>
  <cp:revision>2</cp:revision>
  <cp:lastPrinted>2010-08-04T06:50:00Z</cp:lastPrinted>
  <dcterms:created xsi:type="dcterms:W3CDTF">2025-05-08T02:45:00Z</dcterms:created>
  <dcterms:modified xsi:type="dcterms:W3CDTF">2025-05-08T02:45:00Z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B971AA8E5BE54E9C8AB82D49A6664F65_13</vt:lpwstr>
  </property>
</Properties>
</file>