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bookmarkStart w:id="8" w:name="_GoBack"/>
      <w:bookmarkEnd w:id="8"/>
      <w:r>
        <w:rPr>
          <w:rFonts w:hint="eastAsia"/>
        </w:rPr>
        <w:t>重庆望变电气（集团）股份有限公司</w:t>
      </w:r>
    </w:p>
    <w:p>
      <w:pPr>
        <w:pStyle w:val="2"/>
        <w:jc w:val="center"/>
      </w:pPr>
      <w:r>
        <w:rPr>
          <w:rFonts w:hint="eastAsia"/>
        </w:rPr>
        <w:t>投资者关系活动记录表</w:t>
      </w:r>
    </w:p>
    <w:tbl>
      <w:tblPr>
        <w:tblStyle w:val="13"/>
        <w:tblW w:w="8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3"/>
        <w:gridCol w:w="2910"/>
        <w:gridCol w:w="3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8" w:hRule="atLeast"/>
          <w:jc w:val="center"/>
        </w:trPr>
        <w:tc>
          <w:tcPr>
            <w:tcW w:w="2533" w:type="dxa"/>
            <w:tcBorders>
              <w:right w:val="single" w:color="auto" w:sz="4" w:space="0"/>
            </w:tcBorders>
          </w:tcPr>
          <w:p>
            <w:pPr>
              <w:spacing w:line="360" w:lineRule="auto"/>
              <w:jc w:val="center"/>
              <w:rPr>
                <w:b/>
                <w:bCs/>
                <w:sz w:val="24"/>
                <w:szCs w:val="32"/>
              </w:rPr>
            </w:pPr>
          </w:p>
          <w:p>
            <w:pPr>
              <w:spacing w:line="360" w:lineRule="auto"/>
              <w:jc w:val="center"/>
              <w:rPr>
                <w:b/>
                <w:bCs/>
                <w:sz w:val="24"/>
                <w:szCs w:val="32"/>
              </w:rPr>
            </w:pPr>
          </w:p>
          <w:p>
            <w:pPr>
              <w:spacing w:line="360" w:lineRule="auto"/>
              <w:jc w:val="center"/>
              <w:rPr>
                <w:b/>
                <w:bCs/>
                <w:sz w:val="24"/>
                <w:szCs w:val="32"/>
              </w:rPr>
            </w:pPr>
          </w:p>
          <w:p>
            <w:pPr>
              <w:spacing w:line="360" w:lineRule="auto"/>
              <w:jc w:val="center"/>
              <w:rPr>
                <w:b/>
                <w:bCs/>
                <w:sz w:val="24"/>
                <w:szCs w:val="32"/>
              </w:rPr>
            </w:pPr>
          </w:p>
          <w:p>
            <w:pPr>
              <w:spacing w:line="360" w:lineRule="auto"/>
              <w:jc w:val="center"/>
              <w:rPr>
                <w:b/>
                <w:bCs/>
                <w:sz w:val="24"/>
                <w:szCs w:val="32"/>
              </w:rPr>
            </w:pPr>
          </w:p>
          <w:p>
            <w:pPr>
              <w:spacing w:line="360" w:lineRule="auto"/>
              <w:jc w:val="center"/>
              <w:rPr>
                <w:rFonts w:ascii="仿宋" w:hAnsi="仿宋" w:eastAsia="仿宋" w:cs="仿宋"/>
                <w:b/>
                <w:bCs/>
                <w:spacing w:val="-2"/>
                <w:sz w:val="28"/>
                <w:szCs w:val="28"/>
              </w:rPr>
            </w:pPr>
            <w:r>
              <w:rPr>
                <w:rFonts w:hint="eastAsia" w:ascii="仿宋" w:hAnsi="仿宋" w:eastAsia="仿宋" w:cs="仿宋"/>
                <w:b/>
                <w:bCs/>
                <w:spacing w:val="-2"/>
                <w:sz w:val="28"/>
                <w:szCs w:val="28"/>
              </w:rPr>
              <w:t>投资者关系</w:t>
            </w:r>
          </w:p>
          <w:p>
            <w:pPr>
              <w:spacing w:line="360" w:lineRule="auto"/>
              <w:jc w:val="center"/>
              <w:rPr>
                <w:b/>
                <w:bCs/>
                <w:sz w:val="24"/>
                <w:szCs w:val="32"/>
              </w:rPr>
            </w:pPr>
            <w:r>
              <w:rPr>
                <w:rFonts w:hint="eastAsia" w:ascii="仿宋" w:hAnsi="仿宋" w:eastAsia="仿宋" w:cs="仿宋"/>
                <w:b/>
                <w:bCs/>
                <w:spacing w:val="-2"/>
                <w:sz w:val="28"/>
                <w:szCs w:val="28"/>
              </w:rPr>
              <w:t>活动类别</w:t>
            </w:r>
          </w:p>
        </w:tc>
        <w:tc>
          <w:tcPr>
            <w:tcW w:w="2910" w:type="dxa"/>
            <w:tcBorders>
              <w:top w:val="single" w:color="auto" w:sz="4" w:space="0"/>
              <w:left w:val="single" w:color="auto" w:sz="4" w:space="0"/>
              <w:bottom w:val="single" w:color="auto" w:sz="4" w:space="0"/>
              <w:right w:val="nil"/>
            </w:tcBorders>
          </w:tcPr>
          <w:p>
            <w:pPr>
              <w:spacing w:before="57" w:line="360" w:lineRule="auto"/>
              <w:jc w:val="left"/>
              <w:rPr>
                <w:rFonts w:ascii="仿宋" w:hAnsi="仿宋" w:eastAsia="仿宋" w:cs="仿宋"/>
                <w:sz w:val="28"/>
                <w:szCs w:val="28"/>
              </w:rPr>
            </w:pPr>
            <w:r>
              <w:rPr>
                <w:rFonts w:hint="eastAsia" w:ascii="仿宋" w:hAnsi="仿宋" w:eastAsia="仿宋" w:cs="仿宋"/>
                <w:spacing w:val="5"/>
                <w:sz w:val="28"/>
                <w:szCs w:val="28"/>
              </w:rPr>
              <w:sym w:font="Wingdings 2" w:char="00A3"/>
            </w:r>
            <w:r>
              <w:rPr>
                <w:rFonts w:hint="eastAsia" w:ascii="仿宋" w:hAnsi="仿宋" w:eastAsia="仿宋" w:cs="仿宋"/>
                <w:spacing w:val="6"/>
                <w:position w:val="7"/>
                <w:sz w:val="28"/>
                <w:szCs w:val="28"/>
              </w:rPr>
              <w:t>特定对象调</w:t>
            </w:r>
            <w:r>
              <w:rPr>
                <w:rFonts w:hint="eastAsia" w:ascii="仿宋" w:hAnsi="仿宋" w:eastAsia="仿宋" w:cs="仿宋"/>
                <w:spacing w:val="5"/>
                <w:position w:val="7"/>
                <w:sz w:val="28"/>
                <w:szCs w:val="28"/>
              </w:rPr>
              <w:t>研</w:t>
            </w:r>
          </w:p>
          <w:p>
            <w:pPr>
              <w:spacing w:line="360" w:lineRule="auto"/>
              <w:jc w:val="left"/>
              <w:rPr>
                <w:rFonts w:ascii="仿宋" w:hAnsi="仿宋" w:eastAsia="仿宋" w:cs="仿宋"/>
                <w:sz w:val="28"/>
                <w:szCs w:val="28"/>
              </w:rPr>
            </w:pPr>
            <w:r>
              <w:rPr>
                <w:rFonts w:hint="eastAsia" w:ascii="仿宋" w:hAnsi="仿宋" w:eastAsia="仿宋" w:cs="仿宋"/>
                <w:spacing w:val="5"/>
                <w:sz w:val="28"/>
                <w:szCs w:val="28"/>
              </w:rPr>
              <w:sym w:font="Wingdings 2" w:char="00A3"/>
            </w:r>
            <w:r>
              <w:rPr>
                <w:rFonts w:hint="eastAsia" w:ascii="仿宋" w:hAnsi="仿宋" w:eastAsia="仿宋" w:cs="仿宋"/>
                <w:spacing w:val="4"/>
                <w:sz w:val="28"/>
                <w:szCs w:val="28"/>
              </w:rPr>
              <w:t>媒体采访</w:t>
            </w:r>
          </w:p>
          <w:p>
            <w:pPr>
              <w:spacing w:before="66" w:line="360" w:lineRule="auto"/>
              <w:jc w:val="left"/>
              <w:rPr>
                <w:rFonts w:ascii="仿宋" w:hAnsi="仿宋" w:eastAsia="仿宋" w:cs="仿宋"/>
                <w:sz w:val="28"/>
                <w:szCs w:val="28"/>
              </w:rPr>
            </w:pPr>
            <w:r>
              <w:rPr>
                <w:rFonts w:hint="eastAsia" w:ascii="仿宋" w:hAnsi="仿宋" w:eastAsia="仿宋" w:cs="仿宋"/>
                <w:spacing w:val="5"/>
                <w:sz w:val="28"/>
                <w:szCs w:val="28"/>
              </w:rPr>
              <w:sym w:font="Wingdings 2" w:char="00A3"/>
            </w:r>
            <w:r>
              <w:rPr>
                <w:rFonts w:hint="eastAsia" w:ascii="仿宋" w:hAnsi="仿宋" w:eastAsia="仿宋" w:cs="仿宋"/>
                <w:spacing w:val="5"/>
                <w:sz w:val="28"/>
                <w:szCs w:val="28"/>
              </w:rPr>
              <w:t>新闻发布会</w:t>
            </w:r>
          </w:p>
          <w:p>
            <w:pPr>
              <w:spacing w:before="69" w:line="360" w:lineRule="auto"/>
              <w:jc w:val="left"/>
              <w:rPr>
                <w:rFonts w:ascii="仿宋" w:hAnsi="仿宋" w:eastAsia="仿宋" w:cs="仿宋"/>
                <w:sz w:val="28"/>
                <w:szCs w:val="28"/>
              </w:rPr>
            </w:pPr>
            <w:r>
              <w:rPr>
                <w:rFonts w:hint="eastAsia" w:ascii="仿宋" w:hAnsi="仿宋" w:eastAsia="仿宋" w:cs="仿宋"/>
                <w:spacing w:val="5"/>
                <w:sz w:val="28"/>
                <w:szCs w:val="28"/>
              </w:rPr>
              <w:sym w:font="Wingdings 2" w:char="00A3"/>
            </w:r>
            <w:r>
              <w:rPr>
                <w:rFonts w:hint="eastAsia" w:ascii="仿宋" w:hAnsi="仿宋" w:eastAsia="仿宋" w:cs="仿宋"/>
                <w:spacing w:val="4"/>
                <w:sz w:val="28"/>
                <w:szCs w:val="28"/>
              </w:rPr>
              <w:t>现场参观</w:t>
            </w:r>
          </w:p>
          <w:p>
            <w:pPr>
              <w:spacing w:before="69" w:line="360" w:lineRule="auto"/>
              <w:jc w:val="left"/>
              <w:rPr>
                <w:rFonts w:eastAsia="仿宋"/>
              </w:rPr>
            </w:pPr>
            <w:r>
              <w:rPr>
                <w:rFonts w:hint="eastAsia" w:ascii="仿宋" w:hAnsi="仿宋" w:eastAsia="仿宋" w:cs="仿宋"/>
                <w:spacing w:val="5"/>
                <w:sz w:val="28"/>
                <w:szCs w:val="28"/>
              </w:rPr>
              <w:sym w:font="Wingdings 2" w:char="00A3"/>
            </w:r>
            <w:r>
              <w:rPr>
                <w:rFonts w:hint="eastAsia" w:ascii="仿宋" w:hAnsi="仿宋" w:eastAsia="仿宋" w:cs="仿宋"/>
                <w:spacing w:val="4"/>
                <w:sz w:val="28"/>
                <w:szCs w:val="28"/>
              </w:rPr>
              <w:t>其他</w:t>
            </w:r>
          </w:p>
        </w:tc>
        <w:tc>
          <w:tcPr>
            <w:tcW w:w="3307" w:type="dxa"/>
            <w:tcBorders>
              <w:top w:val="single" w:color="auto" w:sz="4" w:space="0"/>
              <w:left w:val="nil"/>
              <w:bottom w:val="single" w:color="auto" w:sz="4" w:space="0"/>
              <w:right w:val="single" w:color="auto" w:sz="4" w:space="0"/>
            </w:tcBorders>
          </w:tcPr>
          <w:p>
            <w:pPr>
              <w:spacing w:before="57" w:line="360" w:lineRule="auto"/>
              <w:jc w:val="left"/>
              <w:rPr>
                <w:rFonts w:ascii="仿宋" w:hAnsi="仿宋" w:eastAsia="仿宋" w:cs="仿宋"/>
                <w:sz w:val="28"/>
                <w:szCs w:val="28"/>
              </w:rPr>
            </w:pPr>
            <w:r>
              <w:rPr>
                <w:rFonts w:hint="eastAsia" w:ascii="仿宋" w:hAnsi="仿宋" w:eastAsia="仿宋" w:cs="仿宋"/>
                <w:spacing w:val="5"/>
                <w:sz w:val="28"/>
                <w:szCs w:val="28"/>
              </w:rPr>
              <w:sym w:font="Wingdings 2" w:char="00A3"/>
            </w:r>
            <w:r>
              <w:rPr>
                <w:rFonts w:hint="eastAsia" w:ascii="仿宋" w:hAnsi="仿宋" w:eastAsia="仿宋" w:cs="仿宋"/>
                <w:spacing w:val="5"/>
                <w:position w:val="7"/>
                <w:sz w:val="28"/>
                <w:szCs w:val="28"/>
              </w:rPr>
              <w:t>分析师会议</w:t>
            </w:r>
          </w:p>
          <w:p>
            <w:pPr>
              <w:spacing w:line="360" w:lineRule="auto"/>
              <w:jc w:val="left"/>
              <w:rPr>
                <w:rFonts w:ascii="仿宋" w:hAnsi="仿宋" w:eastAsia="仿宋" w:cs="仿宋"/>
                <w:sz w:val="28"/>
                <w:szCs w:val="28"/>
              </w:rPr>
            </w:pPr>
            <w:r>
              <w:rPr>
                <w:rFonts w:hint="eastAsia" w:ascii="仿宋" w:hAnsi="仿宋" w:eastAsia="仿宋" w:cs="仿宋"/>
                <w:spacing w:val="5"/>
                <w:sz w:val="28"/>
                <w:szCs w:val="28"/>
              </w:rPr>
              <w:sym w:font="Wingdings 2" w:char="00A3"/>
            </w:r>
            <w:r>
              <w:rPr>
                <w:rFonts w:hint="eastAsia" w:ascii="仿宋" w:hAnsi="仿宋" w:eastAsia="仿宋" w:cs="仿宋"/>
                <w:spacing w:val="5"/>
                <w:sz w:val="28"/>
                <w:szCs w:val="28"/>
              </w:rPr>
              <w:t>业绩说明会</w:t>
            </w:r>
          </w:p>
          <w:p>
            <w:pPr>
              <w:spacing w:before="69" w:line="360" w:lineRule="auto"/>
              <w:jc w:val="left"/>
              <w:rPr>
                <w:rFonts w:ascii="仿宋" w:hAnsi="仿宋" w:eastAsia="仿宋" w:cs="仿宋"/>
                <w:sz w:val="28"/>
                <w:szCs w:val="28"/>
              </w:rPr>
            </w:pPr>
            <w:r>
              <w:rPr>
                <w:rFonts w:hint="eastAsia" w:ascii="仿宋" w:hAnsi="仿宋" w:eastAsia="仿宋" w:cs="仿宋"/>
                <w:spacing w:val="5"/>
                <w:sz w:val="28"/>
                <w:szCs w:val="28"/>
              </w:rPr>
              <w:sym w:font="Wingdings 2" w:char="00A3"/>
            </w:r>
            <w:r>
              <w:rPr>
                <w:rFonts w:hint="eastAsia" w:ascii="仿宋" w:hAnsi="仿宋" w:eastAsia="仿宋" w:cs="仿宋"/>
                <w:spacing w:val="4"/>
                <w:sz w:val="28"/>
                <w:szCs w:val="28"/>
              </w:rPr>
              <w:t>路演活动</w:t>
            </w:r>
          </w:p>
          <w:p>
            <w:pPr>
              <w:spacing w:line="360" w:lineRule="auto"/>
              <w:jc w:val="left"/>
            </w:pPr>
            <w:r>
              <w:rPr>
                <w:rFonts w:hint="eastAsia" w:ascii="仿宋" w:hAnsi="仿宋" w:eastAsia="仿宋" w:cs="仿宋"/>
                <w:spacing w:val="5"/>
                <w:sz w:val="28"/>
                <w:szCs w:val="28"/>
              </w:rPr>
              <w:sym w:font="Wingdings 2" w:char="0052"/>
            </w:r>
            <w:r>
              <w:rPr>
                <w:rFonts w:hint="eastAsia" w:ascii="仿宋" w:hAnsi="仿宋" w:eastAsia="仿宋" w:cs="仿宋"/>
                <w:spacing w:val="5"/>
                <w:sz w:val="28"/>
                <w:szCs w:val="28"/>
              </w:rPr>
              <w:t>电话调研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533" w:type="dxa"/>
          </w:tcPr>
          <w:p>
            <w:pPr>
              <w:spacing w:line="360" w:lineRule="auto"/>
              <w:jc w:val="center"/>
              <w:rPr>
                <w:rFonts w:ascii="仿宋" w:hAnsi="仿宋" w:eastAsia="仿宋" w:cs="仿宋"/>
                <w:sz w:val="28"/>
                <w:szCs w:val="28"/>
              </w:rPr>
            </w:pPr>
            <w:r>
              <w:rPr>
                <w:rFonts w:hint="eastAsia" w:ascii="仿宋" w:hAnsi="仿宋" w:eastAsia="仿宋" w:cs="仿宋"/>
                <w:b/>
                <w:bCs/>
                <w:sz w:val="28"/>
                <w:szCs w:val="28"/>
              </w:rPr>
              <w:t>调研人员（单位）</w:t>
            </w:r>
          </w:p>
        </w:tc>
        <w:tc>
          <w:tcPr>
            <w:tcW w:w="6217" w:type="dxa"/>
            <w:gridSpan w:val="2"/>
            <w:tcBorders>
              <w:top w:val="single" w:color="auto" w:sz="4" w:space="0"/>
            </w:tcBorders>
            <w:vAlign w:val="center"/>
          </w:tcPr>
          <w:p>
            <w:pPr>
              <w:widowControl/>
              <w:spacing w:line="360" w:lineRule="auto"/>
              <w:jc w:val="left"/>
              <w:rPr>
                <w:rFonts w:ascii="仿宋" w:hAnsi="仿宋" w:eastAsia="仿宋" w:cs="仿宋"/>
                <w:sz w:val="28"/>
                <w:szCs w:val="28"/>
              </w:rPr>
            </w:pPr>
            <w:r>
              <w:rPr>
                <w:rFonts w:hint="eastAsia" w:ascii="仿宋" w:hAnsi="仿宋" w:eastAsia="仿宋" w:cs="仿宋"/>
                <w:spacing w:val="-2"/>
                <w:sz w:val="28"/>
                <w:szCs w:val="28"/>
              </w:rPr>
              <w:t>东吴证券 中金公司 长江证券 兴业证券 民生证券 华杉投资 华夏财富 上海勤辰 广东正圆私募基金 循远投资 天弘基金 益和源投资 源乐晟 景顺长城基金 中信期货 上海天猊投资 昆仑健康 太平资产 博裕资本 深圳尚诚资管 明亚基金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533" w:type="dxa"/>
          </w:tcPr>
          <w:p>
            <w:pPr>
              <w:spacing w:line="360" w:lineRule="auto"/>
              <w:jc w:val="center"/>
              <w:rPr>
                <w:rFonts w:ascii="仿宋" w:hAnsi="仿宋" w:eastAsia="仿宋" w:cs="仿宋"/>
                <w:b/>
                <w:bCs/>
                <w:spacing w:val="-2"/>
                <w:sz w:val="28"/>
                <w:szCs w:val="28"/>
              </w:rPr>
            </w:pPr>
            <w:r>
              <w:rPr>
                <w:rFonts w:hint="eastAsia" w:ascii="仿宋" w:hAnsi="仿宋" w:eastAsia="仿宋" w:cs="仿宋"/>
                <w:b/>
                <w:bCs/>
                <w:spacing w:val="-2"/>
                <w:sz w:val="28"/>
                <w:szCs w:val="28"/>
              </w:rPr>
              <w:t>调研时间</w:t>
            </w:r>
          </w:p>
        </w:tc>
        <w:tc>
          <w:tcPr>
            <w:tcW w:w="6217" w:type="dxa"/>
            <w:gridSpan w:val="2"/>
          </w:tcPr>
          <w:p>
            <w:pPr>
              <w:spacing w:line="360" w:lineRule="auto"/>
              <w:rPr>
                <w:rFonts w:ascii="仿宋" w:hAnsi="仿宋" w:eastAsia="仿宋" w:cs="仿宋"/>
                <w:spacing w:val="-2"/>
                <w:sz w:val="28"/>
                <w:szCs w:val="28"/>
              </w:rPr>
            </w:pPr>
            <w:r>
              <w:rPr>
                <w:rFonts w:hint="eastAsia" w:ascii="仿宋" w:hAnsi="仿宋" w:eastAsia="仿宋" w:cs="仿宋"/>
                <w:spacing w:val="-2"/>
                <w:sz w:val="28"/>
                <w:szCs w:val="28"/>
              </w:rPr>
              <w:t>2025年</w:t>
            </w:r>
            <w:r>
              <w:rPr>
                <w:rFonts w:hint="eastAsia" w:ascii="仿宋" w:hAnsi="仿宋" w:eastAsia="仿宋" w:cs="仿宋"/>
                <w:spacing w:val="-2"/>
                <w:sz w:val="28"/>
                <w:szCs w:val="28"/>
                <w:lang w:val="en-US" w:eastAsia="zh-CN"/>
              </w:rPr>
              <w:t>5</w:t>
            </w:r>
            <w:r>
              <w:rPr>
                <w:rFonts w:hint="eastAsia" w:ascii="仿宋" w:hAnsi="仿宋" w:eastAsia="仿宋" w:cs="仿宋"/>
                <w:spacing w:val="-2"/>
                <w:sz w:val="28"/>
                <w:szCs w:val="28"/>
              </w:rPr>
              <w:t>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2533" w:type="dxa"/>
          </w:tcPr>
          <w:p>
            <w:pPr>
              <w:spacing w:line="360" w:lineRule="auto"/>
              <w:jc w:val="center"/>
              <w:rPr>
                <w:rFonts w:ascii="仿宋" w:hAnsi="仿宋" w:eastAsia="仿宋" w:cs="仿宋"/>
                <w:b/>
                <w:bCs/>
                <w:spacing w:val="-2"/>
                <w:sz w:val="28"/>
                <w:szCs w:val="28"/>
              </w:rPr>
            </w:pPr>
            <w:r>
              <w:rPr>
                <w:rFonts w:hint="eastAsia" w:ascii="仿宋" w:hAnsi="仿宋" w:eastAsia="仿宋" w:cs="仿宋"/>
                <w:b/>
                <w:bCs/>
                <w:spacing w:val="-2"/>
                <w:sz w:val="28"/>
                <w:szCs w:val="28"/>
              </w:rPr>
              <w:t>调研地点</w:t>
            </w:r>
          </w:p>
        </w:tc>
        <w:tc>
          <w:tcPr>
            <w:tcW w:w="6217" w:type="dxa"/>
            <w:gridSpan w:val="2"/>
          </w:tcPr>
          <w:p>
            <w:pPr>
              <w:spacing w:line="360" w:lineRule="auto"/>
              <w:rPr>
                <w:rFonts w:ascii="仿宋" w:hAnsi="仿宋" w:eastAsia="仿宋" w:cs="仿宋"/>
                <w:spacing w:val="-2"/>
                <w:sz w:val="28"/>
                <w:szCs w:val="28"/>
              </w:rPr>
            </w:pPr>
            <w:r>
              <w:rPr>
                <w:rFonts w:hint="eastAsia" w:ascii="仿宋" w:hAnsi="仿宋" w:eastAsia="仿宋" w:cs="仿宋"/>
                <w:spacing w:val="-2"/>
                <w:sz w:val="28"/>
                <w:szCs w:val="28"/>
              </w:rPr>
              <w:t>线上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533" w:type="dxa"/>
          </w:tcPr>
          <w:p>
            <w:pPr>
              <w:spacing w:line="360" w:lineRule="auto"/>
              <w:rPr>
                <w:b/>
                <w:bCs/>
                <w:sz w:val="24"/>
                <w:szCs w:val="32"/>
              </w:rPr>
            </w:pPr>
            <w:r>
              <w:rPr>
                <w:rFonts w:hint="eastAsia" w:ascii="仿宋" w:hAnsi="仿宋" w:eastAsia="仿宋" w:cs="仿宋"/>
                <w:b/>
                <w:bCs/>
                <w:spacing w:val="-2"/>
                <w:sz w:val="28"/>
                <w:szCs w:val="28"/>
              </w:rPr>
              <w:t>上市公司接待人员</w:t>
            </w:r>
          </w:p>
        </w:tc>
        <w:tc>
          <w:tcPr>
            <w:tcW w:w="6217" w:type="dxa"/>
            <w:gridSpan w:val="2"/>
          </w:tcPr>
          <w:p>
            <w:pPr>
              <w:spacing w:line="360" w:lineRule="auto"/>
              <w:jc w:val="left"/>
              <w:rPr>
                <w:rFonts w:ascii="仿宋" w:hAnsi="仿宋" w:eastAsia="仿宋" w:cs="仿宋"/>
                <w:spacing w:val="-2"/>
                <w:sz w:val="28"/>
                <w:szCs w:val="28"/>
              </w:rPr>
            </w:pPr>
            <w:r>
              <w:rPr>
                <w:rFonts w:hint="eastAsia" w:ascii="仿宋" w:hAnsi="仿宋" w:eastAsia="仿宋" w:cs="仿宋"/>
                <w:spacing w:val="-2"/>
                <w:sz w:val="28"/>
                <w:szCs w:val="28"/>
              </w:rPr>
              <w:t>董秘 李代萍、证券部相关人员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33" w:type="dxa"/>
          </w:tcPr>
          <w:p>
            <w:pPr>
              <w:spacing w:line="360" w:lineRule="auto"/>
              <w:jc w:val="center"/>
              <w:rPr>
                <w:rFonts w:ascii="仿宋" w:hAnsi="仿宋" w:eastAsia="仿宋" w:cs="仿宋"/>
                <w:sz w:val="28"/>
                <w:szCs w:val="28"/>
              </w:rPr>
            </w:pPr>
            <w:r>
              <w:rPr>
                <w:rFonts w:hint="eastAsia" w:ascii="仿宋" w:hAnsi="仿宋" w:eastAsia="仿宋" w:cs="仿宋"/>
                <w:sz w:val="28"/>
                <w:szCs w:val="28"/>
              </w:rPr>
              <w:t>投资者关系活动主要内容</w:t>
            </w:r>
          </w:p>
        </w:tc>
        <w:tc>
          <w:tcPr>
            <w:tcW w:w="6217" w:type="dxa"/>
            <w:gridSpan w:val="2"/>
          </w:tcPr>
          <w:p>
            <w:pPr>
              <w:pStyle w:val="5"/>
              <w:spacing w:line="360" w:lineRule="auto"/>
              <w:rPr>
                <w:rFonts w:ascii="仿宋" w:hAnsi="仿宋" w:eastAsia="仿宋" w:cs="仿宋"/>
                <w:b/>
                <w:bCs/>
                <w:sz w:val="28"/>
                <w:szCs w:val="28"/>
              </w:rPr>
            </w:pPr>
            <w:r>
              <w:rPr>
                <w:rFonts w:hint="eastAsia" w:ascii="仿宋" w:hAnsi="仿宋" w:eastAsia="仿宋" w:cs="仿宋"/>
                <w:b/>
                <w:bCs/>
                <w:sz w:val="28"/>
                <w:szCs w:val="28"/>
              </w:rPr>
              <w:t>1、公司2024年全年和2025年第一季度的主要经营情况如何？</w:t>
            </w:r>
          </w:p>
          <w:p>
            <w:pPr>
              <w:pStyle w:val="5"/>
              <w:spacing w:line="360" w:lineRule="auto"/>
              <w:rPr>
                <w:rFonts w:ascii="仿宋" w:hAnsi="仿宋" w:eastAsia="仿宋" w:cs="仿宋"/>
                <w:sz w:val="28"/>
                <w:szCs w:val="28"/>
              </w:rPr>
            </w:pPr>
            <w:r>
              <w:rPr>
                <w:rFonts w:hint="eastAsia" w:ascii="仿宋" w:hAnsi="仿宋" w:eastAsia="仿宋" w:cs="仿宋"/>
                <w:sz w:val="28"/>
                <w:szCs w:val="28"/>
              </w:rPr>
              <w:t>答：2024年，公司直面宏观经济疲软</w:t>
            </w:r>
            <w:bookmarkStart w:id="0" w:name="OLE_LINK2"/>
            <w:r>
              <w:rPr>
                <w:rFonts w:hint="eastAsia" w:ascii="仿宋" w:hAnsi="仿宋" w:eastAsia="仿宋" w:cs="仿宋"/>
                <w:sz w:val="28"/>
                <w:szCs w:val="28"/>
              </w:rPr>
              <w:t>、多个募投项目及自有资金投建项目产能集中释放爬坡、市场结构化调整</w:t>
            </w:r>
            <w:bookmarkEnd w:id="0"/>
            <w:r>
              <w:rPr>
                <w:rFonts w:hint="eastAsia" w:ascii="仿宋" w:hAnsi="仿宋" w:eastAsia="仿宋" w:cs="仿宋"/>
                <w:sz w:val="28"/>
                <w:szCs w:val="28"/>
              </w:rPr>
              <w:t>、行业竞争日益激烈、经营管理提质等多重考验，紧紧围绕市场开拓、技术创新、项目建设、经营优化等各项重点事项开展工作。2024年在面对各项压力下，公司上下一心、齐心协力、攻坚克难，取得了一定的成绩，2024年公司生产经营、生产整体表现和同行一致，各项年度工作任务基本完成。</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2025年第一季度公司持续提升产能，优化产品结构，积极获取订单并同步拓展新市场，虽因财务等管理费用增加导致第一季度业绩同比有所下滑，但就公司订单、产品毛利而言，均有提升，相关业绩请以相关公告为准。</w:t>
            </w:r>
            <w:r>
              <w:rPr>
                <w:rFonts w:hint="eastAsia" w:ascii="仿宋" w:hAnsi="仿宋" w:eastAsia="仿宋" w:cs="仿宋"/>
                <w:sz w:val="28"/>
                <w:szCs w:val="28"/>
              </w:rPr>
              <w:br w:type="textWrapping"/>
            </w:r>
            <w:r>
              <w:rPr>
                <w:rFonts w:hint="eastAsia" w:ascii="仿宋" w:hAnsi="仿宋" w:eastAsia="仿宋" w:cs="仿宋"/>
                <w:b/>
                <w:bCs/>
                <w:sz w:val="28"/>
                <w:szCs w:val="28"/>
              </w:rPr>
              <w:t>2、</w:t>
            </w:r>
            <w:r>
              <w:rPr>
                <w:rFonts w:hint="eastAsia" w:ascii="仿宋" w:hAnsi="仿宋" w:eastAsia="仿宋" w:cs="仿宋"/>
                <w:b/>
                <w:bCs/>
                <w:sz w:val="28"/>
                <w:szCs w:val="28"/>
                <w:lang w:val="en-US" w:eastAsia="zh-CN"/>
              </w:rPr>
              <w:t>公司年报</w:t>
            </w:r>
            <w:r>
              <w:rPr>
                <w:rFonts w:hint="eastAsia" w:ascii="仿宋" w:hAnsi="仿宋" w:eastAsia="仿宋" w:cs="仿宋"/>
                <w:b/>
                <w:bCs/>
                <w:sz w:val="28"/>
                <w:szCs w:val="28"/>
              </w:rPr>
              <w:t>业绩预告显示公司2024年利润端下滑，有什么综合原因导致？</w:t>
            </w:r>
            <w:r>
              <w:rPr>
                <w:rFonts w:hint="eastAsia" w:ascii="仿宋" w:hAnsi="仿宋" w:eastAsia="仿宋" w:cs="仿宋"/>
                <w:sz w:val="28"/>
                <w:szCs w:val="28"/>
              </w:rPr>
              <w:br w:type="textWrapping"/>
            </w:r>
            <w:r>
              <w:rPr>
                <w:rFonts w:hint="eastAsia" w:ascii="仿宋" w:hAnsi="仿宋" w:eastAsia="仿宋" w:cs="仿宋"/>
                <w:sz w:val="28"/>
                <w:szCs w:val="28"/>
              </w:rPr>
              <w:t>答：2024年公司八万吨高端磁性新材料项目全面投产带来取向硅钢销售量增加，由于取向硅钢平均销售单价同比下降3,280元/吨,平均单位销售成本下降1,447元/吨,销售单价下降金额大于单位销售成本下降，导致本期取向硅钢毛利率下降带来业绩下降。</w:t>
            </w:r>
          </w:p>
          <w:p>
            <w:pPr>
              <w:pStyle w:val="5"/>
              <w:spacing w:line="360" w:lineRule="auto"/>
              <w:rPr>
                <w:rFonts w:ascii="仿宋" w:hAnsi="仿宋" w:eastAsia="仿宋" w:cs="仿宋"/>
                <w:sz w:val="28"/>
                <w:szCs w:val="28"/>
              </w:rPr>
            </w:pPr>
            <w:r>
              <w:rPr>
                <w:rFonts w:hint="eastAsia" w:ascii="仿宋" w:hAnsi="仿宋" w:eastAsia="仿宋" w:cs="仿宋"/>
                <w:b/>
                <w:bCs/>
                <w:sz w:val="28"/>
                <w:szCs w:val="28"/>
              </w:rPr>
              <w:t>3、2025年公司业绩增长点？</w:t>
            </w:r>
            <w:r>
              <w:rPr>
                <w:rFonts w:hint="eastAsia" w:ascii="仿宋" w:hAnsi="仿宋" w:eastAsia="仿宋" w:cs="仿宋"/>
                <w:sz w:val="28"/>
                <w:szCs w:val="28"/>
              </w:rPr>
              <w:br w:type="textWrapping"/>
            </w:r>
            <w:r>
              <w:rPr>
                <w:rFonts w:hint="eastAsia" w:ascii="仿宋" w:hAnsi="仿宋" w:eastAsia="仿宋" w:cs="仿宋"/>
                <w:sz w:val="28"/>
                <w:szCs w:val="28"/>
              </w:rPr>
              <w:t>答：公司输配电及控制设备电压等级向“上”跃进，战略性切入220kV及以上高端电力变压器市场，助推产品高质量发展；公司高端产能+高端牌号双突破，085牌号性能大幅提升，075牌号研发立项及部分技术取得突破，公司取向硅钢行业话语权与竞争力全面升级；募投项目逐步建成，智能成套项目提供智能化配电设备及系列化智能解决方案，将有力推动公司抢占高端市场；变压器技改项目全面交付后，电力变压器产能从750万kVA增加至1150万kVA，产能提升53.3%。另外， 公司国际化战略取得</w:t>
            </w:r>
            <w:r>
              <w:rPr>
                <w:rFonts w:hint="eastAsia" w:ascii="仿宋" w:hAnsi="仿宋" w:eastAsia="仿宋" w:cs="仿宋"/>
                <w:sz w:val="28"/>
                <w:szCs w:val="28"/>
                <w:lang w:val="en-US" w:eastAsia="zh-CN"/>
              </w:rPr>
              <w:t>一定</w:t>
            </w:r>
            <w:r>
              <w:rPr>
                <w:rFonts w:hint="eastAsia" w:ascii="仿宋" w:hAnsi="仿宋" w:eastAsia="仿宋" w:cs="仿宋"/>
                <w:sz w:val="28"/>
                <w:szCs w:val="28"/>
              </w:rPr>
              <w:t>积极进展，</w:t>
            </w:r>
            <w:r>
              <w:rPr>
                <w:rFonts w:hint="eastAsia" w:ascii="仿宋" w:hAnsi="仿宋" w:eastAsia="仿宋" w:cs="仿宋"/>
                <w:sz w:val="28"/>
                <w:szCs w:val="28"/>
                <w:lang w:val="en-US" w:eastAsia="zh-CN"/>
              </w:rPr>
              <w:t>公司有信心提升相关业绩</w:t>
            </w:r>
            <w:r>
              <w:rPr>
                <w:rFonts w:hint="eastAsia" w:ascii="仿宋" w:hAnsi="仿宋" w:eastAsia="仿宋" w:cs="仿宋"/>
                <w:sz w:val="28"/>
                <w:szCs w:val="28"/>
              </w:rPr>
              <w:t>。</w:t>
            </w:r>
          </w:p>
          <w:p>
            <w:pPr>
              <w:pStyle w:val="5"/>
              <w:numPr>
                <w:ilvl w:val="255"/>
                <w:numId w:val="0"/>
              </w:numPr>
              <w:spacing w:line="360" w:lineRule="auto"/>
              <w:rPr>
                <w:rFonts w:ascii="仿宋" w:hAnsi="仿宋" w:eastAsia="仿宋" w:cs="仿宋"/>
                <w:sz w:val="28"/>
                <w:szCs w:val="28"/>
              </w:rPr>
            </w:pPr>
            <w:r>
              <w:rPr>
                <w:rFonts w:hint="eastAsia" w:ascii="仿宋" w:hAnsi="仿宋" w:eastAsia="仿宋" w:cs="仿宋"/>
                <w:b/>
                <w:bCs/>
                <w:sz w:val="28"/>
                <w:szCs w:val="28"/>
              </w:rPr>
              <w:t>4、公司智能成套电气设备相关项目有何最新发展？</w:t>
            </w:r>
            <w:r>
              <w:rPr>
                <w:rFonts w:hint="eastAsia" w:ascii="仿宋" w:hAnsi="仿宋" w:eastAsia="仿宋" w:cs="仿宋"/>
                <w:sz w:val="28"/>
                <w:szCs w:val="28"/>
              </w:rPr>
              <w:br w:type="textWrapping"/>
            </w:r>
            <w:r>
              <w:rPr>
                <w:rFonts w:hint="eastAsia" w:ascii="仿宋" w:hAnsi="仿宋" w:eastAsia="仿宋" w:cs="仿宋"/>
                <w:sz w:val="28"/>
                <w:szCs w:val="28"/>
              </w:rPr>
              <w:t>答：公司推出了环保充气柜、低压智能柜、箱式变电站、MVnex/BlokSeT授权柜4款智能成套电气系统新产品。预计新产品的市场需求将在未来3-5年持续增长，新产品能够有效满足新能源、工业、数据中心、城市电网等多个行业的高端需求，进一步丰富公司产品线，大幅提升公司在智能配电领域的市场竞争力。</w:t>
            </w:r>
          </w:p>
          <w:p>
            <w:pPr>
              <w:spacing w:line="360" w:lineRule="auto"/>
              <w:ind w:firstLine="0" w:firstLineChars="0"/>
              <w:rPr>
                <w:rFonts w:ascii="仿宋" w:hAnsi="仿宋" w:eastAsia="仿宋" w:cs="仿宋"/>
                <w:sz w:val="28"/>
                <w:szCs w:val="28"/>
                <w:highlight w:val="yellow"/>
              </w:rPr>
            </w:pPr>
            <w:r>
              <w:rPr>
                <w:rFonts w:hint="eastAsia" w:ascii="仿宋" w:hAnsi="仿宋" w:eastAsia="仿宋"/>
                <w:b/>
                <w:bCs/>
                <w:sz w:val="28"/>
                <w:szCs w:val="28"/>
              </w:rPr>
              <w:t>5、公司除传统领域外的新兴领域有何战略规划？</w:t>
            </w:r>
            <w:r>
              <w:rPr>
                <w:rFonts w:hint="eastAsia" w:ascii="仿宋" w:hAnsi="仿宋" w:eastAsia="仿宋"/>
                <w:b/>
                <w:bCs/>
                <w:sz w:val="28"/>
                <w:szCs w:val="28"/>
              </w:rPr>
              <w:br w:type="textWrapping"/>
            </w:r>
            <w:r>
              <w:rPr>
                <w:rFonts w:hint="eastAsia" w:ascii="仿宋" w:hAnsi="仿宋" w:eastAsia="仿宋" w:cs="仿宋"/>
                <w:sz w:val="28"/>
                <w:szCs w:val="28"/>
              </w:rPr>
              <w:t>答：</w:t>
            </w:r>
            <w:r>
              <w:rPr>
                <w:rFonts w:hint="eastAsia" w:ascii="仿宋" w:hAnsi="仿宋" w:eastAsia="仿宋" w:cs="仿宋"/>
                <w:i w:val="0"/>
                <w:iCs w:val="0"/>
                <w:caps w:val="0"/>
                <w:spacing w:val="0"/>
                <w:kern w:val="2"/>
                <w:sz w:val="28"/>
                <w:szCs w:val="28"/>
                <w:shd w:val="clear"/>
              </w:rPr>
              <w:t>未来三年，公司将加速智能化升级，推动传统输配电设备向数字化、物联网方向发展</w:t>
            </w:r>
            <w:r>
              <w:rPr>
                <w:rFonts w:hint="eastAsia" w:ascii="仿宋" w:hAnsi="仿宋" w:eastAsia="仿宋" w:cs="仿宋"/>
                <w:i w:val="0"/>
                <w:iCs w:val="0"/>
                <w:caps w:val="0"/>
                <w:spacing w:val="0"/>
                <w:kern w:val="2"/>
                <w:sz w:val="28"/>
                <w:szCs w:val="28"/>
                <w:shd w:val="clear"/>
                <w:lang w:eastAsia="zh-CN"/>
              </w:rPr>
              <w:t>；</w:t>
            </w:r>
            <w:r>
              <w:rPr>
                <w:rFonts w:hint="eastAsia" w:ascii="仿宋" w:hAnsi="仿宋" w:eastAsia="仿宋" w:cs="仿宋"/>
                <w:i w:val="0"/>
                <w:iCs w:val="0"/>
                <w:caps w:val="0"/>
                <w:spacing w:val="0"/>
                <w:kern w:val="2"/>
                <w:sz w:val="28"/>
                <w:szCs w:val="28"/>
                <w:shd w:val="clear"/>
              </w:rPr>
              <w:t>打造具备远程监控、自主巡检、智能运维能力的</w:t>
            </w:r>
            <w:r>
              <w:rPr>
                <w:rFonts w:hint="eastAsia" w:ascii="仿宋" w:hAnsi="仿宋" w:eastAsia="仿宋" w:cs="仿宋"/>
                <w:i w:val="0"/>
                <w:iCs w:val="0"/>
                <w:caps w:val="0"/>
                <w:spacing w:val="0"/>
                <w:kern w:val="2"/>
                <w:sz w:val="28"/>
                <w:szCs w:val="28"/>
                <w:shd w:val="clear"/>
                <w:lang w:val="en-US" w:eastAsia="zh-CN"/>
              </w:rPr>
              <w:t>产品</w:t>
            </w:r>
            <w:r>
              <w:rPr>
                <w:rFonts w:hint="eastAsia" w:ascii="仿宋" w:hAnsi="仿宋" w:eastAsia="仿宋" w:cs="仿宋"/>
                <w:i w:val="0"/>
                <w:iCs w:val="0"/>
                <w:caps w:val="0"/>
                <w:spacing w:val="0"/>
                <w:kern w:val="2"/>
                <w:sz w:val="28"/>
                <w:szCs w:val="28"/>
                <w:shd w:val="clear"/>
                <w:lang w:eastAsia="zh-CN"/>
              </w:rPr>
              <w:t>；</w:t>
            </w:r>
            <w:r>
              <w:rPr>
                <w:rFonts w:hint="eastAsia" w:ascii="仿宋" w:hAnsi="仿宋" w:eastAsia="仿宋" w:cs="仿宋"/>
                <w:i w:val="0"/>
                <w:iCs w:val="0"/>
                <w:caps w:val="0"/>
                <w:spacing w:val="0"/>
                <w:kern w:val="2"/>
                <w:sz w:val="28"/>
                <w:szCs w:val="28"/>
                <w:shd w:val="clear"/>
                <w:lang w:val="en-US" w:eastAsia="zh-CN"/>
              </w:rPr>
              <w:t>积极拓展</w:t>
            </w:r>
            <w:r>
              <w:rPr>
                <w:rFonts w:hint="eastAsia" w:ascii="仿宋" w:hAnsi="仿宋" w:eastAsia="仿宋" w:cs="仿宋"/>
                <w:i w:val="0"/>
                <w:iCs w:val="0"/>
                <w:caps w:val="0"/>
                <w:spacing w:val="0"/>
                <w:kern w:val="2"/>
                <w:sz w:val="28"/>
                <w:szCs w:val="28"/>
                <w:shd w:val="clear"/>
              </w:rPr>
              <w:t>AI、大数据、云计算、5G等</w:t>
            </w:r>
            <w:r>
              <w:rPr>
                <w:rFonts w:hint="eastAsia" w:ascii="仿宋" w:hAnsi="仿宋" w:eastAsia="仿宋" w:cs="仿宋"/>
                <w:i w:val="0"/>
                <w:iCs w:val="0"/>
                <w:caps w:val="0"/>
                <w:spacing w:val="0"/>
                <w:kern w:val="2"/>
                <w:sz w:val="28"/>
                <w:szCs w:val="28"/>
                <w:shd w:val="clear"/>
                <w:lang w:val="en-US" w:eastAsia="zh-CN"/>
              </w:rPr>
              <w:t>运用领域客户；深化布局</w:t>
            </w:r>
            <w:r>
              <w:rPr>
                <w:rFonts w:hint="eastAsia" w:ascii="仿宋" w:hAnsi="仿宋" w:eastAsia="仿宋" w:cs="仿宋"/>
                <w:sz w:val="28"/>
                <w:szCs w:val="28"/>
              </w:rPr>
              <w:t>新能源汽车配套领域，开发高性能非晶合金材料，加速切入新能源汽车电机核心供应链；同时依托长寿新材料基地，推进光储充一体化智能箱变研发</w:t>
            </w:r>
            <w:r>
              <w:rPr>
                <w:rFonts w:hint="eastAsia" w:ascii="仿宋" w:hAnsi="仿宋" w:eastAsia="仿宋" w:cs="仿宋"/>
                <w:sz w:val="28"/>
                <w:szCs w:val="28"/>
                <w:lang w:eastAsia="zh-CN"/>
              </w:rPr>
              <w:t>，</w:t>
            </w:r>
            <w:r>
              <w:rPr>
                <w:rFonts w:hint="eastAsia" w:ascii="仿宋" w:hAnsi="仿宋" w:eastAsia="仿宋" w:cs="仿宋"/>
                <w:i w:val="0"/>
                <w:iCs w:val="0"/>
                <w:caps w:val="0"/>
                <w:spacing w:val="0"/>
                <w:kern w:val="2"/>
                <w:sz w:val="28"/>
                <w:szCs w:val="28"/>
                <w:shd w:val="clear"/>
                <w:lang w:val="en-US" w:eastAsia="zh-CN"/>
              </w:rPr>
              <w:t>适时抓牢</w:t>
            </w:r>
            <w:r>
              <w:rPr>
                <w:rFonts w:hint="eastAsia" w:ascii="仿宋" w:hAnsi="仿宋" w:eastAsia="仿宋" w:cs="仿宋"/>
                <w:i w:val="0"/>
                <w:iCs w:val="0"/>
                <w:caps w:val="0"/>
                <w:spacing w:val="0"/>
                <w:kern w:val="2"/>
                <w:sz w:val="28"/>
                <w:szCs w:val="28"/>
                <w:shd w:val="clear"/>
              </w:rPr>
              <w:t>“新能源+智能微网”</w:t>
            </w:r>
            <w:r>
              <w:rPr>
                <w:rFonts w:hint="eastAsia" w:ascii="仿宋" w:hAnsi="仿宋" w:eastAsia="仿宋" w:cs="仿宋"/>
                <w:i w:val="0"/>
                <w:iCs w:val="0"/>
                <w:caps w:val="0"/>
                <w:spacing w:val="0"/>
                <w:kern w:val="2"/>
                <w:sz w:val="28"/>
                <w:szCs w:val="28"/>
                <w:shd w:val="clear"/>
                <w:lang w:val="en-US" w:eastAsia="zh-CN"/>
              </w:rPr>
              <w:t>运用领域，快速抢占“</w:t>
            </w:r>
            <w:r>
              <w:rPr>
                <w:rFonts w:hint="eastAsia" w:ascii="仿宋" w:hAnsi="仿宋" w:eastAsia="仿宋" w:cs="仿宋"/>
                <w:i w:val="0"/>
                <w:iCs w:val="0"/>
                <w:caps w:val="0"/>
                <w:spacing w:val="0"/>
                <w:kern w:val="2"/>
                <w:sz w:val="28"/>
                <w:szCs w:val="28"/>
                <w:shd w:val="clear"/>
              </w:rPr>
              <w:t>储能+智能电网</w:t>
            </w:r>
            <w:r>
              <w:rPr>
                <w:rFonts w:hint="eastAsia" w:ascii="仿宋" w:hAnsi="仿宋" w:eastAsia="仿宋" w:cs="仿宋"/>
                <w:i w:val="0"/>
                <w:iCs w:val="0"/>
                <w:caps w:val="0"/>
                <w:spacing w:val="0"/>
                <w:kern w:val="2"/>
                <w:sz w:val="28"/>
                <w:szCs w:val="28"/>
                <w:shd w:val="clear"/>
                <w:lang w:eastAsia="zh-CN"/>
              </w:rPr>
              <w:t>”</w:t>
            </w:r>
            <w:r>
              <w:rPr>
                <w:rFonts w:hint="eastAsia" w:ascii="仿宋" w:hAnsi="仿宋" w:eastAsia="仿宋" w:cs="仿宋"/>
                <w:i w:val="0"/>
                <w:iCs w:val="0"/>
                <w:caps w:val="0"/>
                <w:spacing w:val="0"/>
                <w:kern w:val="2"/>
                <w:sz w:val="28"/>
                <w:szCs w:val="28"/>
                <w:shd w:val="clear"/>
              </w:rPr>
              <w:t>等新型电力系统</w:t>
            </w:r>
            <w:r>
              <w:rPr>
                <w:rFonts w:hint="eastAsia" w:ascii="仿宋" w:hAnsi="仿宋" w:eastAsia="仿宋" w:cs="仿宋"/>
                <w:i w:val="0"/>
                <w:iCs w:val="0"/>
                <w:caps w:val="0"/>
                <w:spacing w:val="0"/>
                <w:kern w:val="2"/>
                <w:sz w:val="28"/>
                <w:szCs w:val="28"/>
                <w:shd w:val="clear"/>
                <w:lang w:val="en-US" w:eastAsia="zh-CN"/>
              </w:rPr>
              <w:t>建设</w:t>
            </w:r>
            <w:r>
              <w:rPr>
                <w:rFonts w:hint="eastAsia" w:ascii="仿宋" w:hAnsi="仿宋" w:eastAsia="仿宋" w:cs="仿宋"/>
                <w:i w:val="0"/>
                <w:iCs w:val="0"/>
                <w:caps w:val="0"/>
                <w:spacing w:val="0"/>
                <w:kern w:val="2"/>
                <w:sz w:val="28"/>
                <w:szCs w:val="28"/>
                <w:shd w:val="clear"/>
              </w:rPr>
              <w:t>新赛道</w:t>
            </w:r>
            <w:r>
              <w:rPr>
                <w:rFonts w:hint="eastAsia" w:ascii="仿宋" w:hAnsi="仿宋" w:eastAsia="仿宋" w:cs="仿宋"/>
                <w:i w:val="0"/>
                <w:iCs w:val="0"/>
                <w:caps w:val="0"/>
                <w:spacing w:val="0"/>
                <w:kern w:val="2"/>
                <w:sz w:val="28"/>
                <w:szCs w:val="28"/>
                <w:shd w:val="clear"/>
                <w:lang w:eastAsia="zh-CN"/>
              </w:rPr>
              <w:t>，</w:t>
            </w:r>
            <w:r>
              <w:rPr>
                <w:rFonts w:hint="eastAsia" w:ascii="仿宋" w:hAnsi="仿宋" w:eastAsia="仿宋" w:cs="仿宋"/>
                <w:i w:val="0"/>
                <w:iCs w:val="0"/>
                <w:caps w:val="0"/>
                <w:spacing w:val="0"/>
                <w:kern w:val="2"/>
                <w:sz w:val="28"/>
                <w:szCs w:val="28"/>
                <w:shd w:val="clear"/>
                <w:lang w:val="en-US" w:eastAsia="zh-CN"/>
              </w:rPr>
              <w:t>预期相关业务带来5%-10%的业绩增速，相关业绩以公告为准。</w:t>
            </w:r>
          </w:p>
          <w:p>
            <w:pPr>
              <w:pStyle w:val="5"/>
              <w:spacing w:line="360" w:lineRule="auto"/>
              <w:rPr>
                <w:rFonts w:ascii="仿宋" w:hAnsi="仿宋" w:eastAsia="仿宋" w:cs="仿宋"/>
                <w:b/>
                <w:bCs/>
                <w:sz w:val="28"/>
                <w:szCs w:val="28"/>
              </w:rPr>
            </w:pPr>
            <w:r>
              <w:rPr>
                <w:rFonts w:hint="eastAsia" w:ascii="仿宋" w:hAnsi="仿宋" w:eastAsia="仿宋" w:cs="仿宋"/>
                <w:b/>
                <w:bCs/>
                <w:sz w:val="28"/>
                <w:szCs w:val="28"/>
              </w:rPr>
              <w:t>6、</w:t>
            </w:r>
            <w:r>
              <w:rPr>
                <w:rFonts w:hint="eastAsia" w:ascii="仿宋" w:hAnsi="仿宋" w:eastAsia="仿宋" w:cs="仿宋"/>
                <w:b/>
                <w:bCs/>
                <w:sz w:val="28"/>
                <w:szCs w:val="28"/>
                <w:lang w:val="en-US" w:eastAsia="zh-CN"/>
              </w:rPr>
              <w:t>请问一下关税战对公司有什么影响？</w:t>
            </w:r>
            <w:r>
              <w:rPr>
                <w:rFonts w:hint="eastAsia" w:ascii="仿宋" w:hAnsi="仿宋" w:eastAsia="仿宋" w:cs="Times New Roman"/>
                <w:b/>
                <w:bCs/>
                <w:kern w:val="0"/>
                <w:sz w:val="28"/>
                <w:szCs w:val="28"/>
              </w:rPr>
              <w:br w:type="textWrapping"/>
            </w:r>
            <w:r>
              <w:rPr>
                <w:rFonts w:hint="eastAsia" w:ascii="仿宋" w:hAnsi="仿宋" w:eastAsia="仿宋" w:cs="仿宋"/>
                <w:sz w:val="28"/>
                <w:szCs w:val="28"/>
              </w:rPr>
              <w:t>答：截止目前公司暂未直接出口美国市场，影响不大；公司实时根据国际经济形势和贸易政策的变化，不断调整国际国内市场布局，实时调整相关结算方式，以降低公司出口贸易的风险。</w:t>
            </w:r>
            <w:r>
              <w:rPr>
                <w:rFonts w:hint="eastAsia" w:ascii="仿宋" w:hAnsi="仿宋" w:eastAsia="仿宋" w:cs="仿宋"/>
                <w:sz w:val="28"/>
                <w:szCs w:val="28"/>
              </w:rPr>
              <w:br w:type="textWrapping"/>
            </w:r>
            <w:r>
              <w:rPr>
                <w:rFonts w:hint="eastAsia" w:ascii="仿宋" w:hAnsi="仿宋" w:eastAsia="仿宋" w:cs="仿宋"/>
                <w:b/>
                <w:bCs/>
                <w:sz w:val="28"/>
                <w:szCs w:val="28"/>
              </w:rPr>
              <w:t>7、取向硅钢价格变化趋势及后续价格展望？</w:t>
            </w:r>
          </w:p>
          <w:p>
            <w:pPr>
              <w:pStyle w:val="5"/>
              <w:numPr>
                <w:ilvl w:val="255"/>
                <w:numId w:val="0"/>
              </w:numPr>
              <w:spacing w:line="360" w:lineRule="auto"/>
              <w:rPr>
                <w:rFonts w:ascii="仿宋" w:hAnsi="仿宋" w:eastAsia="仿宋" w:cs="仿宋"/>
                <w:sz w:val="28"/>
                <w:szCs w:val="28"/>
              </w:rPr>
            </w:pPr>
            <w:r>
              <w:rPr>
                <w:rFonts w:hint="eastAsia" w:ascii="仿宋" w:hAnsi="仿宋" w:eastAsia="仿宋" w:cs="仿宋"/>
                <w:sz w:val="28"/>
                <w:szCs w:val="28"/>
              </w:rPr>
              <w:t>答：2025年取向硅钢价格基本持平，价格有开始缓慢回升的趋势，但整体涨幅不算大，未能恢复到2023年降价前的价格水平。</w:t>
            </w:r>
            <w:r>
              <w:rPr>
                <w:rFonts w:hint="eastAsia" w:ascii="仿宋" w:hAnsi="仿宋" w:eastAsia="仿宋" w:cs="仿宋"/>
                <w:sz w:val="28"/>
                <w:szCs w:val="28"/>
              </w:rPr>
              <w:br w:type="textWrapping"/>
            </w:r>
            <w:r>
              <w:rPr>
                <w:rFonts w:hint="eastAsia" w:ascii="仿宋" w:hAnsi="仿宋" w:eastAsia="仿宋" w:cs="仿宋"/>
                <w:sz w:val="28"/>
                <w:szCs w:val="28"/>
              </w:rPr>
              <w:t xml:space="preserve">   我们认为在原有国家的“双碳”、“变压器能效升级”政策、中国电力变压器能效限定值及能效等级新标准、关于新形势下配电网高质量发展的指导意见以及其他一系列推进“电力装备绿色低碳”的政策基础上，又恰逢能源革命与AI算力风口，进一步拉动了输配电设备的需求，加之市场化产能调整基本结束， 我们预计取向硅钢的价格不会再有下降的空间。</w:t>
            </w:r>
          </w:p>
          <w:p>
            <w:pPr>
              <w:spacing w:line="360" w:lineRule="auto"/>
              <w:outlineLvl w:val="3"/>
              <w:rPr>
                <w:rFonts w:ascii="仿宋" w:hAnsi="仿宋" w:eastAsia="仿宋" w:cs="仿宋"/>
                <w:sz w:val="28"/>
                <w:szCs w:val="28"/>
              </w:rPr>
            </w:pPr>
            <w:r>
              <w:rPr>
                <w:rFonts w:hint="eastAsia" w:ascii="仿宋" w:hAnsi="仿宋" w:eastAsia="仿宋" w:cs="仿宋"/>
                <w:b/>
                <w:bCs/>
                <w:sz w:val="28"/>
                <w:szCs w:val="28"/>
              </w:rPr>
              <w:t>9、公司高电压等级大幅度提升的原因及后期战略规划及增速指引？</w:t>
            </w:r>
            <w:r>
              <w:rPr>
                <w:rFonts w:hint="eastAsia" w:ascii="仿宋" w:hAnsi="仿宋" w:eastAsia="仿宋" w:cs="仿宋"/>
                <w:sz w:val="28"/>
                <w:szCs w:val="28"/>
              </w:rPr>
              <w:br w:type="textWrapping"/>
            </w:r>
            <w:r>
              <w:rPr>
                <w:rFonts w:hint="eastAsia" w:ascii="仿宋" w:hAnsi="仿宋" w:eastAsia="仿宋" w:cs="仿宋"/>
                <w:sz w:val="28"/>
                <w:szCs w:val="28"/>
              </w:rPr>
              <w:t>答：公司成功收购云变电气79.97%股权使公司电力变压器电压等级从110kV跃升至500kV，实现供应能力向“上”跃升，2</w:t>
            </w:r>
            <w:r>
              <w:rPr>
                <w:rFonts w:ascii="仿宋" w:hAnsi="仿宋" w:eastAsia="仿宋" w:cs="仿宋"/>
                <w:sz w:val="28"/>
                <w:szCs w:val="28"/>
              </w:rPr>
              <w:t>025</w:t>
            </w:r>
            <w:r>
              <w:rPr>
                <w:rFonts w:hint="eastAsia" w:ascii="仿宋" w:hAnsi="仿宋" w:eastAsia="仿宋" w:cs="仿宋"/>
                <w:sz w:val="28"/>
                <w:szCs w:val="28"/>
              </w:rPr>
              <w:t xml:space="preserve">年及未来在变压器领域公司重点是快速实现330kV及以上电压等级的订单突破，落实变压器业绩第二增长级的战略目标； 实际相关业绩请以公告为准。 </w:t>
            </w:r>
            <w:r>
              <w:rPr>
                <w:rFonts w:hint="eastAsia" w:ascii="仿宋" w:hAnsi="仿宋" w:eastAsia="仿宋" w:cs="仿宋"/>
                <w:sz w:val="28"/>
                <w:szCs w:val="28"/>
              </w:rPr>
              <w:br w:type="textWrapping"/>
            </w:r>
            <w:r>
              <w:rPr>
                <w:rFonts w:hint="eastAsia" w:ascii="仿宋" w:hAnsi="仿宋" w:eastAsia="仿宋" w:cs="仿宋"/>
                <w:b/>
                <w:bCs/>
                <w:sz w:val="28"/>
                <w:szCs w:val="28"/>
              </w:rPr>
              <w:t>10、</w:t>
            </w:r>
            <w:bookmarkStart w:id="1" w:name="OLE_LINK4"/>
            <w:r>
              <w:rPr>
                <w:rFonts w:hint="eastAsia" w:ascii="仿宋" w:hAnsi="仿宋" w:eastAsia="仿宋" w:cs="仿宋"/>
                <w:b/>
                <w:bCs/>
                <w:sz w:val="28"/>
                <w:szCs w:val="28"/>
              </w:rPr>
              <w:t>公司原有的CGO生产产线</w:t>
            </w:r>
            <w:bookmarkEnd w:id="1"/>
            <w:r>
              <w:rPr>
                <w:rFonts w:hint="eastAsia" w:ascii="仿宋" w:hAnsi="仿宋" w:eastAsia="仿宋" w:cs="仿宋"/>
                <w:b/>
                <w:bCs/>
                <w:sz w:val="28"/>
                <w:szCs w:val="28"/>
              </w:rPr>
              <w:t>是否有改造计划？</w:t>
            </w:r>
            <w:r>
              <w:rPr>
                <w:rFonts w:hint="eastAsia" w:ascii="仿宋" w:hAnsi="仿宋" w:eastAsia="仿宋" w:cs="仿宋"/>
                <w:sz w:val="28"/>
                <w:szCs w:val="28"/>
              </w:rPr>
              <w:br w:type="textWrapping"/>
            </w:r>
            <w:r>
              <w:rPr>
                <w:rFonts w:hint="eastAsia" w:ascii="仿宋" w:hAnsi="仿宋" w:eastAsia="仿宋" w:cs="仿宋"/>
                <w:sz w:val="28"/>
                <w:szCs w:val="28"/>
              </w:rPr>
              <w:t>答：公司将综合取向硅钢全球产能布局同时结合公司自身的财务规划综合评估技改计划和启动时机；公司重大投资请以公告为准。</w:t>
            </w:r>
          </w:p>
          <w:p>
            <w:pPr>
              <w:pStyle w:val="5"/>
              <w:spacing w:line="360" w:lineRule="auto"/>
              <w:rPr>
                <w:rFonts w:ascii="仿宋" w:hAnsi="仿宋" w:eastAsia="仿宋" w:cs="仿宋"/>
                <w:b/>
                <w:bCs/>
                <w:sz w:val="28"/>
                <w:szCs w:val="28"/>
              </w:rPr>
            </w:pPr>
            <w:r>
              <w:rPr>
                <w:rFonts w:hint="eastAsia" w:ascii="仿宋" w:hAnsi="仿宋" w:eastAsia="仿宋" w:cs="仿宋"/>
                <w:b/>
                <w:bCs/>
                <w:sz w:val="28"/>
                <w:szCs w:val="28"/>
              </w:rPr>
              <w:t>11、</w:t>
            </w:r>
            <w:bookmarkStart w:id="2" w:name="OLE_LINK7"/>
            <w:r>
              <w:rPr>
                <w:rFonts w:hint="eastAsia" w:ascii="仿宋" w:hAnsi="仿宋" w:eastAsia="仿宋" w:cs="仿宋"/>
                <w:b/>
                <w:bCs/>
                <w:sz w:val="28"/>
                <w:szCs w:val="28"/>
              </w:rPr>
              <w:t>公司第一季度两大主营业收入占比</w:t>
            </w:r>
            <w:bookmarkEnd w:id="2"/>
            <w:r>
              <w:rPr>
                <w:rFonts w:hint="eastAsia" w:ascii="仿宋" w:hAnsi="仿宋" w:eastAsia="仿宋" w:cs="仿宋"/>
                <w:b/>
                <w:bCs/>
                <w:sz w:val="28"/>
                <w:szCs w:val="28"/>
              </w:rPr>
              <w:t>？第一季度公司取向硅钢出货量，全年预期出货量？</w:t>
            </w:r>
            <w:r>
              <w:rPr>
                <w:rFonts w:hint="eastAsia" w:ascii="仿宋" w:hAnsi="仿宋" w:eastAsia="仿宋" w:cs="仿宋"/>
                <w:b/>
                <w:bCs/>
                <w:sz w:val="28"/>
                <w:szCs w:val="28"/>
              </w:rPr>
              <w:br w:type="textWrapping"/>
            </w:r>
            <w:r>
              <w:rPr>
                <w:rFonts w:hint="eastAsia" w:ascii="仿宋" w:hAnsi="仿宋" w:eastAsia="仿宋" w:cs="仿宋"/>
                <w:sz w:val="28"/>
                <w:szCs w:val="28"/>
              </w:rPr>
              <w:t>答：公司第一季度输配电收入占比约60%，取向硅钢占比40%；第一季度公司取向硅钢出货量约4万吨，全年预期17-18万吨，相关数据以实际产出为准。</w:t>
            </w:r>
            <w:r>
              <w:rPr>
                <w:rFonts w:hint="eastAsia" w:ascii="仿宋" w:hAnsi="仿宋" w:eastAsia="仿宋" w:cs="仿宋"/>
                <w:sz w:val="28"/>
                <w:szCs w:val="28"/>
              </w:rPr>
              <w:br w:type="textWrapping"/>
            </w:r>
            <w:r>
              <w:rPr>
                <w:rFonts w:hint="eastAsia" w:ascii="仿宋" w:hAnsi="仿宋" w:eastAsia="仿宋" w:cs="仿宋"/>
                <w:b/>
                <w:bCs/>
                <w:sz w:val="28"/>
                <w:szCs w:val="28"/>
              </w:rPr>
              <w:t>12、公司</w:t>
            </w:r>
            <w:bookmarkStart w:id="3" w:name="OLE_LINK8"/>
            <w:r>
              <w:rPr>
                <w:rFonts w:hint="eastAsia" w:ascii="仿宋" w:hAnsi="仿宋" w:eastAsia="仿宋" w:cs="仿宋"/>
                <w:b/>
                <w:bCs/>
                <w:sz w:val="28"/>
                <w:szCs w:val="28"/>
              </w:rPr>
              <w:t>2</w:t>
            </w:r>
            <w:r>
              <w:rPr>
                <w:rFonts w:ascii="仿宋" w:hAnsi="仿宋" w:eastAsia="仿宋" w:cs="仿宋"/>
                <w:b/>
                <w:bCs/>
                <w:sz w:val="28"/>
                <w:szCs w:val="28"/>
              </w:rPr>
              <w:t>025</w:t>
            </w:r>
            <w:r>
              <w:rPr>
                <w:rFonts w:hint="eastAsia" w:ascii="仿宋" w:hAnsi="仿宋" w:eastAsia="仿宋" w:cs="仿宋"/>
                <w:b/>
                <w:bCs/>
                <w:sz w:val="28"/>
                <w:szCs w:val="28"/>
              </w:rPr>
              <w:t>年一季度财务费用及2</w:t>
            </w:r>
            <w:r>
              <w:rPr>
                <w:rFonts w:ascii="仿宋" w:hAnsi="仿宋" w:eastAsia="仿宋" w:cs="仿宋"/>
                <w:b/>
                <w:bCs/>
                <w:sz w:val="28"/>
                <w:szCs w:val="28"/>
              </w:rPr>
              <w:t>024</w:t>
            </w:r>
            <w:r>
              <w:rPr>
                <w:rFonts w:hint="eastAsia" w:ascii="仿宋" w:hAnsi="仿宋" w:eastAsia="仿宋" w:cs="仿宋"/>
                <w:b/>
                <w:bCs/>
                <w:sz w:val="28"/>
                <w:szCs w:val="28"/>
              </w:rPr>
              <w:t>年管理费用较高</w:t>
            </w:r>
            <w:bookmarkEnd w:id="3"/>
            <w:r>
              <w:rPr>
                <w:rFonts w:hint="eastAsia" w:ascii="仿宋" w:hAnsi="仿宋" w:eastAsia="仿宋" w:cs="仿宋"/>
                <w:b/>
                <w:bCs/>
                <w:sz w:val="28"/>
                <w:szCs w:val="28"/>
              </w:rPr>
              <w:t>的原因及后期费用如何管控？</w:t>
            </w:r>
          </w:p>
          <w:p>
            <w:pPr>
              <w:pStyle w:val="26"/>
              <w:spacing w:line="360" w:lineRule="auto"/>
              <w:ind w:firstLine="0" w:firstLineChars="0"/>
              <w:jc w:val="left"/>
              <w:rPr>
                <w:rFonts w:ascii="仿宋" w:hAnsi="仿宋" w:eastAsia="仿宋" w:cs="仿宋"/>
                <w:sz w:val="28"/>
                <w:szCs w:val="28"/>
              </w:rPr>
            </w:pPr>
            <w:r>
              <w:rPr>
                <w:rFonts w:hint="eastAsia" w:ascii="仿宋" w:hAnsi="仿宋" w:eastAsia="仿宋" w:cs="仿宋"/>
                <w:sz w:val="28"/>
                <w:szCs w:val="28"/>
              </w:rPr>
              <w:t>答：公司财务费用高主要系</w:t>
            </w:r>
            <w:bookmarkStart w:id="4" w:name="OLE_LINK91"/>
            <w:r>
              <w:rPr>
                <w:rFonts w:hint="eastAsia" w:ascii="仿宋" w:hAnsi="仿宋" w:eastAsia="仿宋" w:cs="仿宋"/>
                <w:sz w:val="28"/>
                <w:szCs w:val="28"/>
              </w:rPr>
              <w:t>公司用自筹资金收购云变控股权和新建八万吨高端磁性新材料建设项目所致；</w:t>
            </w:r>
            <w:bookmarkEnd w:id="4"/>
            <w:r>
              <w:rPr>
                <w:rFonts w:hint="eastAsia" w:ascii="仿宋" w:hAnsi="仿宋" w:eastAsia="仿宋" w:cs="仿宋"/>
                <w:sz w:val="28"/>
                <w:szCs w:val="28"/>
              </w:rPr>
              <w:t xml:space="preserve">公司管理费用同比增加主要系收购云变控制权发生的中介机构费用、同时公司规模扩大相关费用同时增加所致； </w:t>
            </w:r>
          </w:p>
          <w:p>
            <w:pPr>
              <w:pStyle w:val="5"/>
              <w:ind w:firstLine="560" w:firstLineChars="200"/>
              <w:rPr>
                <w:rFonts w:hint="eastAsia"/>
              </w:rPr>
            </w:pPr>
            <w:r>
              <w:rPr>
                <w:rFonts w:hint="eastAsia" w:ascii="仿宋" w:hAnsi="仿宋" w:eastAsia="仿宋" w:cs="仿宋"/>
                <w:sz w:val="28"/>
                <w:szCs w:val="28"/>
              </w:rPr>
              <w:t>公司对变动性管理费用</w:t>
            </w:r>
            <w:r>
              <w:rPr>
                <w:rFonts w:hint="eastAsia" w:ascii="仿宋" w:hAnsi="仿宋" w:eastAsia="仿宋" w:cs="仿宋"/>
                <w:sz w:val="28"/>
                <w:szCs w:val="28"/>
                <w:lang w:val="en-US" w:eastAsia="zh-CN"/>
              </w:rPr>
              <w:t>一直</w:t>
            </w:r>
            <w:r>
              <w:rPr>
                <w:rFonts w:hint="eastAsia" w:ascii="仿宋" w:hAnsi="仿宋" w:eastAsia="仿宋" w:cs="仿宋"/>
                <w:sz w:val="28"/>
                <w:szCs w:val="28"/>
              </w:rPr>
              <w:t>有降本的要求，公司会持续提升运营管理效能，降低运营管理成本，合理控制各项费用。</w:t>
            </w:r>
            <w:r>
              <w:rPr>
                <w:rFonts w:hint="eastAsia" w:ascii="仿宋" w:hAnsi="仿宋" w:eastAsia="仿宋" w:cs="仿宋"/>
                <w:sz w:val="28"/>
                <w:szCs w:val="28"/>
              </w:rPr>
              <w:br w:type="textWrapping"/>
            </w:r>
            <w:r>
              <w:rPr>
                <w:rFonts w:hint="eastAsia" w:ascii="仿宋" w:hAnsi="仿宋" w:eastAsia="仿宋" w:cs="仿宋"/>
                <w:b/>
                <w:bCs/>
                <w:sz w:val="28"/>
                <w:szCs w:val="28"/>
              </w:rPr>
              <w:t>13、</w:t>
            </w:r>
            <w:bookmarkStart w:id="5" w:name="OLE_LINK5"/>
            <w:bookmarkStart w:id="6" w:name="OLE_LINK6"/>
            <w:r>
              <w:rPr>
                <w:rFonts w:hint="eastAsia" w:ascii="仿宋" w:hAnsi="仿宋" w:eastAsia="仿宋" w:cs="仿宋"/>
                <w:b/>
                <w:bCs/>
                <w:sz w:val="28"/>
                <w:szCs w:val="28"/>
              </w:rPr>
              <w:t>公司海外布局新进展？</w:t>
            </w:r>
            <w:bookmarkEnd w:id="5"/>
            <w:r>
              <w:rPr>
                <w:rFonts w:hint="eastAsia" w:ascii="仿宋" w:hAnsi="仿宋" w:eastAsia="仿宋" w:cs="仿宋"/>
                <w:b/>
                <w:bCs/>
                <w:sz w:val="28"/>
                <w:szCs w:val="28"/>
              </w:rPr>
              <w:br w:type="textWrapping"/>
            </w:r>
            <w:r>
              <w:rPr>
                <w:rFonts w:hint="eastAsia" w:ascii="仿宋" w:hAnsi="仿宋" w:eastAsia="仿宋" w:cs="仿宋"/>
                <w:sz w:val="28"/>
                <w:szCs w:val="28"/>
              </w:rPr>
              <w:t>答：公司积极推进"一带一路"业务布局，</w:t>
            </w:r>
            <w:r>
              <w:rPr>
                <w:rFonts w:hint="eastAsia" w:ascii="仿宋" w:hAnsi="仿宋" w:eastAsia="仿宋" w:cs="仿宋"/>
                <w:sz w:val="28"/>
                <w:szCs w:val="28"/>
                <w:lang w:val="en-US" w:eastAsia="zh-CN"/>
              </w:rPr>
              <w:t>主要依托国家走出去战略，高度关注我们自身客户</w:t>
            </w:r>
            <w:r>
              <w:rPr>
                <w:rFonts w:hint="eastAsia" w:ascii="仿宋" w:hAnsi="仿宋" w:eastAsia="仿宋" w:cs="仿宋"/>
                <w:sz w:val="28"/>
                <w:szCs w:val="28"/>
              </w:rPr>
              <w:t>中铁、中交、电建等相关大型央企的海外项目，</w:t>
            </w:r>
            <w:r>
              <w:rPr>
                <w:rFonts w:hint="eastAsia" w:ascii="仿宋" w:hAnsi="仿宋" w:eastAsia="仿宋" w:cs="仿宋"/>
                <w:sz w:val="28"/>
                <w:szCs w:val="28"/>
                <w:lang w:val="en-US" w:eastAsia="zh-CN"/>
              </w:rPr>
              <w:t>并积极获取</w:t>
            </w:r>
            <w:r>
              <w:rPr>
                <w:rFonts w:hint="eastAsia" w:ascii="仿宋" w:hAnsi="仿宋" w:eastAsia="仿宋" w:cs="仿宋"/>
                <w:sz w:val="28"/>
                <w:szCs w:val="28"/>
              </w:rPr>
              <w:t>深度参与的机会；</w:t>
            </w:r>
            <w:r>
              <w:rPr>
                <w:rFonts w:hint="eastAsia" w:ascii="仿宋" w:hAnsi="仿宋" w:eastAsia="仿宋" w:cs="仿宋"/>
                <w:sz w:val="28"/>
                <w:szCs w:val="28"/>
                <w:lang w:val="en-US" w:eastAsia="zh-CN"/>
              </w:rPr>
              <w:t>公司</w:t>
            </w:r>
            <w:r>
              <w:rPr>
                <w:rFonts w:hint="eastAsia" w:ascii="仿宋" w:hAnsi="仿宋" w:eastAsia="仿宋" w:cs="仿宋"/>
                <w:sz w:val="28"/>
                <w:szCs w:val="28"/>
              </w:rPr>
              <w:t>取向硅钢材料依托现有区域及客户体系，做大做深服务，扩大市场规模。</w:t>
            </w:r>
          </w:p>
          <w:bookmarkEnd w:id="6"/>
          <w:p>
            <w:pPr>
              <w:pStyle w:val="5"/>
              <w:numPr>
                <w:ilvl w:val="255"/>
                <w:numId w:val="0"/>
              </w:numPr>
              <w:spacing w:line="360" w:lineRule="auto"/>
              <w:rPr>
                <w:rFonts w:ascii="仿宋" w:hAnsi="仿宋" w:eastAsia="仿宋" w:cs="仿宋"/>
                <w:sz w:val="28"/>
                <w:szCs w:val="28"/>
              </w:rPr>
            </w:pPr>
            <w:bookmarkStart w:id="7" w:name="OLE_LINK1"/>
            <w:r>
              <w:rPr>
                <w:rFonts w:hint="eastAsia" w:ascii="仿宋" w:hAnsi="仿宋" w:eastAsia="仿宋" w:cs="仿宋"/>
                <w:b/>
                <w:bCs/>
                <w:sz w:val="28"/>
                <w:szCs w:val="28"/>
              </w:rPr>
              <w:t>14、公司收入结构中，两网占比大概多少？</w:t>
            </w:r>
            <w:r>
              <w:rPr>
                <w:rFonts w:hint="eastAsia" w:ascii="仿宋" w:hAnsi="仿宋" w:eastAsia="仿宋" w:cs="仿宋"/>
                <w:sz w:val="28"/>
                <w:szCs w:val="28"/>
              </w:rPr>
              <w:br w:type="textWrapping"/>
            </w:r>
            <w:r>
              <w:rPr>
                <w:rFonts w:hint="eastAsia" w:ascii="仿宋" w:hAnsi="仿宋" w:eastAsia="仿宋" w:cs="仿宋"/>
                <w:sz w:val="28"/>
                <w:szCs w:val="28"/>
              </w:rPr>
              <w:t>答：公司</w:t>
            </w:r>
            <w:r>
              <w:rPr>
                <w:rFonts w:hint="eastAsia" w:ascii="仿宋" w:hAnsi="仿宋" w:eastAsia="仿宋" w:cs="仿宋"/>
                <w:sz w:val="28"/>
                <w:szCs w:val="28"/>
                <w:lang w:val="en-US" w:eastAsia="zh-CN"/>
              </w:rPr>
              <w:t>输配电及控制设备前五客户营业</w:t>
            </w:r>
            <w:r>
              <w:rPr>
                <w:rFonts w:hint="eastAsia" w:ascii="仿宋" w:hAnsi="仿宋" w:eastAsia="仿宋" w:cs="仿宋"/>
                <w:sz w:val="28"/>
                <w:szCs w:val="28"/>
              </w:rPr>
              <w:t>收入</w:t>
            </w:r>
            <w:r>
              <w:rPr>
                <w:rFonts w:hint="eastAsia" w:ascii="仿宋" w:hAnsi="仿宋" w:eastAsia="仿宋" w:cs="仿宋"/>
                <w:sz w:val="28"/>
                <w:szCs w:val="28"/>
                <w:lang w:val="en-US" w:eastAsia="zh-CN"/>
              </w:rPr>
              <w:t>占营业总收入的比重</w:t>
            </w:r>
            <w:r>
              <w:rPr>
                <w:rFonts w:hint="eastAsia" w:ascii="仿宋" w:hAnsi="仿宋" w:eastAsia="仿宋" w:cs="仿宋"/>
                <w:sz w:val="28"/>
                <w:szCs w:val="28"/>
              </w:rPr>
              <w:t>约25-30%，实际占比以相关公告为准。</w:t>
            </w:r>
            <w:bookmarkEnd w:id="7"/>
            <w:r>
              <w:rPr>
                <w:rFonts w:hint="eastAsia" w:ascii="仿宋" w:hAnsi="仿宋" w:eastAsia="仿宋" w:cs="仿宋"/>
                <w:sz w:val="28"/>
                <w:szCs w:val="28"/>
              </w:rPr>
              <w:t xml:space="preserve"> </w:t>
            </w:r>
            <w:r>
              <w:rPr>
                <w:rFonts w:hint="eastAsia" w:ascii="仿宋" w:hAnsi="仿宋" w:eastAsia="仿宋" w:cs="仿宋"/>
                <w:sz w:val="28"/>
                <w:szCs w:val="28"/>
              </w:rPr>
              <w:br w:type="textWrapping"/>
            </w:r>
            <w:r>
              <w:rPr>
                <w:rFonts w:hint="eastAsia" w:ascii="仿宋" w:hAnsi="仿宋" w:eastAsia="仿宋" w:cs="仿宋"/>
                <w:b/>
                <w:bCs/>
                <w:sz w:val="28"/>
                <w:szCs w:val="28"/>
              </w:rPr>
              <w:t>15、国网集采过后有什么影响？</w:t>
            </w:r>
            <w:r>
              <w:rPr>
                <w:rFonts w:hint="eastAsia" w:ascii="仿宋" w:hAnsi="仿宋" w:eastAsia="仿宋" w:cs="仿宋"/>
                <w:b/>
                <w:bCs/>
                <w:sz w:val="28"/>
                <w:szCs w:val="28"/>
              </w:rPr>
              <w:br w:type="textWrapping"/>
            </w:r>
            <w:r>
              <w:rPr>
                <w:rFonts w:hint="eastAsia" w:ascii="仿宋" w:hAnsi="仿宋" w:eastAsia="仿宋" w:cs="仿宋"/>
                <w:sz w:val="28"/>
                <w:szCs w:val="28"/>
              </w:rPr>
              <w:t>答：据公司市场部门反馈，结合国家电网相关公示，区域联合后，包数变多，中标机率变大，但对价格略有影响。整体而言，国网客户毛利高于其他客户。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3" w:type="dxa"/>
          </w:tcPr>
          <w:p>
            <w:pPr>
              <w:spacing w:line="360" w:lineRule="auto"/>
              <w:jc w:val="center"/>
              <w:rPr>
                <w:b/>
                <w:bCs/>
                <w:sz w:val="24"/>
                <w:szCs w:val="32"/>
              </w:rPr>
            </w:pPr>
            <w:r>
              <w:rPr>
                <w:rFonts w:hint="eastAsia" w:ascii="仿宋" w:hAnsi="仿宋" w:eastAsia="仿宋" w:cs="仿宋"/>
                <w:b/>
                <w:bCs/>
                <w:spacing w:val="-2"/>
                <w:sz w:val="28"/>
                <w:szCs w:val="28"/>
              </w:rPr>
              <w:t xml:space="preserve"> 附件清单 (如有)</w:t>
            </w:r>
          </w:p>
        </w:tc>
        <w:tc>
          <w:tcPr>
            <w:tcW w:w="6217" w:type="dxa"/>
            <w:gridSpan w:val="2"/>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3" w:type="dxa"/>
          </w:tcPr>
          <w:p>
            <w:pPr>
              <w:spacing w:line="360" w:lineRule="auto"/>
              <w:ind w:firstLine="277" w:firstLineChars="100"/>
              <w:jc w:val="left"/>
              <w:rPr>
                <w:rFonts w:ascii="仿宋" w:hAnsi="仿宋" w:eastAsia="仿宋" w:cs="仿宋"/>
                <w:b/>
                <w:bCs/>
                <w:spacing w:val="-2"/>
                <w:sz w:val="28"/>
                <w:szCs w:val="28"/>
              </w:rPr>
            </w:pPr>
            <w:r>
              <w:rPr>
                <w:rFonts w:hint="eastAsia" w:ascii="仿宋" w:hAnsi="仿宋" w:eastAsia="仿宋" w:cs="仿宋"/>
                <w:b/>
                <w:bCs/>
                <w:spacing w:val="-2"/>
                <w:sz w:val="28"/>
                <w:szCs w:val="28"/>
              </w:rPr>
              <w:t>相关提示</w:t>
            </w:r>
          </w:p>
        </w:tc>
        <w:tc>
          <w:tcPr>
            <w:tcW w:w="6217" w:type="dxa"/>
            <w:gridSpan w:val="2"/>
          </w:tcPr>
          <w:p>
            <w:pPr>
              <w:widowControl/>
              <w:spacing w:line="360" w:lineRule="auto"/>
              <w:jc w:val="left"/>
            </w:pPr>
            <w:r>
              <w:rPr>
                <w:rFonts w:hint="eastAsia" w:ascii="仿宋" w:hAnsi="仿宋" w:eastAsia="仿宋" w:cs="仿宋"/>
                <w:sz w:val="28"/>
                <w:szCs w:val="28"/>
              </w:rPr>
              <w:t>调研内容均不涉及公司内幕信息及相关未披露的重大事项信息。内容涉及对行业的预测、公司发展战略规划等相关内容，不能视作公司或公司管理层对行业、公司发展的承诺和保证，敬请广大投资者注意投资风险。</w:t>
            </w:r>
          </w:p>
        </w:tc>
      </w:tr>
    </w:tbl>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g2YWRmZGU0MDUxMGY0NWQyMTNhNjJiOTc3NzFiMjIifQ=="/>
  </w:docVars>
  <w:rsids>
    <w:rsidRoot w:val="00172A27"/>
    <w:rsid w:val="00013D5E"/>
    <w:rsid w:val="00013F2A"/>
    <w:rsid w:val="00025CC2"/>
    <w:rsid w:val="00065631"/>
    <w:rsid w:val="00065EB1"/>
    <w:rsid w:val="00097FFB"/>
    <w:rsid w:val="000D4D80"/>
    <w:rsid w:val="000F3D26"/>
    <w:rsid w:val="00126AED"/>
    <w:rsid w:val="00142881"/>
    <w:rsid w:val="00172A27"/>
    <w:rsid w:val="00174AF0"/>
    <w:rsid w:val="00181A75"/>
    <w:rsid w:val="00194169"/>
    <w:rsid w:val="001B4E56"/>
    <w:rsid w:val="001B72C1"/>
    <w:rsid w:val="001C2038"/>
    <w:rsid w:val="001D35C7"/>
    <w:rsid w:val="001D4EFA"/>
    <w:rsid w:val="002005EA"/>
    <w:rsid w:val="002418BA"/>
    <w:rsid w:val="00254BBC"/>
    <w:rsid w:val="002655E7"/>
    <w:rsid w:val="00272127"/>
    <w:rsid w:val="0027620F"/>
    <w:rsid w:val="002A5024"/>
    <w:rsid w:val="0031124A"/>
    <w:rsid w:val="003368B2"/>
    <w:rsid w:val="00336BA3"/>
    <w:rsid w:val="003534BF"/>
    <w:rsid w:val="003A73B3"/>
    <w:rsid w:val="003B1706"/>
    <w:rsid w:val="003D1413"/>
    <w:rsid w:val="003E5AA6"/>
    <w:rsid w:val="00403D34"/>
    <w:rsid w:val="00414BB4"/>
    <w:rsid w:val="00436D28"/>
    <w:rsid w:val="00456294"/>
    <w:rsid w:val="00486805"/>
    <w:rsid w:val="004B0A7B"/>
    <w:rsid w:val="004E5ABD"/>
    <w:rsid w:val="004F5749"/>
    <w:rsid w:val="00515EDE"/>
    <w:rsid w:val="005D4831"/>
    <w:rsid w:val="005D7DA2"/>
    <w:rsid w:val="005F416C"/>
    <w:rsid w:val="00601749"/>
    <w:rsid w:val="006227BD"/>
    <w:rsid w:val="006464D5"/>
    <w:rsid w:val="0067780C"/>
    <w:rsid w:val="006A0B21"/>
    <w:rsid w:val="006A68BB"/>
    <w:rsid w:val="006C3C21"/>
    <w:rsid w:val="006D3243"/>
    <w:rsid w:val="006E764C"/>
    <w:rsid w:val="00714693"/>
    <w:rsid w:val="00740926"/>
    <w:rsid w:val="007E6D44"/>
    <w:rsid w:val="00814B2F"/>
    <w:rsid w:val="00833C9D"/>
    <w:rsid w:val="008366D5"/>
    <w:rsid w:val="00862215"/>
    <w:rsid w:val="0088017F"/>
    <w:rsid w:val="008818C9"/>
    <w:rsid w:val="008A00DB"/>
    <w:rsid w:val="008A69FD"/>
    <w:rsid w:val="008C10A9"/>
    <w:rsid w:val="008C4853"/>
    <w:rsid w:val="008C60AF"/>
    <w:rsid w:val="00921781"/>
    <w:rsid w:val="00935E4B"/>
    <w:rsid w:val="00976954"/>
    <w:rsid w:val="009A6D94"/>
    <w:rsid w:val="009C378D"/>
    <w:rsid w:val="009D0775"/>
    <w:rsid w:val="009F6404"/>
    <w:rsid w:val="00A15A23"/>
    <w:rsid w:val="00A1748C"/>
    <w:rsid w:val="00A21894"/>
    <w:rsid w:val="00A40B7A"/>
    <w:rsid w:val="00A450B6"/>
    <w:rsid w:val="00A5380F"/>
    <w:rsid w:val="00A72B6A"/>
    <w:rsid w:val="00A74073"/>
    <w:rsid w:val="00A90D34"/>
    <w:rsid w:val="00A96CC9"/>
    <w:rsid w:val="00AB456F"/>
    <w:rsid w:val="00B010DC"/>
    <w:rsid w:val="00B27AB7"/>
    <w:rsid w:val="00B4710E"/>
    <w:rsid w:val="00B96C36"/>
    <w:rsid w:val="00BA5812"/>
    <w:rsid w:val="00BB67A9"/>
    <w:rsid w:val="00BF274D"/>
    <w:rsid w:val="00C15888"/>
    <w:rsid w:val="00C46D12"/>
    <w:rsid w:val="00C505DD"/>
    <w:rsid w:val="00C5503C"/>
    <w:rsid w:val="00CE55C5"/>
    <w:rsid w:val="00CE6ED0"/>
    <w:rsid w:val="00D10841"/>
    <w:rsid w:val="00D21930"/>
    <w:rsid w:val="00DA4071"/>
    <w:rsid w:val="00DE6EC6"/>
    <w:rsid w:val="00DF24CE"/>
    <w:rsid w:val="00DF708B"/>
    <w:rsid w:val="00E9768D"/>
    <w:rsid w:val="00EA2274"/>
    <w:rsid w:val="00EA2D9A"/>
    <w:rsid w:val="00EC1EEE"/>
    <w:rsid w:val="00ED7DCB"/>
    <w:rsid w:val="00F02C55"/>
    <w:rsid w:val="00F16D0B"/>
    <w:rsid w:val="00F17782"/>
    <w:rsid w:val="00F3330A"/>
    <w:rsid w:val="00F63F50"/>
    <w:rsid w:val="00F765A5"/>
    <w:rsid w:val="00FA00A3"/>
    <w:rsid w:val="00FA0617"/>
    <w:rsid w:val="00FA51AD"/>
    <w:rsid w:val="00FD1CC3"/>
    <w:rsid w:val="00FE1A6E"/>
    <w:rsid w:val="00FF4099"/>
    <w:rsid w:val="01284E1B"/>
    <w:rsid w:val="013E75F8"/>
    <w:rsid w:val="016420F2"/>
    <w:rsid w:val="020060F9"/>
    <w:rsid w:val="02134CB8"/>
    <w:rsid w:val="02E96BCD"/>
    <w:rsid w:val="02F32E0C"/>
    <w:rsid w:val="02F47D1B"/>
    <w:rsid w:val="03237D85"/>
    <w:rsid w:val="03986CEB"/>
    <w:rsid w:val="03BE368D"/>
    <w:rsid w:val="03C74BB5"/>
    <w:rsid w:val="042B21AE"/>
    <w:rsid w:val="04574920"/>
    <w:rsid w:val="04F16AB7"/>
    <w:rsid w:val="051B0D6D"/>
    <w:rsid w:val="0536650D"/>
    <w:rsid w:val="054C52D8"/>
    <w:rsid w:val="05C124D3"/>
    <w:rsid w:val="069468A4"/>
    <w:rsid w:val="07293D6D"/>
    <w:rsid w:val="079239C5"/>
    <w:rsid w:val="079C3C62"/>
    <w:rsid w:val="07B94BDA"/>
    <w:rsid w:val="07C54B4B"/>
    <w:rsid w:val="07D102E3"/>
    <w:rsid w:val="07FF4FEA"/>
    <w:rsid w:val="08086333"/>
    <w:rsid w:val="083F6263"/>
    <w:rsid w:val="08406CE4"/>
    <w:rsid w:val="086053D6"/>
    <w:rsid w:val="08A95EF6"/>
    <w:rsid w:val="08B13535"/>
    <w:rsid w:val="08BD0334"/>
    <w:rsid w:val="09873FB3"/>
    <w:rsid w:val="09950955"/>
    <w:rsid w:val="09C676BC"/>
    <w:rsid w:val="0A2911E1"/>
    <w:rsid w:val="0AA52A4B"/>
    <w:rsid w:val="0B416CC0"/>
    <w:rsid w:val="0B482792"/>
    <w:rsid w:val="0B7C0033"/>
    <w:rsid w:val="0B8B40BA"/>
    <w:rsid w:val="0B9A2D2D"/>
    <w:rsid w:val="0C27489D"/>
    <w:rsid w:val="0CA2437E"/>
    <w:rsid w:val="0CC65D86"/>
    <w:rsid w:val="0CE813E4"/>
    <w:rsid w:val="0D1B1ACD"/>
    <w:rsid w:val="0D244E26"/>
    <w:rsid w:val="0D5355B7"/>
    <w:rsid w:val="0D553692"/>
    <w:rsid w:val="0D613090"/>
    <w:rsid w:val="0D9123B3"/>
    <w:rsid w:val="0D984241"/>
    <w:rsid w:val="0DA66F51"/>
    <w:rsid w:val="0DAA2575"/>
    <w:rsid w:val="0DFB5FF5"/>
    <w:rsid w:val="0E4478C6"/>
    <w:rsid w:val="0E460794"/>
    <w:rsid w:val="0E461F04"/>
    <w:rsid w:val="0E637FDA"/>
    <w:rsid w:val="0EA15698"/>
    <w:rsid w:val="0F056591"/>
    <w:rsid w:val="0F080F08"/>
    <w:rsid w:val="0F585187"/>
    <w:rsid w:val="0F7D2198"/>
    <w:rsid w:val="0F8C6010"/>
    <w:rsid w:val="0FBE58EE"/>
    <w:rsid w:val="10072271"/>
    <w:rsid w:val="103121E7"/>
    <w:rsid w:val="10583A7A"/>
    <w:rsid w:val="109B0818"/>
    <w:rsid w:val="10A739D5"/>
    <w:rsid w:val="10BB519D"/>
    <w:rsid w:val="10C10D6E"/>
    <w:rsid w:val="110A7E8F"/>
    <w:rsid w:val="1114107F"/>
    <w:rsid w:val="11651119"/>
    <w:rsid w:val="11710A28"/>
    <w:rsid w:val="11BB1862"/>
    <w:rsid w:val="120224E3"/>
    <w:rsid w:val="1221208B"/>
    <w:rsid w:val="122F22A3"/>
    <w:rsid w:val="1253015A"/>
    <w:rsid w:val="127C6B6A"/>
    <w:rsid w:val="13566077"/>
    <w:rsid w:val="136046DE"/>
    <w:rsid w:val="13E23345"/>
    <w:rsid w:val="13FE2086"/>
    <w:rsid w:val="14A800EA"/>
    <w:rsid w:val="157D5ACE"/>
    <w:rsid w:val="157E1EF2"/>
    <w:rsid w:val="15CB6F31"/>
    <w:rsid w:val="16302145"/>
    <w:rsid w:val="16665CBB"/>
    <w:rsid w:val="16791831"/>
    <w:rsid w:val="17443F1A"/>
    <w:rsid w:val="174B04D5"/>
    <w:rsid w:val="1763586C"/>
    <w:rsid w:val="1771193C"/>
    <w:rsid w:val="17887D5F"/>
    <w:rsid w:val="18057602"/>
    <w:rsid w:val="18756BA8"/>
    <w:rsid w:val="189A2BFA"/>
    <w:rsid w:val="189A34D5"/>
    <w:rsid w:val="18D41224"/>
    <w:rsid w:val="18EA4FC5"/>
    <w:rsid w:val="18F97D87"/>
    <w:rsid w:val="19252D8F"/>
    <w:rsid w:val="193B413F"/>
    <w:rsid w:val="19B10934"/>
    <w:rsid w:val="1A4D521D"/>
    <w:rsid w:val="1A506DCE"/>
    <w:rsid w:val="1B0D155D"/>
    <w:rsid w:val="1B3D709A"/>
    <w:rsid w:val="1BB71CD0"/>
    <w:rsid w:val="1BE2740F"/>
    <w:rsid w:val="1C0702B5"/>
    <w:rsid w:val="1C0A2C53"/>
    <w:rsid w:val="1C164930"/>
    <w:rsid w:val="1C385050"/>
    <w:rsid w:val="1C3927D6"/>
    <w:rsid w:val="1CA05B4B"/>
    <w:rsid w:val="1CDE5159"/>
    <w:rsid w:val="1CEF5573"/>
    <w:rsid w:val="1D100F23"/>
    <w:rsid w:val="1D232A04"/>
    <w:rsid w:val="1D4B6CB9"/>
    <w:rsid w:val="1DBD4D7F"/>
    <w:rsid w:val="1E102EF7"/>
    <w:rsid w:val="1E5953A7"/>
    <w:rsid w:val="1E7E4D14"/>
    <w:rsid w:val="1EBC5191"/>
    <w:rsid w:val="1F1F369F"/>
    <w:rsid w:val="1F690F58"/>
    <w:rsid w:val="20272301"/>
    <w:rsid w:val="20382140"/>
    <w:rsid w:val="20452672"/>
    <w:rsid w:val="20653548"/>
    <w:rsid w:val="207842BC"/>
    <w:rsid w:val="20A35799"/>
    <w:rsid w:val="20A8063A"/>
    <w:rsid w:val="21135143"/>
    <w:rsid w:val="21245CDD"/>
    <w:rsid w:val="213B6D8D"/>
    <w:rsid w:val="21464F13"/>
    <w:rsid w:val="216E7866"/>
    <w:rsid w:val="222D5297"/>
    <w:rsid w:val="225A2C43"/>
    <w:rsid w:val="2279283A"/>
    <w:rsid w:val="227D0076"/>
    <w:rsid w:val="22993768"/>
    <w:rsid w:val="22C8294E"/>
    <w:rsid w:val="22DA54E7"/>
    <w:rsid w:val="22DE6CDF"/>
    <w:rsid w:val="23163A8F"/>
    <w:rsid w:val="231B23CF"/>
    <w:rsid w:val="2322550C"/>
    <w:rsid w:val="23242738"/>
    <w:rsid w:val="23357B35"/>
    <w:rsid w:val="233D19B4"/>
    <w:rsid w:val="235B35D0"/>
    <w:rsid w:val="23A324C0"/>
    <w:rsid w:val="24101808"/>
    <w:rsid w:val="24D05488"/>
    <w:rsid w:val="251807D0"/>
    <w:rsid w:val="253D070B"/>
    <w:rsid w:val="255363D8"/>
    <w:rsid w:val="259B1AA7"/>
    <w:rsid w:val="259B44F8"/>
    <w:rsid w:val="259E5319"/>
    <w:rsid w:val="276A122F"/>
    <w:rsid w:val="27714256"/>
    <w:rsid w:val="27D259A3"/>
    <w:rsid w:val="27E9286C"/>
    <w:rsid w:val="285A7228"/>
    <w:rsid w:val="289E62C6"/>
    <w:rsid w:val="28BB5582"/>
    <w:rsid w:val="28D61962"/>
    <w:rsid w:val="29B50E26"/>
    <w:rsid w:val="2A3B763C"/>
    <w:rsid w:val="2A99107E"/>
    <w:rsid w:val="2AA1140C"/>
    <w:rsid w:val="2AC428D0"/>
    <w:rsid w:val="2ACB2C0E"/>
    <w:rsid w:val="2AE11247"/>
    <w:rsid w:val="2AE4326A"/>
    <w:rsid w:val="2B74156D"/>
    <w:rsid w:val="2BB459BA"/>
    <w:rsid w:val="2C0E531F"/>
    <w:rsid w:val="2C4E7372"/>
    <w:rsid w:val="2CA27CCF"/>
    <w:rsid w:val="2CEF2903"/>
    <w:rsid w:val="2CF63EA5"/>
    <w:rsid w:val="2D412918"/>
    <w:rsid w:val="2D61440C"/>
    <w:rsid w:val="2D6F0515"/>
    <w:rsid w:val="2DE80973"/>
    <w:rsid w:val="2DE92F75"/>
    <w:rsid w:val="2DEF266F"/>
    <w:rsid w:val="2E0E4369"/>
    <w:rsid w:val="2E53443E"/>
    <w:rsid w:val="2E617528"/>
    <w:rsid w:val="2E805365"/>
    <w:rsid w:val="2E913E63"/>
    <w:rsid w:val="2EC01514"/>
    <w:rsid w:val="2F125AA3"/>
    <w:rsid w:val="2F302D5E"/>
    <w:rsid w:val="2F623869"/>
    <w:rsid w:val="2F857D67"/>
    <w:rsid w:val="2FE2647C"/>
    <w:rsid w:val="30385986"/>
    <w:rsid w:val="30BE5A67"/>
    <w:rsid w:val="3115045E"/>
    <w:rsid w:val="31200E47"/>
    <w:rsid w:val="314B2DA7"/>
    <w:rsid w:val="31B77767"/>
    <w:rsid w:val="31CB61DD"/>
    <w:rsid w:val="31D86852"/>
    <w:rsid w:val="322375EB"/>
    <w:rsid w:val="325A1988"/>
    <w:rsid w:val="32843012"/>
    <w:rsid w:val="32AA07AD"/>
    <w:rsid w:val="32AB26B5"/>
    <w:rsid w:val="32B7761C"/>
    <w:rsid w:val="32D63C1D"/>
    <w:rsid w:val="32F347CF"/>
    <w:rsid w:val="33015C82"/>
    <w:rsid w:val="337D071D"/>
    <w:rsid w:val="337D72C7"/>
    <w:rsid w:val="33F97BC3"/>
    <w:rsid w:val="342D2050"/>
    <w:rsid w:val="349B1368"/>
    <w:rsid w:val="34A05977"/>
    <w:rsid w:val="350543B6"/>
    <w:rsid w:val="354107BC"/>
    <w:rsid w:val="35501E23"/>
    <w:rsid w:val="35672E55"/>
    <w:rsid w:val="35934A0F"/>
    <w:rsid w:val="35AD18B2"/>
    <w:rsid w:val="35D07322"/>
    <w:rsid w:val="36071C0F"/>
    <w:rsid w:val="361A78AC"/>
    <w:rsid w:val="36366780"/>
    <w:rsid w:val="36A52284"/>
    <w:rsid w:val="370E17C2"/>
    <w:rsid w:val="372806CC"/>
    <w:rsid w:val="376D444E"/>
    <w:rsid w:val="37751BCC"/>
    <w:rsid w:val="37B620E2"/>
    <w:rsid w:val="37FA6FA7"/>
    <w:rsid w:val="380E7807"/>
    <w:rsid w:val="3811361D"/>
    <w:rsid w:val="38336ACB"/>
    <w:rsid w:val="385C3FDB"/>
    <w:rsid w:val="388F0AF6"/>
    <w:rsid w:val="38AE38A9"/>
    <w:rsid w:val="38AF62FB"/>
    <w:rsid w:val="38BC1488"/>
    <w:rsid w:val="39333B77"/>
    <w:rsid w:val="398E0301"/>
    <w:rsid w:val="39D82F9C"/>
    <w:rsid w:val="3A4C28FB"/>
    <w:rsid w:val="3A7B6A9F"/>
    <w:rsid w:val="3AA30888"/>
    <w:rsid w:val="3B275D45"/>
    <w:rsid w:val="3B331C0C"/>
    <w:rsid w:val="3B653F56"/>
    <w:rsid w:val="3B9A1C8B"/>
    <w:rsid w:val="3C487939"/>
    <w:rsid w:val="3C506111"/>
    <w:rsid w:val="3CA04076"/>
    <w:rsid w:val="3CE5188C"/>
    <w:rsid w:val="3CF63A53"/>
    <w:rsid w:val="3DE607E1"/>
    <w:rsid w:val="3DE9412E"/>
    <w:rsid w:val="3DF169B0"/>
    <w:rsid w:val="3DFD2205"/>
    <w:rsid w:val="3E170F3B"/>
    <w:rsid w:val="3E1D6BA4"/>
    <w:rsid w:val="3E4A58E8"/>
    <w:rsid w:val="3E9660B6"/>
    <w:rsid w:val="3EAE2E24"/>
    <w:rsid w:val="3EB27BA5"/>
    <w:rsid w:val="3F141D55"/>
    <w:rsid w:val="3F244CC1"/>
    <w:rsid w:val="3F6708E2"/>
    <w:rsid w:val="3FA253C9"/>
    <w:rsid w:val="40403448"/>
    <w:rsid w:val="41105DF3"/>
    <w:rsid w:val="411E4B7E"/>
    <w:rsid w:val="41486274"/>
    <w:rsid w:val="41D62EBD"/>
    <w:rsid w:val="4272634B"/>
    <w:rsid w:val="427F3FDA"/>
    <w:rsid w:val="42BC2416"/>
    <w:rsid w:val="42E42BC9"/>
    <w:rsid w:val="438049FB"/>
    <w:rsid w:val="438F11EC"/>
    <w:rsid w:val="43C628AC"/>
    <w:rsid w:val="43EE4CC7"/>
    <w:rsid w:val="44A1445C"/>
    <w:rsid w:val="44B65017"/>
    <w:rsid w:val="44CA3141"/>
    <w:rsid w:val="44DE5295"/>
    <w:rsid w:val="450F48DF"/>
    <w:rsid w:val="456D3C36"/>
    <w:rsid w:val="457101E2"/>
    <w:rsid w:val="458B74A6"/>
    <w:rsid w:val="45ED7D4D"/>
    <w:rsid w:val="461B65AA"/>
    <w:rsid w:val="462705C0"/>
    <w:rsid w:val="46393B5F"/>
    <w:rsid w:val="46655F66"/>
    <w:rsid w:val="46DB13AA"/>
    <w:rsid w:val="477F3EB0"/>
    <w:rsid w:val="47D013F3"/>
    <w:rsid w:val="47D33A8B"/>
    <w:rsid w:val="47DE6C76"/>
    <w:rsid w:val="48512FD1"/>
    <w:rsid w:val="488E4926"/>
    <w:rsid w:val="4929619B"/>
    <w:rsid w:val="492D57AE"/>
    <w:rsid w:val="492E4EFC"/>
    <w:rsid w:val="49A64064"/>
    <w:rsid w:val="49BB3561"/>
    <w:rsid w:val="49BC3603"/>
    <w:rsid w:val="49C600F0"/>
    <w:rsid w:val="4A0E0038"/>
    <w:rsid w:val="4A6F2AC4"/>
    <w:rsid w:val="4ACB30BA"/>
    <w:rsid w:val="4AEB6431"/>
    <w:rsid w:val="4B021694"/>
    <w:rsid w:val="4B1D4687"/>
    <w:rsid w:val="4BB96A04"/>
    <w:rsid w:val="4BC41C91"/>
    <w:rsid w:val="4C3C26CF"/>
    <w:rsid w:val="4C4A7997"/>
    <w:rsid w:val="4C4F2E23"/>
    <w:rsid w:val="4D072F6F"/>
    <w:rsid w:val="4D4001B9"/>
    <w:rsid w:val="4D774051"/>
    <w:rsid w:val="4D8D73BE"/>
    <w:rsid w:val="4DA11701"/>
    <w:rsid w:val="4DA51E86"/>
    <w:rsid w:val="4DAC62CE"/>
    <w:rsid w:val="4DD40B5B"/>
    <w:rsid w:val="4E5715CC"/>
    <w:rsid w:val="4EE96D5A"/>
    <w:rsid w:val="509831AF"/>
    <w:rsid w:val="50A21DBF"/>
    <w:rsid w:val="50AC0E6C"/>
    <w:rsid w:val="5154665E"/>
    <w:rsid w:val="515A6091"/>
    <w:rsid w:val="51B57115"/>
    <w:rsid w:val="51E14A36"/>
    <w:rsid w:val="52126329"/>
    <w:rsid w:val="521640C9"/>
    <w:rsid w:val="52470583"/>
    <w:rsid w:val="52E602D1"/>
    <w:rsid w:val="533453A9"/>
    <w:rsid w:val="539A209A"/>
    <w:rsid w:val="53B3096B"/>
    <w:rsid w:val="53D505E2"/>
    <w:rsid w:val="53EE6EF4"/>
    <w:rsid w:val="5432079C"/>
    <w:rsid w:val="54777864"/>
    <w:rsid w:val="548F745F"/>
    <w:rsid w:val="54B17FBE"/>
    <w:rsid w:val="54B87904"/>
    <w:rsid w:val="54FF0C91"/>
    <w:rsid w:val="55772575"/>
    <w:rsid w:val="557D4CE3"/>
    <w:rsid w:val="55985C34"/>
    <w:rsid w:val="55D21A3E"/>
    <w:rsid w:val="562A186C"/>
    <w:rsid w:val="571A1A7B"/>
    <w:rsid w:val="574D22F3"/>
    <w:rsid w:val="57723FD4"/>
    <w:rsid w:val="57B57EBE"/>
    <w:rsid w:val="57B92425"/>
    <w:rsid w:val="57BB500C"/>
    <w:rsid w:val="57D66975"/>
    <w:rsid w:val="57DC2701"/>
    <w:rsid w:val="58134E48"/>
    <w:rsid w:val="58A843C6"/>
    <w:rsid w:val="592301E1"/>
    <w:rsid w:val="59554E3B"/>
    <w:rsid w:val="597C4D04"/>
    <w:rsid w:val="59A10231"/>
    <w:rsid w:val="5A1E7263"/>
    <w:rsid w:val="5A4F7C8D"/>
    <w:rsid w:val="5A561049"/>
    <w:rsid w:val="5A7F55EC"/>
    <w:rsid w:val="5ADD3AB9"/>
    <w:rsid w:val="5B1C014C"/>
    <w:rsid w:val="5B673C31"/>
    <w:rsid w:val="5B765CFE"/>
    <w:rsid w:val="5C2D2CA7"/>
    <w:rsid w:val="5CA87D85"/>
    <w:rsid w:val="5CCC76A3"/>
    <w:rsid w:val="5CDD1CAA"/>
    <w:rsid w:val="5CFF1C77"/>
    <w:rsid w:val="5D156F6C"/>
    <w:rsid w:val="5D2A4E86"/>
    <w:rsid w:val="5D2C2FFF"/>
    <w:rsid w:val="5D5C2BD8"/>
    <w:rsid w:val="5E1E4AD4"/>
    <w:rsid w:val="5E467271"/>
    <w:rsid w:val="5E745CD6"/>
    <w:rsid w:val="5E754F3D"/>
    <w:rsid w:val="5EA17BBA"/>
    <w:rsid w:val="5EC30CE3"/>
    <w:rsid w:val="5EFE4B3A"/>
    <w:rsid w:val="5F237F75"/>
    <w:rsid w:val="5F9D130A"/>
    <w:rsid w:val="5FF55C85"/>
    <w:rsid w:val="603E5D79"/>
    <w:rsid w:val="606C06C2"/>
    <w:rsid w:val="60F5274C"/>
    <w:rsid w:val="614D033F"/>
    <w:rsid w:val="622938BA"/>
    <w:rsid w:val="622946BC"/>
    <w:rsid w:val="624928CA"/>
    <w:rsid w:val="629D2A1F"/>
    <w:rsid w:val="62FD6687"/>
    <w:rsid w:val="63076D99"/>
    <w:rsid w:val="63860BC4"/>
    <w:rsid w:val="63A64A02"/>
    <w:rsid w:val="63A92E44"/>
    <w:rsid w:val="63CA23DA"/>
    <w:rsid w:val="63FE402F"/>
    <w:rsid w:val="643636A3"/>
    <w:rsid w:val="64587300"/>
    <w:rsid w:val="64757877"/>
    <w:rsid w:val="648512ED"/>
    <w:rsid w:val="64E66515"/>
    <w:rsid w:val="659A151F"/>
    <w:rsid w:val="65D442A0"/>
    <w:rsid w:val="65FF3F09"/>
    <w:rsid w:val="660D737A"/>
    <w:rsid w:val="66EC0AF7"/>
    <w:rsid w:val="67873875"/>
    <w:rsid w:val="68353326"/>
    <w:rsid w:val="687E75D9"/>
    <w:rsid w:val="68D53F0D"/>
    <w:rsid w:val="68DA4C11"/>
    <w:rsid w:val="68E90A30"/>
    <w:rsid w:val="691F0A55"/>
    <w:rsid w:val="69232A11"/>
    <w:rsid w:val="69304D10"/>
    <w:rsid w:val="69855FE9"/>
    <w:rsid w:val="69877951"/>
    <w:rsid w:val="69F83958"/>
    <w:rsid w:val="6A1A08A5"/>
    <w:rsid w:val="6A2626FA"/>
    <w:rsid w:val="6A462E5B"/>
    <w:rsid w:val="6A870E0F"/>
    <w:rsid w:val="6A9B2674"/>
    <w:rsid w:val="6AAC573D"/>
    <w:rsid w:val="6AAE3893"/>
    <w:rsid w:val="6AF77660"/>
    <w:rsid w:val="6B51584D"/>
    <w:rsid w:val="6B832956"/>
    <w:rsid w:val="6B8754D9"/>
    <w:rsid w:val="6C0F7FD7"/>
    <w:rsid w:val="6C242858"/>
    <w:rsid w:val="6C5E0429"/>
    <w:rsid w:val="6C8E1655"/>
    <w:rsid w:val="6C90660F"/>
    <w:rsid w:val="6CCB19FA"/>
    <w:rsid w:val="6CF773AB"/>
    <w:rsid w:val="6DCF6E1E"/>
    <w:rsid w:val="6E950837"/>
    <w:rsid w:val="6F2F2727"/>
    <w:rsid w:val="6F6A3147"/>
    <w:rsid w:val="6F83464F"/>
    <w:rsid w:val="6FC40824"/>
    <w:rsid w:val="6FE52CEE"/>
    <w:rsid w:val="6FF66AA9"/>
    <w:rsid w:val="703B4EA9"/>
    <w:rsid w:val="70C920F0"/>
    <w:rsid w:val="70E51CD3"/>
    <w:rsid w:val="71655E64"/>
    <w:rsid w:val="71B457F4"/>
    <w:rsid w:val="71CA4040"/>
    <w:rsid w:val="72EA55A2"/>
    <w:rsid w:val="72F55AC2"/>
    <w:rsid w:val="732140CC"/>
    <w:rsid w:val="735B629C"/>
    <w:rsid w:val="736A607B"/>
    <w:rsid w:val="736D3206"/>
    <w:rsid w:val="73951FDA"/>
    <w:rsid w:val="743364C0"/>
    <w:rsid w:val="74545612"/>
    <w:rsid w:val="74675EA7"/>
    <w:rsid w:val="74AD26CC"/>
    <w:rsid w:val="74F87B4C"/>
    <w:rsid w:val="75006204"/>
    <w:rsid w:val="751F7C70"/>
    <w:rsid w:val="75207934"/>
    <w:rsid w:val="76147DED"/>
    <w:rsid w:val="7618410B"/>
    <w:rsid w:val="763921B6"/>
    <w:rsid w:val="76BE285E"/>
    <w:rsid w:val="770370DE"/>
    <w:rsid w:val="771E1BA7"/>
    <w:rsid w:val="7744501C"/>
    <w:rsid w:val="776C4A2B"/>
    <w:rsid w:val="77752FD1"/>
    <w:rsid w:val="77C31E96"/>
    <w:rsid w:val="78273E7E"/>
    <w:rsid w:val="78793C5B"/>
    <w:rsid w:val="78CC2A74"/>
    <w:rsid w:val="790330FE"/>
    <w:rsid w:val="796C5D0E"/>
    <w:rsid w:val="79715375"/>
    <w:rsid w:val="799F35DD"/>
    <w:rsid w:val="79A25B8B"/>
    <w:rsid w:val="7A0F3269"/>
    <w:rsid w:val="7A401BAE"/>
    <w:rsid w:val="7A7A220B"/>
    <w:rsid w:val="7BE37F78"/>
    <w:rsid w:val="7BFA1CF7"/>
    <w:rsid w:val="7C38637B"/>
    <w:rsid w:val="7CD460A4"/>
    <w:rsid w:val="7CE1144E"/>
    <w:rsid w:val="7CF36E72"/>
    <w:rsid w:val="7D7D2D75"/>
    <w:rsid w:val="7D935417"/>
    <w:rsid w:val="7E041932"/>
    <w:rsid w:val="7E0603C0"/>
    <w:rsid w:val="7E1C06D7"/>
    <w:rsid w:val="7E9706B7"/>
    <w:rsid w:val="7EFB200E"/>
    <w:rsid w:val="7F64612E"/>
    <w:rsid w:val="7F7C7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4"/>
    <w:basedOn w:val="1"/>
    <w:next w:val="4"/>
    <w:autoRedefine/>
    <w:unhideWhenUsed/>
    <w:qFormat/>
    <w:uiPriority w:val="9"/>
    <w:pPr>
      <w:keepNext/>
      <w:keepLines/>
      <w:spacing w:before="200"/>
      <w:outlineLvl w:val="3"/>
    </w:pPr>
    <w:rPr>
      <w:rFonts w:asciiTheme="majorHAnsi" w:hAnsiTheme="majorHAnsi" w:eastAsiaTheme="majorEastAsia" w:cstheme="majorBidi"/>
      <w:b/>
      <w:bCs/>
      <w:color w:val="5B9BD5" w:themeColor="accent1"/>
      <w14:textFill>
        <w14:solidFill>
          <w14:schemeClr w14:val="accent1"/>
        </w14:solidFill>
      </w14:textFill>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autoRedefine/>
    <w:qFormat/>
    <w:uiPriority w:val="0"/>
    <w:pPr>
      <w:spacing w:before="180" w:after="180"/>
    </w:pPr>
  </w:style>
  <w:style w:type="paragraph" w:styleId="5">
    <w:name w:val="annotation text"/>
    <w:basedOn w:val="1"/>
    <w:link w:val="19"/>
    <w:autoRedefine/>
    <w:qFormat/>
    <w:uiPriority w:val="0"/>
    <w:pPr>
      <w:jc w:val="left"/>
    </w:pPr>
  </w:style>
  <w:style w:type="paragraph" w:styleId="6">
    <w:name w:val="Body Text Indent 2"/>
    <w:basedOn w:val="1"/>
    <w:autoRedefine/>
    <w:unhideWhenUsed/>
    <w:qFormat/>
    <w:uiPriority w:val="99"/>
    <w:pPr>
      <w:spacing w:after="120" w:line="480" w:lineRule="auto"/>
      <w:ind w:left="420" w:leftChars="200"/>
    </w:pPr>
    <w:rPr>
      <w:rFonts w:ascii="Times New Roman" w:hAnsi="Times New Roman" w:cs="Times New Roman"/>
    </w:rPr>
  </w:style>
  <w:style w:type="paragraph" w:styleId="7">
    <w:name w:val="Balloon Text"/>
    <w:basedOn w:val="1"/>
    <w:link w:val="21"/>
    <w:autoRedefine/>
    <w:qFormat/>
    <w:uiPriority w:val="0"/>
    <w:rPr>
      <w:sz w:val="18"/>
      <w:szCs w:val="18"/>
    </w:rPr>
  </w:style>
  <w:style w:type="paragraph" w:styleId="8">
    <w:name w:val="footer"/>
    <w:basedOn w:val="1"/>
    <w:link w:val="18"/>
    <w:autoRedefine/>
    <w:qFormat/>
    <w:uiPriority w:val="0"/>
    <w:pPr>
      <w:tabs>
        <w:tab w:val="center" w:pos="4153"/>
        <w:tab w:val="right" w:pos="8306"/>
      </w:tabs>
      <w:snapToGrid w:val="0"/>
      <w:jc w:val="left"/>
    </w:pPr>
    <w:rPr>
      <w:sz w:val="18"/>
      <w:szCs w:val="18"/>
    </w:rPr>
  </w:style>
  <w:style w:type="paragraph" w:styleId="9">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spacing w:beforeAutospacing="1" w:afterAutospacing="1"/>
      <w:jc w:val="left"/>
    </w:pPr>
    <w:rPr>
      <w:rFonts w:cs="Times New Roman"/>
      <w:kern w:val="0"/>
      <w:sz w:val="24"/>
    </w:rPr>
  </w:style>
  <w:style w:type="paragraph" w:styleId="11">
    <w:name w:val="annotation subject"/>
    <w:basedOn w:val="5"/>
    <w:next w:val="5"/>
    <w:link w:val="20"/>
    <w:autoRedefine/>
    <w:qFormat/>
    <w:uiPriority w:val="0"/>
    <w:rPr>
      <w:b/>
      <w:bCs/>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autoRedefine/>
    <w:qFormat/>
    <w:uiPriority w:val="0"/>
    <w:rPr>
      <w:sz w:val="21"/>
      <w:szCs w:val="21"/>
    </w:rPr>
  </w:style>
  <w:style w:type="paragraph" w:styleId="16">
    <w:name w:val="List Paragraph"/>
    <w:basedOn w:val="1"/>
    <w:autoRedefine/>
    <w:qFormat/>
    <w:uiPriority w:val="34"/>
    <w:pPr>
      <w:ind w:firstLine="420" w:firstLineChars="200"/>
    </w:pPr>
  </w:style>
  <w:style w:type="character" w:customStyle="1" w:styleId="17">
    <w:name w:val="页眉 字符"/>
    <w:basedOn w:val="14"/>
    <w:link w:val="9"/>
    <w:autoRedefine/>
    <w:qFormat/>
    <w:uiPriority w:val="0"/>
    <w:rPr>
      <w:kern w:val="2"/>
      <w:sz w:val="18"/>
      <w:szCs w:val="18"/>
    </w:rPr>
  </w:style>
  <w:style w:type="character" w:customStyle="1" w:styleId="18">
    <w:name w:val="页脚 字符"/>
    <w:basedOn w:val="14"/>
    <w:link w:val="8"/>
    <w:autoRedefine/>
    <w:qFormat/>
    <w:uiPriority w:val="0"/>
    <w:rPr>
      <w:kern w:val="2"/>
      <w:sz w:val="18"/>
      <w:szCs w:val="18"/>
    </w:rPr>
  </w:style>
  <w:style w:type="character" w:customStyle="1" w:styleId="19">
    <w:name w:val="批注文字 字符"/>
    <w:basedOn w:val="14"/>
    <w:link w:val="5"/>
    <w:autoRedefine/>
    <w:qFormat/>
    <w:uiPriority w:val="0"/>
    <w:rPr>
      <w:kern w:val="2"/>
      <w:sz w:val="21"/>
      <w:szCs w:val="24"/>
    </w:rPr>
  </w:style>
  <w:style w:type="character" w:customStyle="1" w:styleId="20">
    <w:name w:val="批注主题 字符"/>
    <w:basedOn w:val="19"/>
    <w:link w:val="11"/>
    <w:autoRedefine/>
    <w:qFormat/>
    <w:uiPriority w:val="0"/>
    <w:rPr>
      <w:b/>
      <w:bCs/>
      <w:kern w:val="2"/>
      <w:sz w:val="21"/>
      <w:szCs w:val="24"/>
    </w:rPr>
  </w:style>
  <w:style w:type="character" w:customStyle="1" w:styleId="21">
    <w:name w:val="批注框文本 字符"/>
    <w:basedOn w:val="14"/>
    <w:link w:val="7"/>
    <w:autoRedefine/>
    <w:qFormat/>
    <w:uiPriority w:val="0"/>
    <w:rPr>
      <w:kern w:val="2"/>
      <w:sz w:val="18"/>
      <w:szCs w:val="18"/>
    </w:rPr>
  </w:style>
  <w:style w:type="paragraph" w:customStyle="1" w:styleId="22">
    <w:name w:val="修订1"/>
    <w:autoRedefine/>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23">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4">
    <w:name w:val="年报正文"/>
    <w:basedOn w:val="1"/>
    <w:autoRedefine/>
    <w:qFormat/>
    <w:uiPriority w:val="0"/>
    <w:pPr>
      <w:spacing w:before="120" w:beforeLines="50" w:line="360" w:lineRule="auto"/>
      <w:ind w:firstLine="480" w:firstLineChars="200"/>
    </w:pPr>
  </w:style>
  <w:style w:type="paragraph" w:customStyle="1" w:styleId="25">
    <w:name w:val="First Paragraph"/>
    <w:basedOn w:val="4"/>
    <w:next w:val="4"/>
    <w:autoRedefine/>
    <w:qFormat/>
    <w:uiPriority w:val="0"/>
  </w:style>
  <w:style w:type="paragraph" w:customStyle="1" w:styleId="26">
    <w:name w:val="_Style 75"/>
    <w:basedOn w:val="27"/>
    <w:autoRedefine/>
    <w:qFormat/>
    <w:uiPriority w:val="34"/>
    <w:pPr>
      <w:widowControl w:val="0"/>
      <w:ind w:firstLine="420" w:firstLineChars="200"/>
      <w:jc w:val="both"/>
    </w:pPr>
    <w:rPr>
      <w:rFonts w:ascii="Calibri" w:hAnsi="Calibri" w:cs="Times New Roman"/>
      <w:kern w:val="2"/>
      <w:szCs w:val="22"/>
    </w:rPr>
  </w:style>
  <w:style w:type="paragraph" w:customStyle="1" w:styleId="27">
    <w:name w:val="_Style 46"/>
    <w:autoRedefine/>
    <w:qFormat/>
    <w:uiPriority w:val="0"/>
    <w:rPr>
      <w:rFonts w:ascii="宋体" w:hAnsi="宋体" w:eastAsia="宋体" w:cs="宋体"/>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7</Pages>
  <Words>2509</Words>
  <Characters>2643</Characters>
  <Lines>22</Lines>
  <Paragraphs>6</Paragraphs>
  <TotalTime>15</TotalTime>
  <ScaleCrop>false</ScaleCrop>
  <LinksUpToDate>false</LinksUpToDate>
  <CharactersWithSpaces>2678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2023-02-03T05:11:00Z</dcterms:created>
  <dc:creator>zyx✨</dc:creator>
  <cp:lastModifiedBy>颜琬潼</cp:lastModifiedBy>
  <cp:lastPrinted>2022-07-08T01:10:00Z</cp:lastPrinted>
  <dcterms:modified xsi:type="dcterms:W3CDTF">2025-05-08T09:12:48Z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5FD6E6125A494E5A85508637847ACE59_13</vt:lpwstr>
  </property>
  <property fmtid="{D5CDD505-2E9C-101B-9397-08002B2CF9AE}" pid="4" name="KSOTemplateDocerSaveRecord">
    <vt:lpwstr>eyJoZGlkIjoiZDRhMTYxOGNmYWZhOTM4MWYxOTE1YTNhODg4NmU5ODUiLCJ1c2VySWQiOiI1ODE3NjQyMDYifQ==</vt:lpwstr>
  </property>
</Properties>
</file>