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156" w:rsidRDefault="00FF53C8">
      <w:pPr>
        <w:spacing w:beforeLines="50" w:before="156" w:afterLines="50" w:after="156" w:line="400" w:lineRule="exact"/>
        <w:rPr>
          <w:bCs/>
          <w:iCs/>
          <w:color w:val="000000"/>
          <w:sz w:val="24"/>
        </w:rPr>
      </w:pPr>
      <w:r>
        <w:rPr>
          <w:rFonts w:hAnsi="宋体"/>
          <w:bCs/>
          <w:iCs/>
          <w:color w:val="000000"/>
          <w:sz w:val="24"/>
        </w:rPr>
        <w:t>证券代码：</w:t>
      </w:r>
      <w:r>
        <w:rPr>
          <w:color w:val="000000"/>
          <w:sz w:val="24"/>
        </w:rPr>
        <w:t xml:space="preserve">600110                </w:t>
      </w:r>
      <w:r w:rsidR="006C45FC">
        <w:rPr>
          <w:color w:val="000000"/>
          <w:sz w:val="24"/>
        </w:rPr>
        <w:t xml:space="preserve">   </w:t>
      </w:r>
      <w:r>
        <w:rPr>
          <w:color w:val="000000"/>
          <w:sz w:val="24"/>
        </w:rPr>
        <w:t xml:space="preserve">            </w:t>
      </w:r>
      <w:r w:rsidR="006C45FC">
        <w:rPr>
          <w:color w:val="000000"/>
          <w:sz w:val="24"/>
        </w:rPr>
        <w:t xml:space="preserve">   </w:t>
      </w:r>
      <w:r>
        <w:rPr>
          <w:color w:val="000000"/>
          <w:sz w:val="24"/>
        </w:rPr>
        <w:t xml:space="preserve"> </w:t>
      </w:r>
      <w:r>
        <w:rPr>
          <w:rFonts w:hAnsi="宋体"/>
          <w:bCs/>
          <w:iCs/>
          <w:color w:val="000000"/>
          <w:sz w:val="24"/>
        </w:rPr>
        <w:t>证券简称：</w:t>
      </w:r>
      <w:r>
        <w:rPr>
          <w:color w:val="000000"/>
          <w:sz w:val="24"/>
        </w:rPr>
        <w:t>诺德股份</w:t>
      </w:r>
    </w:p>
    <w:p w:rsidR="006C45FC" w:rsidRPr="006C45FC" w:rsidRDefault="00FF53C8" w:rsidP="006C45FC">
      <w:pPr>
        <w:spacing w:beforeLines="50" w:before="156" w:afterLines="50" w:after="156" w:line="400" w:lineRule="exact"/>
        <w:jc w:val="center"/>
        <w:rPr>
          <w:rFonts w:ascii="宋体" w:hAnsi="宋体"/>
          <w:b/>
          <w:bCs/>
          <w:iCs/>
          <w:color w:val="FF0000"/>
          <w:sz w:val="32"/>
          <w:szCs w:val="32"/>
        </w:rPr>
      </w:pPr>
      <w:r w:rsidRPr="006C45FC">
        <w:rPr>
          <w:rFonts w:ascii="宋体" w:hAnsi="宋体"/>
          <w:b/>
          <w:bCs/>
          <w:iCs/>
          <w:color w:val="FF0000"/>
          <w:sz w:val="32"/>
          <w:szCs w:val="32"/>
        </w:rPr>
        <w:t>诺德新材料股份有限公司</w:t>
      </w:r>
    </w:p>
    <w:p w:rsidR="00EF1156" w:rsidRDefault="000225D4" w:rsidP="006C45FC">
      <w:pPr>
        <w:spacing w:beforeLines="50" w:before="156" w:afterLines="50" w:after="156" w:line="400" w:lineRule="exact"/>
        <w:jc w:val="center"/>
        <w:rPr>
          <w:rFonts w:ascii="宋体" w:hAnsi="宋体"/>
          <w:b/>
          <w:bCs/>
          <w:iCs/>
          <w:color w:val="FF0000"/>
          <w:sz w:val="32"/>
          <w:szCs w:val="32"/>
        </w:rPr>
      </w:pPr>
      <w:r w:rsidRPr="000225D4">
        <w:rPr>
          <w:rFonts w:ascii="宋体" w:hAnsi="宋体" w:hint="eastAsia"/>
          <w:b/>
          <w:bCs/>
          <w:iCs/>
          <w:color w:val="FF0000"/>
          <w:sz w:val="32"/>
          <w:szCs w:val="32"/>
        </w:rPr>
        <w:t>关于终止筹划重大资产重组投资者说明会</w:t>
      </w:r>
      <w:r w:rsidR="00FF53C8" w:rsidRPr="006C45FC">
        <w:rPr>
          <w:rFonts w:ascii="宋体" w:hAnsi="宋体" w:hint="eastAsia"/>
          <w:b/>
          <w:bCs/>
          <w:iCs/>
          <w:color w:val="FF0000"/>
          <w:sz w:val="32"/>
          <w:szCs w:val="32"/>
        </w:rPr>
        <w:t>记录表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EF1156" w:rsidRPr="00D82432" w:rsidTr="00D82432">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rsidR="00EF1156" w:rsidRPr="00D82432" w:rsidRDefault="00FF53C8" w:rsidP="00087377">
            <w:pPr>
              <w:spacing w:beforeLines="50" w:before="156" w:afterLines="50" w:after="156" w:line="360" w:lineRule="auto"/>
              <w:rPr>
                <w:rFonts w:ascii="楷体" w:eastAsia="楷体" w:hAnsi="楷体"/>
                <w:bCs/>
                <w:iCs/>
                <w:color w:val="000000"/>
                <w:sz w:val="24"/>
              </w:rPr>
            </w:pPr>
            <w:r w:rsidRPr="00D82432">
              <w:rPr>
                <w:rFonts w:ascii="楷体" w:eastAsia="楷体" w:hAnsi="楷体"/>
                <w:bCs/>
                <w:iCs/>
                <w:color w:val="000000"/>
                <w:kern w:val="0"/>
                <w:sz w:val="24"/>
              </w:rPr>
              <w:t>□</w:t>
            </w:r>
            <w:r w:rsidR="000225D4">
              <w:rPr>
                <w:rFonts w:ascii="楷体" w:eastAsia="楷体" w:hAnsi="楷体"/>
                <w:bCs/>
                <w:iCs/>
                <w:color w:val="000000"/>
                <w:kern w:val="0"/>
                <w:sz w:val="24"/>
              </w:rPr>
              <w:t xml:space="preserve"> </w:t>
            </w:r>
            <w:r w:rsidRPr="00D82432">
              <w:rPr>
                <w:rFonts w:ascii="楷体" w:eastAsia="楷体" w:hAnsi="楷体"/>
                <w:kern w:val="0"/>
                <w:sz w:val="24"/>
              </w:rPr>
              <w:t xml:space="preserve">特定对象调研       </w:t>
            </w:r>
            <w:r w:rsidRPr="00D82432">
              <w:rPr>
                <w:rFonts w:ascii="楷体" w:eastAsia="楷体" w:hAnsi="楷体" w:hint="eastAsia"/>
                <w:kern w:val="0"/>
                <w:sz w:val="24"/>
              </w:rPr>
              <w:t xml:space="preserve"> </w:t>
            </w: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分析师会议</w:t>
            </w:r>
          </w:p>
          <w:p w:rsidR="00EF1156" w:rsidRPr="00D82432" w:rsidRDefault="00FF53C8" w:rsidP="00087377">
            <w:pPr>
              <w:spacing w:beforeLines="50" w:before="156" w:afterLines="50" w:after="156" w:line="360" w:lineRule="auto"/>
              <w:rPr>
                <w:rFonts w:ascii="楷体" w:eastAsia="楷体" w:hAnsi="楷体"/>
                <w:bCs/>
                <w:iCs/>
                <w:color w:val="000000"/>
                <w:kern w:val="0"/>
                <w:sz w:val="24"/>
              </w:rPr>
            </w:pP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 xml:space="preserve">媒体采访            </w:t>
            </w:r>
            <w:r w:rsidR="000225D4"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业绩说明会</w:t>
            </w:r>
          </w:p>
          <w:p w:rsidR="00EF1156" w:rsidRPr="00D82432" w:rsidRDefault="00FF53C8" w:rsidP="00087377">
            <w:pPr>
              <w:spacing w:beforeLines="50" w:before="156" w:afterLines="50" w:after="156" w:line="360" w:lineRule="auto"/>
              <w:rPr>
                <w:rFonts w:ascii="楷体" w:eastAsia="楷体" w:hAnsi="楷体"/>
                <w:bCs/>
                <w:iCs/>
                <w:color w:val="000000"/>
                <w:kern w:val="0"/>
                <w:sz w:val="24"/>
              </w:rPr>
            </w:pP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 xml:space="preserve">新闻发布会          </w:t>
            </w: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路演活动</w:t>
            </w:r>
          </w:p>
          <w:p w:rsidR="00EF1156" w:rsidRPr="00D82432" w:rsidRDefault="00FF53C8" w:rsidP="00087377">
            <w:pPr>
              <w:tabs>
                <w:tab w:val="left" w:pos="3045"/>
                <w:tab w:val="center" w:pos="3199"/>
              </w:tabs>
              <w:spacing w:beforeLines="50" w:before="156" w:afterLines="50" w:after="156" w:line="360" w:lineRule="auto"/>
              <w:rPr>
                <w:rFonts w:ascii="楷体" w:eastAsia="楷体" w:hAnsi="楷体"/>
                <w:bCs/>
                <w:iCs/>
                <w:color w:val="000000"/>
                <w:kern w:val="0"/>
                <w:sz w:val="24"/>
              </w:rPr>
            </w:pP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现场参观</w:t>
            </w:r>
            <w:r w:rsidRPr="00D82432">
              <w:rPr>
                <w:rFonts w:ascii="楷体" w:eastAsia="楷体" w:hAnsi="楷体"/>
                <w:bCs/>
                <w:iCs/>
                <w:color w:val="000000"/>
                <w:kern w:val="0"/>
                <w:sz w:val="24"/>
              </w:rPr>
              <w:tab/>
            </w:r>
          </w:p>
          <w:p w:rsidR="00EF1156" w:rsidRPr="00D82432" w:rsidRDefault="000225D4" w:rsidP="00087377">
            <w:pPr>
              <w:tabs>
                <w:tab w:val="center" w:pos="3199"/>
              </w:tabs>
              <w:spacing w:beforeLines="50" w:before="156" w:afterLines="50" w:after="156" w:line="360" w:lineRule="auto"/>
              <w:rPr>
                <w:rFonts w:ascii="楷体" w:eastAsia="楷体" w:hAnsi="楷体"/>
                <w:bCs/>
                <w:iCs/>
                <w:color w:val="000000"/>
                <w:sz w:val="24"/>
              </w:rPr>
            </w:pPr>
            <w:r w:rsidRPr="00D82432">
              <w:rPr>
                <w:rFonts w:ascii="楷体" w:eastAsia="楷体" w:hAnsi="楷体"/>
                <w:bCs/>
                <w:iCs/>
                <w:color w:val="000000"/>
                <w:kern w:val="0"/>
                <w:sz w:val="24"/>
              </w:rPr>
              <w:t>√</w:t>
            </w:r>
            <w:r w:rsidR="00FF53C8" w:rsidRPr="00D82432">
              <w:rPr>
                <w:rFonts w:ascii="楷体" w:eastAsia="楷体" w:hAnsi="楷体" w:hint="eastAsia"/>
                <w:bCs/>
                <w:iCs/>
                <w:color w:val="000000"/>
                <w:kern w:val="0"/>
                <w:sz w:val="24"/>
              </w:rPr>
              <w:t xml:space="preserve"> </w:t>
            </w:r>
            <w:r w:rsidR="00FF53C8" w:rsidRPr="00D82432">
              <w:rPr>
                <w:rFonts w:ascii="楷体" w:eastAsia="楷体" w:hAnsi="楷体"/>
                <w:kern w:val="0"/>
                <w:sz w:val="24"/>
              </w:rPr>
              <w:t xml:space="preserve">其他 </w:t>
            </w:r>
          </w:p>
        </w:tc>
      </w:tr>
      <w:tr w:rsidR="00EF1156" w:rsidRPr="00D82432" w:rsidTr="00087377">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EF1156" w:rsidRPr="00D82432" w:rsidRDefault="00D14893" w:rsidP="00306A9C">
            <w:pPr>
              <w:spacing w:beforeLines="50" w:before="156" w:afterLines="50" w:after="156" w:line="360" w:lineRule="auto"/>
              <w:rPr>
                <w:rFonts w:ascii="楷体" w:eastAsia="楷体" w:hAnsi="楷体"/>
                <w:bCs/>
                <w:iCs/>
                <w:color w:val="000000"/>
                <w:sz w:val="24"/>
                <w:lang w:val="en-GB"/>
              </w:rPr>
            </w:pPr>
            <w:r w:rsidRPr="00D82432">
              <w:rPr>
                <w:rFonts w:ascii="楷体" w:eastAsia="楷体" w:hAnsi="楷体" w:hint="eastAsia"/>
                <w:bCs/>
                <w:iCs/>
                <w:color w:val="000000"/>
                <w:sz w:val="24"/>
                <w:lang w:val="en-GB"/>
              </w:rPr>
              <w:t>参与公司</w:t>
            </w:r>
            <w:bookmarkStart w:id="0" w:name="_GoBack"/>
            <w:r w:rsidR="000225D4" w:rsidRPr="000225D4">
              <w:rPr>
                <w:rFonts w:ascii="楷体" w:eastAsia="楷体" w:hAnsi="楷体" w:hint="eastAsia"/>
                <w:bCs/>
                <w:iCs/>
                <w:color w:val="000000"/>
                <w:sz w:val="24"/>
                <w:lang w:val="en-GB"/>
              </w:rPr>
              <w:t>关于终止筹划重大资产重组投资者说明会</w:t>
            </w:r>
            <w:bookmarkEnd w:id="0"/>
            <w:r w:rsidRPr="00D82432">
              <w:rPr>
                <w:rFonts w:ascii="楷体" w:eastAsia="楷体" w:hAnsi="楷体" w:hint="eastAsia"/>
                <w:bCs/>
                <w:iCs/>
                <w:color w:val="000000"/>
                <w:sz w:val="24"/>
                <w:lang w:val="en-GB"/>
              </w:rPr>
              <w:t>投资者</w:t>
            </w:r>
          </w:p>
        </w:tc>
      </w:tr>
      <w:tr w:rsidR="00EF1156" w:rsidRPr="00D82432" w:rsidTr="00D82432">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EF1156" w:rsidRPr="00D82432" w:rsidRDefault="00D14893" w:rsidP="000225D4">
            <w:pPr>
              <w:spacing w:beforeLines="50" w:before="156" w:afterLines="50" w:after="156" w:line="360" w:lineRule="auto"/>
              <w:rPr>
                <w:rFonts w:ascii="楷体" w:eastAsia="楷体" w:hAnsi="楷体"/>
                <w:bCs/>
                <w:iCs/>
                <w:color w:val="000000"/>
                <w:sz w:val="24"/>
              </w:rPr>
            </w:pPr>
            <w:r w:rsidRPr="00D82432">
              <w:rPr>
                <w:rFonts w:ascii="楷体" w:eastAsia="楷体" w:hAnsi="楷体" w:hint="eastAsia"/>
                <w:bCs/>
                <w:iCs/>
                <w:color w:val="000000"/>
                <w:sz w:val="24"/>
              </w:rPr>
              <w:t>202</w:t>
            </w:r>
            <w:r w:rsidR="000225D4">
              <w:rPr>
                <w:rFonts w:ascii="楷体" w:eastAsia="楷体" w:hAnsi="楷体"/>
                <w:bCs/>
                <w:iCs/>
                <w:color w:val="000000"/>
                <w:sz w:val="24"/>
              </w:rPr>
              <w:t>5</w:t>
            </w:r>
            <w:r w:rsidRPr="00D82432">
              <w:rPr>
                <w:rFonts w:ascii="楷体" w:eastAsia="楷体" w:hAnsi="楷体" w:hint="eastAsia"/>
                <w:bCs/>
                <w:iCs/>
                <w:color w:val="000000"/>
                <w:sz w:val="24"/>
              </w:rPr>
              <w:t>年</w:t>
            </w:r>
            <w:r w:rsidR="000225D4">
              <w:rPr>
                <w:rFonts w:ascii="楷体" w:eastAsia="楷体" w:hAnsi="楷体"/>
                <w:bCs/>
                <w:iCs/>
                <w:color w:val="000000"/>
                <w:sz w:val="24"/>
              </w:rPr>
              <w:t>5</w:t>
            </w:r>
            <w:r w:rsidRPr="00D82432">
              <w:rPr>
                <w:rFonts w:ascii="楷体" w:eastAsia="楷体" w:hAnsi="楷体" w:hint="eastAsia"/>
                <w:bCs/>
                <w:iCs/>
                <w:color w:val="000000"/>
                <w:sz w:val="24"/>
              </w:rPr>
              <w:t>月</w:t>
            </w:r>
            <w:r w:rsidR="000225D4">
              <w:rPr>
                <w:rFonts w:ascii="楷体" w:eastAsia="楷体" w:hAnsi="楷体"/>
                <w:bCs/>
                <w:iCs/>
                <w:color w:val="000000"/>
                <w:sz w:val="24"/>
              </w:rPr>
              <w:t>9</w:t>
            </w:r>
            <w:r w:rsidR="00306A9C">
              <w:rPr>
                <w:rFonts w:ascii="楷体" w:eastAsia="楷体" w:hAnsi="楷体" w:hint="eastAsia"/>
                <w:bCs/>
                <w:iCs/>
                <w:color w:val="000000"/>
                <w:sz w:val="24"/>
              </w:rPr>
              <w:t>日下</w:t>
            </w:r>
            <w:r w:rsidRPr="00D82432">
              <w:rPr>
                <w:rFonts w:ascii="楷体" w:eastAsia="楷体" w:hAnsi="楷体" w:hint="eastAsia"/>
                <w:bCs/>
                <w:iCs/>
                <w:color w:val="000000"/>
                <w:sz w:val="24"/>
              </w:rPr>
              <w:t>午1</w:t>
            </w:r>
            <w:r w:rsidR="000225D4">
              <w:rPr>
                <w:rFonts w:ascii="楷体" w:eastAsia="楷体" w:hAnsi="楷体"/>
                <w:bCs/>
                <w:iCs/>
                <w:color w:val="000000"/>
                <w:sz w:val="24"/>
              </w:rPr>
              <w:t>6</w:t>
            </w:r>
            <w:r w:rsidRPr="00D82432">
              <w:rPr>
                <w:rFonts w:ascii="楷体" w:eastAsia="楷体" w:hAnsi="楷体" w:hint="eastAsia"/>
                <w:bCs/>
                <w:iCs/>
                <w:color w:val="000000"/>
                <w:sz w:val="24"/>
              </w:rPr>
              <w:t>:00-1</w:t>
            </w:r>
            <w:r w:rsidR="000225D4">
              <w:rPr>
                <w:rFonts w:ascii="楷体" w:eastAsia="楷体" w:hAnsi="楷体"/>
                <w:bCs/>
                <w:iCs/>
                <w:color w:val="000000"/>
                <w:sz w:val="24"/>
              </w:rPr>
              <w:t>7</w:t>
            </w:r>
            <w:r w:rsidRPr="00D82432">
              <w:rPr>
                <w:rFonts w:ascii="楷体" w:eastAsia="楷体" w:hAnsi="楷体" w:hint="eastAsia"/>
                <w:bCs/>
                <w:iCs/>
                <w:color w:val="000000"/>
                <w:sz w:val="24"/>
              </w:rPr>
              <w:t>:00</w:t>
            </w:r>
          </w:p>
        </w:tc>
      </w:tr>
      <w:tr w:rsidR="00EF1156" w:rsidRPr="00D82432" w:rsidTr="00D82432">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EF1156" w:rsidRPr="00D82432" w:rsidRDefault="00D14893" w:rsidP="00087377">
            <w:pPr>
              <w:spacing w:beforeLines="50" w:before="156" w:afterLines="50" w:after="156" w:line="360" w:lineRule="auto"/>
              <w:rPr>
                <w:rFonts w:ascii="楷体" w:eastAsia="楷体" w:hAnsi="楷体"/>
                <w:bCs/>
                <w:iCs/>
                <w:color w:val="000000"/>
                <w:sz w:val="24"/>
              </w:rPr>
            </w:pPr>
            <w:r w:rsidRPr="00D82432">
              <w:rPr>
                <w:rFonts w:ascii="楷体" w:eastAsia="楷体" w:hAnsi="楷体" w:hint="eastAsia"/>
                <w:sz w:val="24"/>
              </w:rPr>
              <w:t>上海证券交易所上</w:t>
            </w:r>
            <w:proofErr w:type="gramStart"/>
            <w:r w:rsidRPr="00D82432">
              <w:rPr>
                <w:rFonts w:ascii="楷体" w:eastAsia="楷体" w:hAnsi="楷体" w:hint="eastAsia"/>
                <w:sz w:val="24"/>
              </w:rPr>
              <w:t>证路演中心</w:t>
            </w:r>
            <w:proofErr w:type="gramEnd"/>
            <w:r w:rsidRPr="00D82432">
              <w:rPr>
                <w:rFonts w:ascii="楷体" w:eastAsia="楷体" w:hAnsi="楷体" w:hint="eastAsia"/>
                <w:sz w:val="24"/>
              </w:rPr>
              <w:t>网络互动</w:t>
            </w:r>
          </w:p>
        </w:tc>
      </w:tr>
      <w:tr w:rsidR="00EF1156" w:rsidRPr="00D82432" w:rsidTr="00D82432">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D14893" w:rsidRPr="00D82432" w:rsidRDefault="00D14893" w:rsidP="00087377">
            <w:pPr>
              <w:spacing w:beforeLines="50" w:before="156" w:afterLines="50" w:after="156" w:line="360" w:lineRule="auto"/>
              <w:rPr>
                <w:rFonts w:ascii="楷体" w:eastAsia="楷体" w:hAnsi="楷体"/>
                <w:bCs/>
                <w:sz w:val="24"/>
              </w:rPr>
            </w:pPr>
            <w:r w:rsidRPr="00D82432">
              <w:rPr>
                <w:rFonts w:ascii="楷体" w:eastAsia="楷体" w:hAnsi="楷体" w:hint="eastAsia"/>
                <w:bCs/>
                <w:sz w:val="24"/>
              </w:rPr>
              <w:t>陈立志（董事长）</w:t>
            </w:r>
          </w:p>
          <w:p w:rsidR="00D14893" w:rsidRPr="00D82432" w:rsidRDefault="00D14893" w:rsidP="00087377">
            <w:pPr>
              <w:spacing w:beforeLines="50" w:before="156" w:afterLines="50" w:after="156" w:line="360" w:lineRule="auto"/>
              <w:rPr>
                <w:rFonts w:ascii="楷体" w:eastAsia="楷体" w:hAnsi="楷体"/>
                <w:bCs/>
                <w:sz w:val="24"/>
              </w:rPr>
            </w:pPr>
            <w:r w:rsidRPr="00D82432">
              <w:rPr>
                <w:rFonts w:ascii="楷体" w:eastAsia="楷体" w:hAnsi="楷体" w:hint="eastAsia"/>
                <w:bCs/>
                <w:sz w:val="24"/>
              </w:rPr>
              <w:t>陈郁弼（总经理）</w:t>
            </w:r>
          </w:p>
          <w:p w:rsidR="00D14893" w:rsidRPr="00D82432" w:rsidRDefault="00D14893" w:rsidP="00087377">
            <w:pPr>
              <w:spacing w:beforeLines="50" w:before="156" w:afterLines="50" w:after="156" w:line="360" w:lineRule="auto"/>
              <w:rPr>
                <w:rFonts w:ascii="楷体" w:eastAsia="楷体" w:hAnsi="楷体"/>
                <w:bCs/>
                <w:sz w:val="24"/>
              </w:rPr>
            </w:pPr>
            <w:r w:rsidRPr="00D82432">
              <w:rPr>
                <w:rFonts w:ascii="楷体" w:eastAsia="楷体" w:hAnsi="楷体" w:hint="eastAsia"/>
                <w:bCs/>
                <w:sz w:val="24"/>
              </w:rPr>
              <w:t>王寒朵（副总经理兼董事会秘书）</w:t>
            </w:r>
          </w:p>
          <w:p w:rsidR="00D14893" w:rsidRPr="00D82432" w:rsidRDefault="00D14893" w:rsidP="00087377">
            <w:pPr>
              <w:spacing w:beforeLines="50" w:before="156" w:afterLines="50" w:after="156" w:line="360" w:lineRule="auto"/>
              <w:rPr>
                <w:rFonts w:ascii="楷体" w:eastAsia="楷体" w:hAnsi="楷体"/>
                <w:bCs/>
                <w:sz w:val="24"/>
              </w:rPr>
            </w:pPr>
            <w:r w:rsidRPr="00D82432">
              <w:rPr>
                <w:rFonts w:ascii="楷体" w:eastAsia="楷体" w:hAnsi="楷体" w:hint="eastAsia"/>
                <w:bCs/>
                <w:sz w:val="24"/>
              </w:rPr>
              <w:t>王丽雯（</w:t>
            </w:r>
            <w:r w:rsidR="000225D4">
              <w:rPr>
                <w:rFonts w:ascii="楷体" w:eastAsia="楷体" w:hAnsi="楷体" w:hint="eastAsia"/>
                <w:bCs/>
                <w:sz w:val="24"/>
              </w:rPr>
              <w:t>首席财务官</w:t>
            </w:r>
            <w:r w:rsidRPr="00D82432">
              <w:rPr>
                <w:rFonts w:ascii="楷体" w:eastAsia="楷体" w:hAnsi="楷体" w:hint="eastAsia"/>
                <w:bCs/>
                <w:sz w:val="24"/>
              </w:rPr>
              <w:t>）</w:t>
            </w:r>
          </w:p>
          <w:p w:rsidR="00D14893" w:rsidRPr="00D82432" w:rsidRDefault="00D14893" w:rsidP="00087377">
            <w:pPr>
              <w:spacing w:beforeLines="50" w:before="156" w:afterLines="50" w:after="156" w:line="360" w:lineRule="auto"/>
              <w:rPr>
                <w:rFonts w:ascii="楷体" w:eastAsia="楷体" w:hAnsi="楷体"/>
                <w:bCs/>
                <w:sz w:val="24"/>
              </w:rPr>
            </w:pPr>
            <w:r w:rsidRPr="00D82432">
              <w:rPr>
                <w:rFonts w:ascii="楷体" w:eastAsia="楷体" w:hAnsi="楷体" w:hint="eastAsia"/>
                <w:bCs/>
                <w:sz w:val="24"/>
              </w:rPr>
              <w:t>蔡明星（独立董事）</w:t>
            </w:r>
          </w:p>
          <w:p w:rsidR="00EF1156" w:rsidRPr="00D82432" w:rsidRDefault="00D14893" w:rsidP="00087377">
            <w:pPr>
              <w:spacing w:beforeLines="50" w:before="156" w:afterLines="50" w:after="156" w:line="360" w:lineRule="auto"/>
              <w:rPr>
                <w:rFonts w:ascii="楷体" w:eastAsia="楷体" w:hAnsi="楷体"/>
                <w:bCs/>
                <w:sz w:val="24"/>
              </w:rPr>
            </w:pPr>
            <w:r w:rsidRPr="00D82432">
              <w:rPr>
                <w:rFonts w:ascii="楷体" w:eastAsia="楷体" w:hAnsi="楷体" w:hint="eastAsia"/>
                <w:bCs/>
                <w:sz w:val="24"/>
              </w:rPr>
              <w:t>程楚楚（证券事务代表）</w:t>
            </w:r>
          </w:p>
        </w:tc>
      </w:tr>
      <w:tr w:rsidR="00EF1156" w:rsidRPr="00D82432" w:rsidTr="00D82432">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投资者关系活动主要内容介绍</w:t>
            </w:r>
          </w:p>
          <w:p w:rsidR="00EF1156" w:rsidRPr="00D82432" w:rsidRDefault="00EF1156" w:rsidP="00D82432">
            <w:pPr>
              <w:spacing w:line="420" w:lineRule="exact"/>
              <w:jc w:val="center"/>
              <w:rPr>
                <w:rFonts w:ascii="楷体" w:eastAsia="楷体" w:hAnsi="楷体"/>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D14893" w:rsidRPr="00C4574F" w:rsidRDefault="00D14893" w:rsidP="00087377">
            <w:pPr>
              <w:spacing w:beforeLines="50" w:before="156" w:afterLines="50" w:after="156" w:line="360" w:lineRule="auto"/>
              <w:ind w:firstLineChars="200" w:firstLine="480"/>
              <w:rPr>
                <w:rFonts w:ascii="楷体" w:eastAsia="楷体" w:hAnsi="楷体"/>
                <w:sz w:val="24"/>
              </w:rPr>
            </w:pPr>
            <w:r w:rsidRPr="00C4574F">
              <w:rPr>
                <w:rFonts w:ascii="楷体" w:eastAsia="楷体" w:hAnsi="楷体" w:hint="eastAsia"/>
                <w:sz w:val="24"/>
              </w:rPr>
              <w:t>公司于202</w:t>
            </w:r>
            <w:r w:rsidR="000225D4">
              <w:rPr>
                <w:rFonts w:ascii="楷体" w:eastAsia="楷体" w:hAnsi="楷体"/>
                <w:sz w:val="24"/>
              </w:rPr>
              <w:t>5</w:t>
            </w:r>
            <w:r w:rsidRPr="00C4574F">
              <w:rPr>
                <w:rFonts w:ascii="楷体" w:eastAsia="楷体" w:hAnsi="楷体" w:hint="eastAsia"/>
                <w:sz w:val="24"/>
              </w:rPr>
              <w:t>年</w:t>
            </w:r>
            <w:r w:rsidR="000225D4">
              <w:rPr>
                <w:rFonts w:ascii="楷体" w:eastAsia="楷体" w:hAnsi="楷体"/>
                <w:sz w:val="24"/>
              </w:rPr>
              <w:t>5</w:t>
            </w:r>
            <w:r w:rsidRPr="00C4574F">
              <w:rPr>
                <w:rFonts w:ascii="楷体" w:eastAsia="楷体" w:hAnsi="楷体" w:hint="eastAsia"/>
                <w:sz w:val="24"/>
              </w:rPr>
              <w:t>月</w:t>
            </w:r>
            <w:r w:rsidR="000225D4">
              <w:rPr>
                <w:rFonts w:ascii="楷体" w:eastAsia="楷体" w:hAnsi="楷体"/>
                <w:sz w:val="24"/>
              </w:rPr>
              <w:t>9</w:t>
            </w:r>
            <w:r w:rsidRPr="00C4574F">
              <w:rPr>
                <w:rFonts w:ascii="楷体" w:eastAsia="楷体" w:hAnsi="楷体" w:hint="eastAsia"/>
                <w:sz w:val="24"/>
              </w:rPr>
              <w:t>日在上海证券交易所上</w:t>
            </w:r>
            <w:proofErr w:type="gramStart"/>
            <w:r w:rsidRPr="00C4574F">
              <w:rPr>
                <w:rFonts w:ascii="楷体" w:eastAsia="楷体" w:hAnsi="楷体" w:hint="eastAsia"/>
                <w:sz w:val="24"/>
              </w:rPr>
              <w:t>证路演中心</w:t>
            </w:r>
            <w:proofErr w:type="gramEnd"/>
            <w:r w:rsidRPr="00C4574F">
              <w:rPr>
                <w:rFonts w:ascii="楷体" w:eastAsia="楷体" w:hAnsi="楷体" w:hint="eastAsia"/>
                <w:sz w:val="24"/>
              </w:rPr>
              <w:t>召开了</w:t>
            </w:r>
            <w:r w:rsidR="000225D4" w:rsidRPr="000225D4">
              <w:rPr>
                <w:rFonts w:ascii="楷体" w:eastAsia="楷体" w:hAnsi="楷体" w:hint="eastAsia"/>
                <w:bCs/>
                <w:iCs/>
                <w:color w:val="000000"/>
                <w:sz w:val="24"/>
                <w:lang w:val="en-GB"/>
              </w:rPr>
              <w:t>关于终止筹划重大资产重组投资者说明会</w:t>
            </w:r>
            <w:r w:rsidRPr="00C4574F">
              <w:rPr>
                <w:rFonts w:ascii="楷体" w:eastAsia="楷体" w:hAnsi="楷体" w:hint="eastAsia"/>
                <w:sz w:val="24"/>
              </w:rPr>
              <w:t>，通过网络互动的方式与投资者进行了交流，具体问题如下：</w:t>
            </w:r>
          </w:p>
          <w:p w:rsidR="000225D4" w:rsidRDefault="00FF53C8" w:rsidP="00087377">
            <w:pPr>
              <w:pStyle w:val="Style6"/>
              <w:spacing w:before="50" w:afterLines="50" w:after="156" w:line="360" w:lineRule="auto"/>
              <w:ind w:firstLineChars="0"/>
              <w:rPr>
                <w:rFonts w:ascii="楷体" w:eastAsia="楷体" w:hAnsi="楷体"/>
                <w:b/>
                <w:sz w:val="24"/>
                <w:szCs w:val="24"/>
              </w:rPr>
            </w:pPr>
            <w:r w:rsidRPr="00D82432">
              <w:rPr>
                <w:rFonts w:ascii="楷体" w:eastAsia="楷体" w:hAnsi="楷体"/>
                <w:b/>
                <w:sz w:val="24"/>
              </w:rPr>
              <w:t>1、</w:t>
            </w:r>
            <w:r w:rsidR="000225D4" w:rsidRPr="000225D4">
              <w:rPr>
                <w:rFonts w:ascii="楷体" w:eastAsia="楷体" w:hAnsi="楷体" w:hint="eastAsia"/>
                <w:b/>
                <w:sz w:val="24"/>
                <w:szCs w:val="24"/>
              </w:rPr>
              <w:t>立案调查结束后，是否会重启重组计划？</w:t>
            </w:r>
          </w:p>
          <w:p w:rsidR="00D14893" w:rsidRPr="00D82432" w:rsidRDefault="00087377" w:rsidP="00087377">
            <w:pPr>
              <w:pStyle w:val="Style6"/>
              <w:spacing w:before="50" w:afterLines="50" w:after="156" w:line="360" w:lineRule="auto"/>
              <w:ind w:firstLineChars="0"/>
              <w:rPr>
                <w:rFonts w:ascii="楷体" w:eastAsia="楷体" w:hAnsi="楷体"/>
                <w:sz w:val="24"/>
                <w:szCs w:val="24"/>
              </w:rPr>
            </w:pPr>
            <w:r>
              <w:rPr>
                <w:rFonts w:ascii="楷体" w:eastAsia="楷体" w:hAnsi="楷体" w:hint="eastAsia"/>
                <w:sz w:val="24"/>
                <w:szCs w:val="24"/>
              </w:rPr>
              <w:lastRenderedPageBreak/>
              <w:t>答：</w:t>
            </w:r>
            <w:r w:rsidR="000225D4" w:rsidRPr="000225D4">
              <w:rPr>
                <w:rFonts w:ascii="楷体" w:eastAsia="楷体" w:hAnsi="楷体" w:hint="eastAsia"/>
                <w:sz w:val="24"/>
                <w:szCs w:val="24"/>
              </w:rPr>
              <w:t>尊敬的投资者，您好，待立案调查结案后，公司将结合市场环境与业务发展需求审慎规划资本运作，依法</w:t>
            </w:r>
            <w:proofErr w:type="gramStart"/>
            <w:r w:rsidR="000225D4" w:rsidRPr="000225D4">
              <w:rPr>
                <w:rFonts w:ascii="楷体" w:eastAsia="楷体" w:hAnsi="楷体" w:hint="eastAsia"/>
                <w:sz w:val="24"/>
                <w:szCs w:val="24"/>
              </w:rPr>
              <w:t>履行信披</w:t>
            </w:r>
            <w:proofErr w:type="gramEnd"/>
            <w:r w:rsidR="000225D4" w:rsidRPr="000225D4">
              <w:rPr>
                <w:rFonts w:ascii="楷体" w:eastAsia="楷体" w:hAnsi="楷体" w:hint="eastAsia"/>
                <w:sz w:val="24"/>
                <w:szCs w:val="24"/>
              </w:rPr>
              <w:t>义务。具体情况请以公司指定媒体《中国证券报》《证券时报》和上海证券交易所网站刊登的信息为准。感谢您的关注。</w:t>
            </w:r>
          </w:p>
          <w:p w:rsidR="00D14893" w:rsidRPr="00D82432" w:rsidRDefault="00FF53C8" w:rsidP="00087377">
            <w:pPr>
              <w:pStyle w:val="Style6"/>
              <w:spacing w:before="50" w:afterLines="50" w:after="156" w:line="360" w:lineRule="auto"/>
              <w:ind w:leftChars="-1" w:left="-2" w:firstLine="482"/>
              <w:rPr>
                <w:rFonts w:ascii="楷体" w:eastAsia="楷体" w:hAnsi="楷体"/>
                <w:b/>
                <w:sz w:val="24"/>
                <w:szCs w:val="24"/>
              </w:rPr>
            </w:pPr>
            <w:r w:rsidRPr="00D82432">
              <w:rPr>
                <w:rFonts w:ascii="楷体" w:eastAsia="楷体" w:hAnsi="楷体"/>
                <w:b/>
                <w:sz w:val="24"/>
                <w:szCs w:val="24"/>
              </w:rPr>
              <w:t>2、</w:t>
            </w:r>
            <w:r w:rsidR="000225D4" w:rsidRPr="000225D4">
              <w:rPr>
                <w:rFonts w:ascii="楷体" w:eastAsia="楷体" w:hAnsi="楷体" w:hint="eastAsia"/>
                <w:b/>
                <w:sz w:val="24"/>
                <w:szCs w:val="24"/>
              </w:rPr>
              <w:t>公司这次立案调查，会不会被ST？</w:t>
            </w:r>
          </w:p>
          <w:p w:rsidR="000225D4" w:rsidRDefault="00087377" w:rsidP="00306A9C">
            <w:pPr>
              <w:pStyle w:val="Style6"/>
              <w:spacing w:before="50" w:afterLines="50" w:after="156" w:line="360" w:lineRule="auto"/>
              <w:ind w:firstLineChars="0"/>
              <w:rPr>
                <w:rFonts w:ascii="楷体" w:eastAsia="楷体" w:hAnsi="楷体"/>
                <w:sz w:val="24"/>
                <w:szCs w:val="24"/>
              </w:rPr>
            </w:pPr>
            <w:r>
              <w:rPr>
                <w:rFonts w:ascii="楷体" w:eastAsia="楷体" w:hAnsi="楷体" w:hint="eastAsia"/>
                <w:sz w:val="24"/>
                <w:szCs w:val="24"/>
              </w:rPr>
              <w:t>答：</w:t>
            </w:r>
            <w:r w:rsidR="000225D4" w:rsidRPr="000225D4">
              <w:rPr>
                <w:rFonts w:ascii="楷体" w:eastAsia="楷体" w:hAnsi="楷体" w:hint="eastAsia"/>
                <w:sz w:val="24"/>
                <w:szCs w:val="24"/>
              </w:rPr>
              <w:t>尊敬的投资者，您好！公司目前生产经营情况正常，未发生《上海证券交易所股票上市规则》规定的相关触发退市的事项。公司一直以来十分重视投资者权益和市值管理，公司将持续积极应对市场环境变化，在主营业务领域精耕细作。感谢您的关注。</w:t>
            </w:r>
          </w:p>
          <w:p w:rsidR="00EF1156" w:rsidRPr="00087377" w:rsidRDefault="00FF53C8" w:rsidP="00306A9C">
            <w:pPr>
              <w:pStyle w:val="Style6"/>
              <w:spacing w:before="50" w:afterLines="50" w:after="156" w:line="360" w:lineRule="auto"/>
              <w:ind w:firstLineChars="0"/>
              <w:rPr>
                <w:rFonts w:ascii="楷体" w:eastAsia="楷体" w:hAnsi="楷体"/>
                <w:sz w:val="24"/>
                <w:szCs w:val="24"/>
              </w:rPr>
            </w:pPr>
            <w:r w:rsidRPr="00D82432">
              <w:rPr>
                <w:rFonts w:ascii="楷体" w:eastAsia="楷体" w:hAnsi="楷体"/>
                <w:b/>
                <w:sz w:val="24"/>
                <w:szCs w:val="24"/>
              </w:rPr>
              <w:t>3、</w:t>
            </w:r>
            <w:r w:rsidR="000225D4" w:rsidRPr="000225D4">
              <w:rPr>
                <w:rFonts w:ascii="楷体" w:eastAsia="楷体" w:hAnsi="楷体" w:hint="eastAsia"/>
                <w:b/>
                <w:sz w:val="24"/>
                <w:szCs w:val="24"/>
              </w:rPr>
              <w:t>公司产品原材料为铜，为啥不收购或注册一家铜矿开采提炼公司，这样利于贵公司的生态发展或降本增效。</w:t>
            </w:r>
          </w:p>
          <w:p w:rsidR="00D14893" w:rsidRPr="00D82432" w:rsidRDefault="00087377" w:rsidP="00087377">
            <w:pPr>
              <w:pStyle w:val="Style6"/>
              <w:spacing w:before="50" w:afterLines="50" w:after="156" w:line="360" w:lineRule="auto"/>
              <w:ind w:firstLineChars="0"/>
              <w:rPr>
                <w:rFonts w:ascii="楷体" w:eastAsia="楷体" w:hAnsi="楷体"/>
                <w:sz w:val="24"/>
                <w:szCs w:val="24"/>
              </w:rPr>
            </w:pPr>
            <w:r>
              <w:rPr>
                <w:rFonts w:ascii="楷体" w:eastAsia="楷体" w:hAnsi="楷体" w:hint="eastAsia"/>
                <w:sz w:val="24"/>
                <w:szCs w:val="24"/>
              </w:rPr>
              <w:t>答：</w:t>
            </w:r>
            <w:r w:rsidR="000225D4" w:rsidRPr="000225D4">
              <w:rPr>
                <w:rFonts w:ascii="楷体" w:eastAsia="楷体" w:hAnsi="楷体" w:hint="eastAsia"/>
                <w:sz w:val="24"/>
                <w:szCs w:val="24"/>
              </w:rPr>
              <w:t>尊敬的投资者，您好，关于整合上游铜矿资源的提议，公司管理层已进行过深入论证。首先，公司始终秉持集中资源深耕高端锂电铜箔研发与制造领域，当前行业竞争的核心在于技术创新，而非原材料开采。公司通过自主研发，已实现极薄铜箔量产，并主导制定多项国家标准，其技术附加值远高于初级铜材加工。若向上游延伸，可能分散研发投入与人才储备，弱化核心竞争力；其次，铜矿开采属资本密集型产业，需持续投入勘探、采矿及环保设施，且矿产价格受全球经济周期影响显著，公司更倾向于通过套期保值的弹性管理对</w:t>
            </w:r>
            <w:proofErr w:type="gramStart"/>
            <w:r w:rsidR="000225D4" w:rsidRPr="000225D4">
              <w:rPr>
                <w:rFonts w:ascii="楷体" w:eastAsia="楷体" w:hAnsi="楷体" w:hint="eastAsia"/>
                <w:sz w:val="24"/>
                <w:szCs w:val="24"/>
              </w:rPr>
              <w:t>冲价格</w:t>
            </w:r>
            <w:proofErr w:type="gramEnd"/>
            <w:r w:rsidR="000225D4" w:rsidRPr="000225D4">
              <w:rPr>
                <w:rFonts w:ascii="楷体" w:eastAsia="楷体" w:hAnsi="楷体" w:hint="eastAsia"/>
                <w:sz w:val="24"/>
                <w:szCs w:val="24"/>
              </w:rPr>
              <w:t>风险。感谢您的关注。</w:t>
            </w:r>
          </w:p>
          <w:p w:rsidR="00087377" w:rsidRDefault="00FF53C8" w:rsidP="00087377">
            <w:pPr>
              <w:pStyle w:val="Style6"/>
              <w:spacing w:before="50" w:afterLines="50" w:after="156" w:line="360" w:lineRule="auto"/>
              <w:ind w:leftChars="-1" w:left="-2" w:firstLine="482"/>
              <w:rPr>
                <w:rFonts w:ascii="楷体" w:eastAsia="楷体" w:hAnsi="楷体"/>
                <w:b/>
                <w:sz w:val="24"/>
                <w:szCs w:val="24"/>
              </w:rPr>
            </w:pPr>
            <w:r w:rsidRPr="00D82432">
              <w:rPr>
                <w:rFonts w:ascii="楷体" w:eastAsia="楷体" w:hAnsi="楷体"/>
                <w:b/>
                <w:sz w:val="24"/>
                <w:szCs w:val="24"/>
              </w:rPr>
              <w:t>4、</w:t>
            </w:r>
            <w:r w:rsidR="000225D4" w:rsidRPr="000225D4">
              <w:rPr>
                <w:rFonts w:ascii="楷体" w:eastAsia="楷体" w:hAnsi="楷体" w:hint="eastAsia"/>
                <w:b/>
                <w:sz w:val="24"/>
                <w:szCs w:val="24"/>
              </w:rPr>
              <w:t>本次终止重组会对公司经营情况造成什么影响吗？</w:t>
            </w:r>
          </w:p>
          <w:p w:rsidR="000225D4" w:rsidRDefault="00087377" w:rsidP="00087377">
            <w:pPr>
              <w:pStyle w:val="Style6"/>
              <w:spacing w:before="50" w:afterLines="50" w:after="156" w:line="360" w:lineRule="auto"/>
              <w:ind w:leftChars="-1" w:left="-2" w:firstLine="480"/>
              <w:rPr>
                <w:rFonts w:ascii="楷体" w:eastAsia="楷体" w:hAnsi="楷体"/>
                <w:sz w:val="24"/>
                <w:szCs w:val="24"/>
              </w:rPr>
            </w:pPr>
            <w:r w:rsidRPr="00087377">
              <w:rPr>
                <w:rFonts w:ascii="楷体" w:eastAsia="楷体" w:hAnsi="楷体" w:hint="eastAsia"/>
                <w:sz w:val="24"/>
                <w:szCs w:val="24"/>
              </w:rPr>
              <w:t>答：</w:t>
            </w:r>
            <w:r w:rsidR="000225D4" w:rsidRPr="000225D4">
              <w:rPr>
                <w:rFonts w:ascii="楷体" w:eastAsia="楷体" w:hAnsi="楷体" w:hint="eastAsia"/>
                <w:sz w:val="24"/>
                <w:szCs w:val="24"/>
              </w:rPr>
              <w:t>尊敬的投资者，您好，公司经过审慎研究，并与交易各方充分沟通、友好协商后，做出终止本次重大资产重组事项的决定，湖北诺德锂电材料有限公司为公司的控股子公司，持股比例为62.5%，终止本次重大资产重组不会对公司的生产经营和财务状况造成不利影响。感谢您的关注。</w:t>
            </w:r>
          </w:p>
          <w:p w:rsidR="00D14893" w:rsidRPr="00D82432" w:rsidRDefault="00FF53C8" w:rsidP="00087377">
            <w:pPr>
              <w:pStyle w:val="Style6"/>
              <w:spacing w:before="50" w:afterLines="50" w:after="156" w:line="360" w:lineRule="auto"/>
              <w:ind w:leftChars="-1" w:left="-2" w:firstLine="482"/>
              <w:rPr>
                <w:rFonts w:ascii="楷体" w:eastAsia="楷体" w:hAnsi="楷体"/>
                <w:b/>
                <w:sz w:val="24"/>
                <w:szCs w:val="24"/>
              </w:rPr>
            </w:pPr>
            <w:r w:rsidRPr="00D82432">
              <w:rPr>
                <w:rFonts w:ascii="楷体" w:eastAsia="楷体" w:hAnsi="楷体"/>
                <w:b/>
                <w:sz w:val="24"/>
                <w:szCs w:val="24"/>
              </w:rPr>
              <w:lastRenderedPageBreak/>
              <w:t>5</w:t>
            </w:r>
            <w:r w:rsidR="00306A9C">
              <w:rPr>
                <w:rFonts w:ascii="楷体" w:eastAsia="楷体" w:hAnsi="楷体" w:hint="eastAsia"/>
                <w:b/>
                <w:sz w:val="24"/>
                <w:szCs w:val="24"/>
              </w:rPr>
              <w:t>、</w:t>
            </w:r>
            <w:r w:rsidR="000225D4" w:rsidRPr="000225D4">
              <w:rPr>
                <w:rFonts w:ascii="楷体" w:eastAsia="楷体" w:hAnsi="楷体" w:hint="eastAsia"/>
                <w:b/>
                <w:sz w:val="24"/>
                <w:szCs w:val="24"/>
              </w:rPr>
              <w:t>请问公司营收情况如何？</w:t>
            </w:r>
          </w:p>
          <w:p w:rsidR="000225D4" w:rsidRDefault="00087377" w:rsidP="00087377">
            <w:pPr>
              <w:pStyle w:val="Style6"/>
              <w:spacing w:before="50" w:afterLines="50" w:after="156" w:line="360" w:lineRule="auto"/>
              <w:ind w:leftChars="-1" w:left="-2" w:firstLine="480"/>
              <w:rPr>
                <w:rFonts w:ascii="楷体" w:eastAsia="楷体" w:hAnsi="楷体"/>
                <w:sz w:val="24"/>
                <w:szCs w:val="24"/>
              </w:rPr>
            </w:pPr>
            <w:r>
              <w:rPr>
                <w:rFonts w:ascii="楷体" w:eastAsia="楷体" w:hAnsi="楷体" w:hint="eastAsia"/>
                <w:sz w:val="24"/>
                <w:szCs w:val="24"/>
              </w:rPr>
              <w:t>答：</w:t>
            </w:r>
            <w:r w:rsidR="000225D4" w:rsidRPr="000225D4">
              <w:rPr>
                <w:rFonts w:ascii="楷体" w:eastAsia="楷体" w:hAnsi="楷体" w:hint="eastAsia"/>
                <w:sz w:val="24"/>
                <w:szCs w:val="24"/>
              </w:rPr>
              <w:t>尊敬的投资者，您好！公司2024年度营业收入为52.77亿元，较上年同期增长15.44%，感谢您的关注！</w:t>
            </w:r>
          </w:p>
          <w:p w:rsidR="00087377" w:rsidRDefault="009542AF" w:rsidP="00087377">
            <w:pPr>
              <w:pStyle w:val="Style6"/>
              <w:spacing w:before="50" w:afterLines="50" w:after="156" w:line="360" w:lineRule="auto"/>
              <w:ind w:leftChars="-1" w:left="-2" w:firstLine="482"/>
              <w:rPr>
                <w:rFonts w:ascii="楷体" w:eastAsia="楷体" w:hAnsi="楷体"/>
                <w:b/>
                <w:sz w:val="24"/>
                <w:szCs w:val="24"/>
              </w:rPr>
            </w:pPr>
            <w:r>
              <w:rPr>
                <w:rFonts w:ascii="楷体" w:eastAsia="楷体" w:hAnsi="楷体"/>
                <w:b/>
                <w:sz w:val="24"/>
                <w:szCs w:val="24"/>
              </w:rPr>
              <w:t>6</w:t>
            </w:r>
            <w:r w:rsidR="00FF53C8" w:rsidRPr="00D82432">
              <w:rPr>
                <w:rFonts w:ascii="楷体" w:eastAsia="楷体" w:hAnsi="楷体"/>
                <w:b/>
                <w:sz w:val="24"/>
                <w:szCs w:val="24"/>
              </w:rPr>
              <w:t>、</w:t>
            </w:r>
            <w:r w:rsidR="000225D4" w:rsidRPr="000225D4">
              <w:rPr>
                <w:rFonts w:ascii="楷体" w:eastAsia="楷体" w:hAnsi="楷体" w:hint="eastAsia"/>
                <w:b/>
                <w:sz w:val="24"/>
                <w:szCs w:val="24"/>
              </w:rPr>
              <w:t>近一年以来，公司已经被立案调查2次，请问公司目前能否正常经营？</w:t>
            </w:r>
          </w:p>
          <w:p w:rsidR="00087377" w:rsidRDefault="00087377" w:rsidP="00087377">
            <w:pPr>
              <w:pStyle w:val="Style6"/>
              <w:spacing w:before="50" w:afterLines="50" w:after="156" w:line="360" w:lineRule="auto"/>
              <w:ind w:leftChars="-1" w:left="-2" w:firstLine="480"/>
              <w:rPr>
                <w:rFonts w:ascii="楷体" w:eastAsia="楷体" w:hAnsi="楷体"/>
                <w:sz w:val="24"/>
                <w:szCs w:val="24"/>
              </w:rPr>
            </w:pPr>
            <w:r w:rsidRPr="00087377">
              <w:rPr>
                <w:rFonts w:ascii="楷体" w:eastAsia="楷体" w:hAnsi="楷体" w:hint="eastAsia"/>
                <w:sz w:val="24"/>
                <w:szCs w:val="24"/>
              </w:rPr>
              <w:t>答：</w:t>
            </w:r>
            <w:r w:rsidR="000225D4" w:rsidRPr="000225D4">
              <w:rPr>
                <w:rFonts w:ascii="楷体" w:eastAsia="楷体" w:hAnsi="楷体" w:hint="eastAsia"/>
                <w:sz w:val="24"/>
                <w:szCs w:val="24"/>
              </w:rPr>
              <w:t>尊敬的投资者，您好，目前公司各项经营管理、业务状况正常。在立案调查期间，公司将积极配合中国证监会的相关工作，并严格按照相关法律法规及监管要求及时履行信息披露义务。具体情况请以公司指定媒体《中国证券报》《证券时报》和上海证券交易所网站刊登的信息为准。感谢您的关注。</w:t>
            </w:r>
          </w:p>
          <w:p w:rsidR="009542AF" w:rsidRPr="009542AF" w:rsidRDefault="009542AF" w:rsidP="009542AF">
            <w:pPr>
              <w:pStyle w:val="Style6"/>
              <w:spacing w:before="50" w:afterLines="50" w:after="156" w:line="360" w:lineRule="auto"/>
              <w:ind w:leftChars="-1" w:left="-2" w:firstLine="482"/>
              <w:rPr>
                <w:rFonts w:ascii="楷体" w:eastAsia="楷体" w:hAnsi="楷体"/>
                <w:b/>
                <w:sz w:val="24"/>
                <w:szCs w:val="24"/>
              </w:rPr>
            </w:pPr>
            <w:r>
              <w:rPr>
                <w:rFonts w:ascii="楷体" w:eastAsia="楷体" w:hAnsi="楷体"/>
                <w:b/>
                <w:sz w:val="24"/>
                <w:szCs w:val="24"/>
              </w:rPr>
              <w:t>7</w:t>
            </w:r>
            <w:r w:rsidRPr="009542AF">
              <w:rPr>
                <w:rFonts w:ascii="楷体" w:eastAsia="楷体" w:hAnsi="楷体" w:hint="eastAsia"/>
                <w:b/>
                <w:sz w:val="24"/>
                <w:szCs w:val="24"/>
              </w:rPr>
              <w:t>、后续有没有新的重组方案？</w:t>
            </w:r>
          </w:p>
          <w:p w:rsidR="009542AF" w:rsidRDefault="009542AF" w:rsidP="009542AF">
            <w:pPr>
              <w:pStyle w:val="Style6"/>
              <w:spacing w:before="50" w:afterLines="50" w:after="156" w:line="360" w:lineRule="auto"/>
              <w:ind w:leftChars="-1" w:left="-2" w:firstLine="480"/>
              <w:rPr>
                <w:rFonts w:ascii="楷体" w:eastAsia="楷体" w:hAnsi="楷体" w:hint="eastAsia"/>
                <w:sz w:val="24"/>
                <w:szCs w:val="24"/>
              </w:rPr>
            </w:pPr>
            <w:r>
              <w:rPr>
                <w:rFonts w:ascii="楷体" w:eastAsia="楷体" w:hAnsi="楷体" w:hint="eastAsia"/>
                <w:sz w:val="24"/>
                <w:szCs w:val="24"/>
              </w:rPr>
              <w:t>答：</w:t>
            </w:r>
            <w:r w:rsidRPr="009542AF">
              <w:rPr>
                <w:rFonts w:ascii="楷体" w:eastAsia="楷体" w:hAnsi="楷体" w:hint="eastAsia"/>
                <w:sz w:val="24"/>
                <w:szCs w:val="24"/>
              </w:rPr>
              <w:t>尊敬的投资者，您好，公司将结合市场与业务需求审慎规划资本运作，依法履行信息披露义务。具体情况请以公司指定媒体《中国证券报》《证券时报》和上海证券交易所网站刊登的信息为准。感谢您的关注。</w:t>
            </w:r>
          </w:p>
          <w:p w:rsidR="009542AF" w:rsidRDefault="009542AF" w:rsidP="004168DE">
            <w:pPr>
              <w:pStyle w:val="Style6"/>
              <w:spacing w:before="50" w:afterLines="50" w:after="156" w:line="360" w:lineRule="auto"/>
              <w:ind w:leftChars="-1" w:left="-2" w:firstLine="482"/>
              <w:rPr>
                <w:rFonts w:ascii="楷体" w:eastAsia="楷体" w:hAnsi="楷体"/>
                <w:b/>
                <w:sz w:val="24"/>
                <w:szCs w:val="24"/>
              </w:rPr>
            </w:pPr>
            <w:r>
              <w:rPr>
                <w:rFonts w:ascii="楷体" w:eastAsia="楷体" w:hAnsi="楷体"/>
                <w:b/>
                <w:sz w:val="24"/>
                <w:szCs w:val="24"/>
              </w:rPr>
              <w:t>8</w:t>
            </w:r>
            <w:r w:rsidR="00FF53C8" w:rsidRPr="00D82432">
              <w:rPr>
                <w:rFonts w:ascii="楷体" w:eastAsia="楷体" w:hAnsi="楷体"/>
                <w:b/>
                <w:sz w:val="24"/>
                <w:szCs w:val="24"/>
              </w:rPr>
              <w:t>、</w:t>
            </w:r>
            <w:r w:rsidRPr="009542AF">
              <w:rPr>
                <w:rFonts w:ascii="楷体" w:eastAsia="楷体" w:hAnsi="楷体" w:hint="eastAsia"/>
                <w:b/>
                <w:sz w:val="24"/>
                <w:szCs w:val="24"/>
              </w:rPr>
              <w:t>公司2024年年报在同类公司是亏损最少的，但是2025年1季度在同类公司中是亏损最多的，而其他的同类公司是扭亏为赢，后续公司有什么措施提高盈利水平？</w:t>
            </w:r>
          </w:p>
          <w:p w:rsidR="00EF1156" w:rsidRDefault="00087377" w:rsidP="004168DE">
            <w:pPr>
              <w:pStyle w:val="Style6"/>
              <w:spacing w:before="50" w:afterLines="50" w:after="156" w:line="360" w:lineRule="auto"/>
              <w:ind w:leftChars="-1" w:left="-2" w:firstLine="480"/>
              <w:rPr>
                <w:rFonts w:ascii="楷体" w:eastAsia="楷体" w:hAnsi="楷体"/>
                <w:sz w:val="24"/>
                <w:szCs w:val="24"/>
              </w:rPr>
            </w:pPr>
            <w:r w:rsidRPr="00087377">
              <w:rPr>
                <w:rFonts w:ascii="楷体" w:eastAsia="楷体" w:hAnsi="楷体" w:hint="eastAsia"/>
                <w:sz w:val="24"/>
                <w:szCs w:val="24"/>
              </w:rPr>
              <w:t>答：</w:t>
            </w:r>
            <w:r w:rsidR="009542AF" w:rsidRPr="009542AF">
              <w:rPr>
                <w:rFonts w:ascii="楷体" w:eastAsia="楷体" w:hAnsi="楷体" w:hint="eastAsia"/>
                <w:sz w:val="24"/>
                <w:szCs w:val="24"/>
              </w:rPr>
              <w:t>在行业竞争激烈的市场环境下，公司通过管理订单的盈利水平控制接单量，导致公司的生产</w:t>
            </w:r>
            <w:proofErr w:type="gramStart"/>
            <w:r w:rsidR="009542AF" w:rsidRPr="009542AF">
              <w:rPr>
                <w:rFonts w:ascii="楷体" w:eastAsia="楷体" w:hAnsi="楷体" w:hint="eastAsia"/>
                <w:sz w:val="24"/>
                <w:szCs w:val="24"/>
              </w:rPr>
              <w:t>稼动率</w:t>
            </w:r>
            <w:proofErr w:type="gramEnd"/>
            <w:r w:rsidR="009542AF" w:rsidRPr="009542AF">
              <w:rPr>
                <w:rFonts w:ascii="楷体" w:eastAsia="楷体" w:hAnsi="楷体" w:hint="eastAsia"/>
                <w:sz w:val="24"/>
                <w:szCs w:val="24"/>
              </w:rPr>
              <w:t>较同行业偏低。但是公司致力于推广4.5微米的极薄铜箔，通过调整产品结构布局来增强公司的盈利能力，获得更高的生产毛利率。随着切换4.5微米极薄铜箔的客户的增加，公司的订单量有望快速提升。在</w:t>
            </w:r>
            <w:proofErr w:type="gramStart"/>
            <w:r w:rsidR="009542AF" w:rsidRPr="009542AF">
              <w:rPr>
                <w:rFonts w:ascii="楷体" w:eastAsia="楷体" w:hAnsi="楷体" w:hint="eastAsia"/>
                <w:sz w:val="24"/>
                <w:szCs w:val="24"/>
              </w:rPr>
              <w:t>稼动率提升</w:t>
            </w:r>
            <w:proofErr w:type="gramEnd"/>
            <w:r w:rsidR="009542AF" w:rsidRPr="009542AF">
              <w:rPr>
                <w:rFonts w:ascii="楷体" w:eastAsia="楷体" w:hAnsi="楷体" w:hint="eastAsia"/>
                <w:sz w:val="24"/>
                <w:szCs w:val="24"/>
              </w:rPr>
              <w:t>到较高水平的情况下，公司的盈利水平也将得到快速提升。</w:t>
            </w:r>
          </w:p>
          <w:p w:rsidR="009542AF" w:rsidRDefault="009542AF" w:rsidP="004168DE">
            <w:pPr>
              <w:pStyle w:val="Style6"/>
              <w:spacing w:before="50" w:afterLines="50" w:after="156" w:line="360" w:lineRule="auto"/>
              <w:ind w:leftChars="-1" w:left="-2" w:firstLine="482"/>
              <w:rPr>
                <w:rFonts w:ascii="楷体" w:eastAsia="楷体" w:hAnsi="楷体"/>
                <w:b/>
                <w:sz w:val="24"/>
                <w:szCs w:val="24"/>
              </w:rPr>
            </w:pPr>
            <w:r>
              <w:rPr>
                <w:rFonts w:ascii="楷体" w:eastAsia="楷体" w:hAnsi="楷体"/>
                <w:b/>
                <w:sz w:val="24"/>
                <w:szCs w:val="24"/>
              </w:rPr>
              <w:t>9</w:t>
            </w:r>
            <w:r w:rsidRPr="009542AF">
              <w:rPr>
                <w:rFonts w:ascii="楷体" w:eastAsia="楷体" w:hAnsi="楷体" w:hint="eastAsia"/>
                <w:b/>
                <w:sz w:val="24"/>
                <w:szCs w:val="24"/>
              </w:rPr>
              <w:t>、随着AI服务器的增长，PCB铜箔的需求也增加，建议公</w:t>
            </w:r>
            <w:r w:rsidRPr="009542AF">
              <w:rPr>
                <w:rFonts w:ascii="楷体" w:eastAsia="楷体" w:hAnsi="楷体" w:hint="eastAsia"/>
                <w:b/>
                <w:sz w:val="24"/>
                <w:szCs w:val="24"/>
              </w:rPr>
              <w:lastRenderedPageBreak/>
              <w:t>司积极开拓这方面市场</w:t>
            </w:r>
          </w:p>
          <w:p w:rsidR="009542AF" w:rsidRDefault="009542AF" w:rsidP="004168DE">
            <w:pPr>
              <w:pStyle w:val="Style6"/>
              <w:spacing w:before="50" w:afterLines="50" w:after="156" w:line="360" w:lineRule="auto"/>
              <w:ind w:leftChars="-1" w:left="-2" w:firstLine="480"/>
              <w:rPr>
                <w:rFonts w:ascii="楷体" w:eastAsia="楷体" w:hAnsi="楷体"/>
                <w:sz w:val="24"/>
                <w:szCs w:val="24"/>
              </w:rPr>
            </w:pPr>
            <w:r w:rsidRPr="009542AF">
              <w:rPr>
                <w:rFonts w:ascii="楷体" w:eastAsia="楷体" w:hAnsi="楷体" w:hint="eastAsia"/>
                <w:sz w:val="24"/>
                <w:szCs w:val="24"/>
              </w:rPr>
              <w:t>答：尊敬的投资者，您好，受益于5G基站建设、AI服务器及智能驾驶硬件升级，高端铜箔（高频高速、超低轮廓）需求显著增长。公司将加速电子电路铜箔业务的发展，优化产品组合，并不断提高制造工艺的高端化水平。目前公司开发的高端标准铜箔，例如，RTF-3(超薄铜箔)和HVLP-4(高频低损耗铜箔)已通过部分下游客户的认证，适用于AI服务器和人形机器人控制模块等高端应用场景。同时，公司将专注于吸引高利润的客户群体，通过提供高端制造服务、高质量产品以及满足高端客户的需求，进一步推动公司业绩的增长。感谢您的关注。</w:t>
            </w:r>
          </w:p>
          <w:p w:rsidR="009542AF" w:rsidRPr="009542AF" w:rsidRDefault="009542AF" w:rsidP="004168DE">
            <w:pPr>
              <w:pStyle w:val="Style6"/>
              <w:spacing w:before="50" w:afterLines="50" w:after="156" w:line="360" w:lineRule="auto"/>
              <w:ind w:leftChars="-1" w:left="-2" w:firstLine="482"/>
              <w:rPr>
                <w:rFonts w:ascii="楷体" w:eastAsia="楷体" w:hAnsi="楷体"/>
                <w:b/>
                <w:sz w:val="24"/>
                <w:szCs w:val="24"/>
              </w:rPr>
            </w:pPr>
            <w:r>
              <w:rPr>
                <w:rFonts w:ascii="楷体" w:eastAsia="楷体" w:hAnsi="楷体"/>
                <w:b/>
                <w:sz w:val="24"/>
                <w:szCs w:val="24"/>
              </w:rPr>
              <w:t>10</w:t>
            </w:r>
            <w:r w:rsidRPr="009542AF">
              <w:rPr>
                <w:rFonts w:ascii="楷体" w:eastAsia="楷体" w:hAnsi="楷体" w:hint="eastAsia"/>
                <w:b/>
                <w:sz w:val="24"/>
                <w:szCs w:val="24"/>
              </w:rPr>
              <w:t>、公司1季度营收14.09亿，亏3767万，而同类甲公司营收13.95亿，盈利475w；乙公司营收12.49亿，负322w.为什么诺</w:t>
            </w:r>
            <w:proofErr w:type="gramStart"/>
            <w:r w:rsidRPr="009542AF">
              <w:rPr>
                <w:rFonts w:ascii="楷体" w:eastAsia="楷体" w:hAnsi="楷体" w:hint="eastAsia"/>
                <w:b/>
                <w:sz w:val="24"/>
                <w:szCs w:val="24"/>
              </w:rPr>
              <w:t>德亏损</w:t>
            </w:r>
            <w:proofErr w:type="gramEnd"/>
            <w:r w:rsidRPr="009542AF">
              <w:rPr>
                <w:rFonts w:ascii="楷体" w:eastAsia="楷体" w:hAnsi="楷体" w:hint="eastAsia"/>
                <w:b/>
                <w:sz w:val="24"/>
                <w:szCs w:val="24"/>
              </w:rPr>
              <w:t>这么多？</w:t>
            </w:r>
          </w:p>
          <w:p w:rsidR="009542AF" w:rsidRPr="009542AF" w:rsidRDefault="009542AF" w:rsidP="004168DE">
            <w:pPr>
              <w:pStyle w:val="Style6"/>
              <w:spacing w:before="50" w:afterLines="50" w:after="156" w:line="360" w:lineRule="auto"/>
              <w:ind w:leftChars="-1" w:left="-2" w:firstLine="480"/>
              <w:rPr>
                <w:rFonts w:ascii="楷体" w:eastAsia="楷体" w:hAnsi="楷体" w:hint="eastAsia"/>
                <w:sz w:val="24"/>
                <w:szCs w:val="24"/>
              </w:rPr>
            </w:pPr>
            <w:r>
              <w:rPr>
                <w:rFonts w:ascii="楷体" w:eastAsia="楷体" w:hAnsi="楷体" w:hint="eastAsia"/>
                <w:sz w:val="24"/>
                <w:szCs w:val="24"/>
              </w:rPr>
              <w:t>答：</w:t>
            </w:r>
            <w:r w:rsidRPr="009542AF">
              <w:rPr>
                <w:rFonts w:ascii="楷体" w:eastAsia="楷体" w:hAnsi="楷体" w:hint="eastAsia"/>
                <w:sz w:val="24"/>
                <w:szCs w:val="24"/>
              </w:rPr>
              <w:t>尊敬的投资者！公司2025年一季度相对于同类甲、乙公司亏损大的主要原因：一是在行业竞争激烈的市场环境下，公司通过管理订单的盈利水平控制接单量，导致公司的生产</w:t>
            </w:r>
            <w:proofErr w:type="gramStart"/>
            <w:r w:rsidRPr="009542AF">
              <w:rPr>
                <w:rFonts w:ascii="楷体" w:eastAsia="楷体" w:hAnsi="楷体" w:hint="eastAsia"/>
                <w:sz w:val="24"/>
                <w:szCs w:val="24"/>
              </w:rPr>
              <w:t>稼动率</w:t>
            </w:r>
            <w:proofErr w:type="gramEnd"/>
            <w:r w:rsidRPr="009542AF">
              <w:rPr>
                <w:rFonts w:ascii="楷体" w:eastAsia="楷体" w:hAnsi="楷体" w:hint="eastAsia"/>
                <w:sz w:val="24"/>
                <w:szCs w:val="24"/>
              </w:rPr>
              <w:t>较同行业偏低，而公司产能显著高于甲、乙公司，因此公司固定成本费用高于甲、乙公司；二是公司</w:t>
            </w:r>
            <w:proofErr w:type="gramStart"/>
            <w:r w:rsidRPr="009542AF">
              <w:rPr>
                <w:rFonts w:ascii="楷体" w:eastAsia="楷体" w:hAnsi="楷体" w:hint="eastAsia"/>
                <w:sz w:val="24"/>
                <w:szCs w:val="24"/>
              </w:rPr>
              <w:t>覆</w:t>
            </w:r>
            <w:proofErr w:type="gramEnd"/>
            <w:r w:rsidRPr="009542AF">
              <w:rPr>
                <w:rFonts w:ascii="楷体" w:eastAsia="楷体" w:hAnsi="楷体" w:hint="eastAsia"/>
                <w:sz w:val="24"/>
                <w:szCs w:val="24"/>
              </w:rPr>
              <w:t>铜板业务亏损605万元。感谢您的关注。</w:t>
            </w:r>
          </w:p>
        </w:tc>
      </w:tr>
      <w:tr w:rsidR="00EF1156" w:rsidRPr="00D82432" w:rsidTr="00D82432">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EF1156" w:rsidRPr="00D82432" w:rsidRDefault="00D82432" w:rsidP="00087377">
            <w:pPr>
              <w:spacing w:beforeLines="50" w:before="156" w:afterLines="50" w:after="156" w:line="360" w:lineRule="auto"/>
              <w:rPr>
                <w:rFonts w:ascii="楷体" w:eastAsia="楷体" w:hAnsi="楷体"/>
                <w:bCs/>
                <w:iCs/>
                <w:color w:val="000000"/>
                <w:sz w:val="24"/>
              </w:rPr>
            </w:pPr>
            <w:r w:rsidRPr="00D82432">
              <w:rPr>
                <w:rFonts w:ascii="楷体" w:eastAsia="楷体" w:hAnsi="楷体" w:hint="eastAsia"/>
                <w:bCs/>
                <w:iCs/>
                <w:color w:val="000000"/>
                <w:sz w:val="24"/>
              </w:rPr>
              <w:t>无</w:t>
            </w:r>
          </w:p>
        </w:tc>
      </w:tr>
      <w:tr w:rsidR="00EF1156" w:rsidRPr="00D82432" w:rsidTr="00D82432">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EF1156" w:rsidRPr="00D82432" w:rsidRDefault="00D82432" w:rsidP="009542AF">
            <w:pPr>
              <w:spacing w:beforeLines="50" w:before="156" w:afterLines="50" w:after="156" w:line="360" w:lineRule="auto"/>
              <w:rPr>
                <w:rFonts w:ascii="楷体" w:eastAsia="楷体" w:hAnsi="楷体"/>
                <w:bCs/>
                <w:iCs/>
                <w:color w:val="000000"/>
                <w:sz w:val="24"/>
              </w:rPr>
            </w:pPr>
            <w:r w:rsidRPr="00D82432">
              <w:rPr>
                <w:rFonts w:ascii="楷体" w:eastAsia="楷体" w:hAnsi="楷体" w:hint="eastAsia"/>
                <w:bCs/>
                <w:iCs/>
                <w:color w:val="000000"/>
                <w:sz w:val="24"/>
              </w:rPr>
              <w:t>202</w:t>
            </w:r>
            <w:r w:rsidR="009542AF">
              <w:rPr>
                <w:rFonts w:ascii="楷体" w:eastAsia="楷体" w:hAnsi="楷体"/>
                <w:bCs/>
                <w:iCs/>
                <w:color w:val="000000"/>
                <w:sz w:val="24"/>
              </w:rPr>
              <w:t>5</w:t>
            </w:r>
            <w:r w:rsidRPr="00D82432">
              <w:rPr>
                <w:rFonts w:ascii="楷体" w:eastAsia="楷体" w:hAnsi="楷体" w:hint="eastAsia"/>
                <w:bCs/>
                <w:iCs/>
                <w:color w:val="000000"/>
                <w:sz w:val="24"/>
              </w:rPr>
              <w:t>年</w:t>
            </w:r>
            <w:r w:rsidR="009542AF">
              <w:rPr>
                <w:rFonts w:ascii="楷体" w:eastAsia="楷体" w:hAnsi="楷体"/>
                <w:bCs/>
                <w:iCs/>
                <w:color w:val="000000"/>
                <w:sz w:val="24"/>
              </w:rPr>
              <w:t>5</w:t>
            </w:r>
            <w:r w:rsidRPr="00D82432">
              <w:rPr>
                <w:rFonts w:ascii="楷体" w:eastAsia="楷体" w:hAnsi="楷体" w:hint="eastAsia"/>
                <w:bCs/>
                <w:iCs/>
                <w:color w:val="000000"/>
                <w:sz w:val="24"/>
              </w:rPr>
              <w:t>月</w:t>
            </w:r>
            <w:r w:rsidR="009542AF">
              <w:rPr>
                <w:rFonts w:ascii="楷体" w:eastAsia="楷体" w:hAnsi="楷体"/>
                <w:bCs/>
                <w:iCs/>
                <w:color w:val="000000"/>
                <w:sz w:val="24"/>
              </w:rPr>
              <w:t>9</w:t>
            </w:r>
            <w:r w:rsidRPr="00D82432">
              <w:rPr>
                <w:rFonts w:ascii="楷体" w:eastAsia="楷体" w:hAnsi="楷体" w:hint="eastAsia"/>
                <w:bCs/>
                <w:iCs/>
                <w:color w:val="000000"/>
                <w:sz w:val="24"/>
              </w:rPr>
              <w:t>日</w:t>
            </w:r>
          </w:p>
        </w:tc>
      </w:tr>
    </w:tbl>
    <w:p w:rsidR="00EF1156" w:rsidRDefault="00EF1156"/>
    <w:sectPr w:rsidR="00EF115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028" w:rsidRDefault="007A2028">
      <w:r>
        <w:separator/>
      </w:r>
    </w:p>
  </w:endnote>
  <w:endnote w:type="continuationSeparator" w:id="0">
    <w:p w:rsidR="007A2028" w:rsidRDefault="007A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156" w:rsidRDefault="00EF1156">
    <w:pPr>
      <w:pStyle w:val="a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028" w:rsidRDefault="007A2028">
      <w:r>
        <w:separator/>
      </w:r>
    </w:p>
  </w:footnote>
  <w:footnote w:type="continuationSeparator" w:id="0">
    <w:p w:rsidR="007A2028" w:rsidRDefault="007A20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156" w:rsidRDefault="00EF1156">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25D4"/>
    <w:rsid w:val="000268C0"/>
    <w:rsid w:val="000363B5"/>
    <w:rsid w:val="000375D7"/>
    <w:rsid w:val="00043015"/>
    <w:rsid w:val="00046DDE"/>
    <w:rsid w:val="00047EB9"/>
    <w:rsid w:val="00060A74"/>
    <w:rsid w:val="00067110"/>
    <w:rsid w:val="00076028"/>
    <w:rsid w:val="00087377"/>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2C8F"/>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06A9C"/>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68DE"/>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45FC"/>
    <w:rsid w:val="006C6BC5"/>
    <w:rsid w:val="006D61A2"/>
    <w:rsid w:val="006E1DB4"/>
    <w:rsid w:val="00753DB6"/>
    <w:rsid w:val="00763847"/>
    <w:rsid w:val="00771FE3"/>
    <w:rsid w:val="00776BDE"/>
    <w:rsid w:val="00785D9C"/>
    <w:rsid w:val="00786870"/>
    <w:rsid w:val="00792237"/>
    <w:rsid w:val="0079272A"/>
    <w:rsid w:val="007A1DA9"/>
    <w:rsid w:val="007A2028"/>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542A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94381"/>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C2743"/>
    <w:rsid w:val="00BD15F3"/>
    <w:rsid w:val="00BD7986"/>
    <w:rsid w:val="00BD79D3"/>
    <w:rsid w:val="00C04F82"/>
    <w:rsid w:val="00C15AC0"/>
    <w:rsid w:val="00C26030"/>
    <w:rsid w:val="00C41091"/>
    <w:rsid w:val="00C4574F"/>
    <w:rsid w:val="00C63056"/>
    <w:rsid w:val="00C661D1"/>
    <w:rsid w:val="00C775BA"/>
    <w:rsid w:val="00C85331"/>
    <w:rsid w:val="00C85A50"/>
    <w:rsid w:val="00C94D46"/>
    <w:rsid w:val="00CA443A"/>
    <w:rsid w:val="00CB2461"/>
    <w:rsid w:val="00CB37FD"/>
    <w:rsid w:val="00CC4D65"/>
    <w:rsid w:val="00CC61E7"/>
    <w:rsid w:val="00CD25AD"/>
    <w:rsid w:val="00CD3FFC"/>
    <w:rsid w:val="00CF0D8D"/>
    <w:rsid w:val="00CF565C"/>
    <w:rsid w:val="00D016A3"/>
    <w:rsid w:val="00D021D7"/>
    <w:rsid w:val="00D14893"/>
    <w:rsid w:val="00D512E3"/>
    <w:rsid w:val="00D602C9"/>
    <w:rsid w:val="00D82432"/>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0A0B"/>
    <w:rsid w:val="00EC2AD7"/>
    <w:rsid w:val="00ED7DE0"/>
    <w:rsid w:val="00EE5D2F"/>
    <w:rsid w:val="00EE7891"/>
    <w:rsid w:val="00EF1156"/>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C7942"/>
    <w:rsid w:val="00FE62F3"/>
    <w:rsid w:val="00FF53C8"/>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A28927"/>
  <w15:docId w15:val="{207A7A37-DCE6-4E9C-9D15-934D5401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453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342</Words>
  <Characters>1953</Characters>
  <Application>Microsoft Office Word</Application>
  <DocSecurity>0</DocSecurity>
  <Lines>16</Lines>
  <Paragraphs>4</Paragraphs>
  <ScaleCrop>false</ScaleCrop>
  <Company>微软中国</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ZENG</cp:lastModifiedBy>
  <cp:revision>2</cp:revision>
  <cp:lastPrinted>2014-02-21T05:34:00Z</cp:lastPrinted>
  <dcterms:created xsi:type="dcterms:W3CDTF">2025-05-09T09:45:00Z</dcterms:created>
  <dcterms:modified xsi:type="dcterms:W3CDTF">2025-05-09T09:45:00Z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