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600735</w:t>
      </w:r>
      <w:r>
        <w:rPr>
          <w:color w:val="000000"/>
          <w:sz w:val="24"/>
        </w:rPr>
        <w:t xml:space="preserve">                             </w:t>
      </w:r>
      <w:r>
        <w:rPr>
          <w:rFonts w:hAnsi="宋体"/>
          <w:bCs/>
          <w:iCs/>
          <w:color w:val="000000"/>
          <w:sz w:val="24"/>
        </w:rPr>
        <w:t>证券简称：</w:t>
      </w:r>
      <w:r>
        <w:rPr>
          <w:color w:val="000000"/>
          <w:sz w:val="24"/>
        </w:rPr>
        <w:t>新华锦</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山东新华锦国际股份有限公司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2025年5月12日 (周一) 下午 14:40~17:00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1、董事长张航</w:t>
            </w:r>
          </w:p>
          <w:p>
            <w:pPr>
              <w:spacing w:line="420" w:lineRule="exact"/>
              <w:rPr>
                <w:rFonts w:hint="default" w:ascii="宋体" w:hAnsi="宋体"/>
                <w:bCs/>
                <w:sz w:val="24"/>
              </w:rPr>
            </w:pPr>
            <w:r>
              <w:rPr>
                <w:rFonts w:hint="default" w:ascii="宋体" w:hAnsi="宋体"/>
                <w:bCs/>
                <w:sz w:val="24"/>
              </w:rPr>
              <w:t>2、总裁、董事孟昭洁</w:t>
            </w:r>
          </w:p>
          <w:p>
            <w:pPr>
              <w:spacing w:line="420" w:lineRule="exact"/>
              <w:rPr>
                <w:rFonts w:hint="default" w:ascii="宋体" w:hAnsi="宋体"/>
                <w:bCs/>
                <w:sz w:val="24"/>
              </w:rPr>
            </w:pPr>
            <w:r>
              <w:rPr>
                <w:rFonts w:hint="default" w:ascii="宋体" w:hAnsi="宋体"/>
                <w:bCs/>
                <w:sz w:val="24"/>
              </w:rPr>
              <w:t>3、董事会秘书王燕妮</w:t>
            </w:r>
          </w:p>
          <w:p>
            <w:pPr>
              <w:spacing w:line="420" w:lineRule="exact"/>
              <w:rPr>
                <w:rFonts w:hint="default" w:ascii="宋体" w:hAnsi="宋体"/>
                <w:bCs/>
                <w:sz w:val="24"/>
              </w:rPr>
            </w:pPr>
            <w:r>
              <w:rPr>
                <w:rFonts w:hint="default" w:ascii="宋体" w:hAnsi="宋体"/>
                <w:bCs/>
                <w:sz w:val="24"/>
              </w:rPr>
              <w:t>4、副总裁、财务总监曹旭</w:t>
            </w:r>
          </w:p>
          <w:p>
            <w:pPr>
              <w:spacing w:line="420" w:lineRule="exact"/>
              <w:rPr>
                <w:rFonts w:hint="default" w:ascii="宋体" w:hAnsi="宋体"/>
                <w:bCs/>
                <w:sz w:val="24"/>
              </w:rPr>
            </w:pPr>
            <w:r>
              <w:rPr>
                <w:rFonts w:hint="default" w:ascii="宋体" w:hAnsi="宋体"/>
                <w:bCs/>
                <w:sz w:val="24"/>
              </w:rPr>
              <w:t>5、独立董事刘树艳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1、请问小蓬莱康养社区原来计划2024年底开园，现在开园了吗？有具体时间？</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尊敬的投资者您好，小蓬莱康养社区是公司控股股东的母公司新华锦集团的产业，具体事宜可通过新华锦集团官网的联系方式咨询相关人员。谢谢您的关注！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2、请问养老产业下步布局？</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继续坚持以轻资产运营为主的运营模式开展养老大健康业务，公司养老大健康业务主要通过子公司长生运营开展，长生运营是一家轻资产运营的养老服务公司，服务内容涵盖项目整体定位、适老化设计和改造、建立养老运营和康复运营体系、建立营销和管理体系、招聘人员和上岗培训、开业后项目整体运营以及后期养老医疗康复器械、老年福祉用品销售，实现了养老项目运营全流程服务。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3、您好，请问公司的石墨矿开工了吗？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目前有青岛森汇和青岛海正两座石墨矿。2024年，青岛森汇《采矿许可证》延续工作取得实质性进展，《青岛森汇石墨有限公司石墨矿矿产资源开发利用方案》和《青岛森汇石墨有限公司矿山地质环境保护与土地复垦方案》通过了专家评审并完成了公示、公告，正式进入新采矿权证的申领程序。同时，按照新环评批复要求，完成了防风抑尘网隔墙的建设、尾砂堆场扩建及矿区的地质勘探工作，为复工复产蓄力。青岛海正已取得《采矿许可证》，目前处于矿山建设筹备阶段。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您好张总！我是咱家一个长期投资者，一直看好并期待咱公司的战略转型！希望贵公司的办事效率提高一下，森汇石墨矿的采矿证应该差不多了吧，希望6月底前能投入生产，给公司持续带来效益。新材料公司希望能抓住历史机遇进行高质量的产业并购，市公司未来主业两条腿走路 ，预祝公司前途大好市值早日突破200亿！！！我与公司同进退！相信公司 相信年轻的张总！！！</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尊敬的投资者您好，我们会加快青岛森汇采矿权证的办理，尽快复工复产。谢谢您的关注！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5、公司将如何发挥自身拥有的石墨矿的优势？</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充分发挥青岛森汇和青岛海正石墨矿资源优势，集中精力和资源发展石墨新材料产业：（1）推动产学研融合。保持与国际国内高精尖院校和科研机构合作，引进高质量的石墨研发项目，促进科技成果落地转化。（2）精准策划石墨新材料发展路径。推动石墨新材料产业向深加工、规模化、绿色化、集群化发展，形成多种深加工产品延伸发展的产业体系。（3）加强内外部资源整合，持续提升整体实力。对内通过自主研发、技术创新提高石墨产品附加值，打造一流的石墨精炼生产基地；对外以石墨矿为起点，向下游积极探索和布局石墨在新材料领域的应用。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6、孟总您好，请问跨境电商进口行业竞争激烈，公司的优势是什么？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跨境进口电商业务主要通过子公司上海荔之开展，上海荔之是国内最早开展跨境进口的电商企业之一，具备较强的品牌服务意识和业务开拓能力，与国内外40多家知名品牌建立了长期稳定的合作关系；拥有具备行业竞争力的核心管理团队和专业化分工的运营团队，团队具有丰富的电商运营经验；拥有线上线下全域内容营销能力、全渠道覆盖能力；与仓储物流服务商共同构建了以香港、上海、广州、杭州、郑州、宁波为中心的仓储物流网络，建立了从品牌方境外采购、海外接货、国际物流运输、口岸清关、仓储管理、物流配送的一站式跨境供应链管理体系，实现了系统运营成本的最优化和客户服务的精细化。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7、请问贵公司应对特朗普关税政策的措施有哪些？是否有涨价意向？</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面对国际贸易环境变化及关税政策调整，公司始终积极采取应对措施：密切关注国际及国内经济政治形势，把握宏观趋势，稳健推进公司各项业务发展；加强对国内、国外生产基地的运营管理，通过调整产品结构，最大限度提高公司主要产品产能；积极调整出口商品、市场区域结构，创新开发新产品，提高产品竞争力；加强对行业的研究，做好风险管理，凝聚全体员工的智慧和力量，共同克服所面临的各种不利因素，推进公司各项业务平稳健康发展。</w:t>
              <w:br w:type="textWrapping"/>
              <w:t>关于产品价格，公司将结合成本变动、市场竞争格局及客户需求等因素，动态调整经营策略，在维护市场份额的同时保障合理利润。目前公司业务及财务情况稳健，重大经营动态将严格依规披露，请以公司公告为准。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8、请问公司未来的发展战略是什么？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未来的发展战略是在持续稳固发制品、纺织服装出口业务的基础上，紧抓跨境电商行业政策红利，顺应“双循环”发展格局，做大做强跨境电商进口业务。同时，发挥天然石墨资源优势，重点布局石墨新材料领域，做强石墨产业链条,推动石墨产业向高端化、智能化、绿色化、整合化方向发展。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9、如何提升中小股东回报？</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高度重视中小投资者利益，将继续沿着“新贸易、新材料”的战略发展方向，持续提升各业务板块的市场开发和经营管理，努力提高经营质效，以更好的业绩回馈广大投资者。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10、公司2024年亏损的主要原因是什么？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2024年业绩因计提商誉减值与二手车业务由盈转亏出现波动，但公司核心竞争力未受根本影响。不考虑计提商誉减值准备的影响，公司归属于母公司所有者的净利润为5,105.14万元，归属于母公司所有者的扣除非经常性损益的净利润为4,365.24万元。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11、公司最新的股东人数为多少？谢谢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尊敬的投资者您好，根据公司《2025年第一季度报告》，2025年3月末公司普通股股东总数为21637户。谢谢您的关注！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12、贵公司以后是否会延伸其他的方向，进行业务扩展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主营业务是发制品、纺织服装的出口和跨境电商进口，同时布局了石墨新材料业务，围绕石墨矿开展石墨深加工及石墨应用的新材料业务。未来公司将在持续稳固发制品、纺织服装出口业务的基础上，紧抓跨境电商行业政策红利，顺应“双循环”发展格局，做大做强跨境电商进口业务。同时，发挥天然石墨资源优势，做强石墨产业链条,推动石墨产业向高端化、智能化、绿色化、整合化方向发展。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13、美方对我国施压关税对公司业绩造成的影响大吗，公司贸易出口收入占比是多少？公司一季度为何会巨幅亏损</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美国对我国提高关税政策对公司业绩会有一定影响，公司2024年度出口业务收入占比82.18%。公司2025年第一季度实现归母净利润629.98万元，扣非后归母净利润607.64万元，并未出现亏损。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14、领导好，年报显示公司发制品业务的毛利率大幅增加，请问增加的主要原因是什么？是否具有持续性？</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2024年，公司发制品业务的毛利率为36.73%，较上年同比增加6.85个百分点。公司发制品业务毛利率的提升主要得益于以下几方面举措的综合作用：（1）坚持以市场需求和消费引领为导向的经营战略；（2）积极开拓市场，提高占有率；（3）在品质至上的前提下压缩成本，提升产品竞争力；（4）调整市场布局，风险分担。公司将持续巩固发制品在国际贸易领域的国内领先地位，稳定业绩表现，提高市场竞争力和占有率，充分发挥国外渠道构建优势，同时大力拓展除北美外的其他区域市场，以降低美国提高关税对公司发制品出口带来的不利影响，促进公司的可持续发展。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15、养老产业的市场潜力巨大，贵司有考虑大力发展养老业务吗？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坚持以轻资产运营为主的运营模式开展养老大健康业务。公司养老大健康业务主要通过子公司长生运营开展，长生运营是一家轻资产运营的养老服务公司，服务内容涵盖项目整体定位、适老化设计和改造、建立养老运营和康复运营体系、建立营销和管理体系、招聘人员和上岗培训、开业后项目整体运营以及后期养老医疗康复器械、老年福祉用品销售，实现了养老项目运营全流程服务。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16、青岛森汇的采矿许可证目前进展如何？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2024年，青岛森汇《采矿许可证》延续工作取得实质性进展，《青岛森汇石墨有限公司石墨矿矿产资源开发利用方案》和《青岛森汇石墨有限公司矿山地质环境保护与土地复垦方案》通过了专家评审并完成了公示、公告，正式进入新采矿权证的申领程序。同时，按照新环评批复要求，完成了防风抑尘网隔墙的建设、尾砂堆场扩建及矿区的地质勘探工作，为复工复产蓄力。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17、请问公司经营活动产生的现金流量净额大幅增长的原因是什么？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尊敬的投资者您好，2024年，公司经营活动产生的现金流量净额为2.70亿元，较上年同比增加102.01%，主要是报告期内二手车业务下滑导致预付账款下降，同时公司加速应收账款回收。谢谢您的关注！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18、您好请问森汇什么时候能开采？</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2024年，青岛森汇《采矿许可证》延续工作取得实质性进展，《青岛森汇石墨有限公司石墨矿矿产资源开发利用方案》和《青岛森汇石墨有限公司矿山地质环境保护与土地复垦方案》通过了专家评审并完成了公示、公告，正式进入新采矿权证的申领程序。同时，按照新环评批复要求，完成了防风抑尘网隔墙的建设、尾砂堆场扩建及矿区的地质勘探工作，为复工复产蓄力。公司将根据青岛森汇采矿权证办理进度及开采情况及时发布进展公告。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19、贵公司基于公司的发展，会否考虑引入其他战略投资方，或者进行资产重组。</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尊敬的投资者您好，目前公司主营业务稳定，未来将继续沿着“新贸易、新材料”战略方向发展，暂时没有引入战略投资方或进行资产重组的计划。谢谢您的关注。</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2025-05-12 17:03:31</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