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0561C">
      <w:pPr>
        <w:rPr>
          <w:rFonts w:ascii="宋体" w:hAnsi="宋体" w:eastAsia="宋体"/>
          <w:sz w:val="24"/>
          <w:szCs w:val="24"/>
        </w:rPr>
      </w:pPr>
      <w:r>
        <w:rPr>
          <w:rFonts w:hint="eastAsia" w:ascii="宋体" w:hAnsi="宋体" w:eastAsia="宋体"/>
          <w:sz w:val="24"/>
          <w:szCs w:val="24"/>
        </w:rPr>
        <w:t>证券代码：6</w:t>
      </w:r>
      <w:r>
        <w:rPr>
          <w:rFonts w:ascii="宋体" w:hAnsi="宋体" w:eastAsia="宋体"/>
          <w:sz w:val="24"/>
          <w:szCs w:val="24"/>
        </w:rPr>
        <w:t xml:space="preserve">03337                                   </w:t>
      </w:r>
      <w:r>
        <w:rPr>
          <w:rFonts w:hint="eastAsia" w:ascii="宋体" w:hAnsi="宋体" w:eastAsia="宋体"/>
          <w:sz w:val="24"/>
          <w:szCs w:val="24"/>
        </w:rPr>
        <w:t>证券简称：杰克股份</w:t>
      </w:r>
    </w:p>
    <w:p w14:paraId="12BDEE04">
      <w:pPr>
        <w:rPr>
          <w:rFonts w:ascii="宋体" w:hAnsi="宋体" w:eastAsia="宋体"/>
          <w:sz w:val="24"/>
          <w:szCs w:val="24"/>
        </w:rPr>
      </w:pPr>
    </w:p>
    <w:p w14:paraId="14146363">
      <w:pPr>
        <w:jc w:val="center"/>
        <w:rPr>
          <w:rFonts w:ascii="宋体" w:hAnsi="宋体" w:eastAsia="宋体"/>
          <w:b/>
          <w:sz w:val="32"/>
          <w:szCs w:val="32"/>
        </w:rPr>
      </w:pPr>
      <w:r>
        <w:rPr>
          <w:rFonts w:hint="eastAsia" w:ascii="宋体" w:hAnsi="宋体" w:eastAsia="宋体"/>
          <w:b/>
          <w:sz w:val="32"/>
          <w:szCs w:val="32"/>
        </w:rPr>
        <w:t>杰克科技股份有限公司</w:t>
      </w:r>
    </w:p>
    <w:p w14:paraId="307E8D4C">
      <w:pPr>
        <w:jc w:val="center"/>
        <w:rPr>
          <w:rFonts w:ascii="宋体" w:hAnsi="宋体" w:eastAsia="宋体"/>
          <w:b/>
          <w:sz w:val="32"/>
          <w:szCs w:val="32"/>
        </w:rPr>
      </w:pPr>
      <w:r>
        <w:rPr>
          <w:rFonts w:hint="eastAsia" w:ascii="宋体" w:hAnsi="宋体" w:eastAsia="宋体"/>
          <w:b/>
          <w:sz w:val="32"/>
          <w:szCs w:val="32"/>
        </w:rPr>
        <w:t>投资者关系活动记录表</w:t>
      </w:r>
    </w:p>
    <w:p w14:paraId="7D5D879A">
      <w:pPr>
        <w:rPr>
          <w:rFonts w:ascii="宋体" w:hAnsi="宋体" w:eastAsia="宋体"/>
          <w:sz w:val="24"/>
          <w:szCs w:val="24"/>
        </w:rPr>
      </w:pPr>
    </w:p>
    <w:p w14:paraId="77791364">
      <w:pPr>
        <w:jc w:val="right"/>
        <w:rPr>
          <w:rFonts w:hint="default" w:ascii="宋体" w:hAnsi="宋体" w:eastAsia="宋体"/>
          <w:sz w:val="24"/>
          <w:szCs w:val="24"/>
          <w:lang w:val="en-US" w:eastAsia="zh-CN"/>
        </w:rPr>
      </w:pPr>
      <w:r>
        <w:rPr>
          <w:rFonts w:hint="eastAsia" w:ascii="宋体" w:hAnsi="宋体" w:eastAsia="宋体"/>
          <w:sz w:val="24"/>
          <w:szCs w:val="24"/>
        </w:rPr>
        <w:t>编号：202</w:t>
      </w:r>
      <w:r>
        <w:rPr>
          <w:rFonts w:hint="eastAsia" w:ascii="宋体" w:hAnsi="宋体" w:eastAsia="宋体"/>
          <w:sz w:val="24"/>
          <w:szCs w:val="24"/>
          <w:lang w:val="en-US" w:eastAsia="zh-CN"/>
        </w:rPr>
        <w:t>5-001</w:t>
      </w:r>
    </w:p>
    <w:tbl>
      <w:tblPr>
        <w:tblStyle w:val="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6487"/>
      </w:tblGrid>
      <w:tr w14:paraId="20F2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22042B54">
            <w:pPr>
              <w:spacing w:line="360" w:lineRule="auto"/>
              <w:jc w:val="center"/>
              <w:rPr>
                <w:rFonts w:ascii="宋体" w:hAnsi="宋体" w:eastAsia="宋体"/>
                <w:b/>
                <w:bCs/>
                <w:iCs/>
                <w:sz w:val="24"/>
                <w:szCs w:val="24"/>
              </w:rPr>
            </w:pPr>
            <w:r>
              <w:rPr>
                <w:rFonts w:hint="eastAsia" w:ascii="宋体" w:hAnsi="宋体" w:eastAsia="宋体"/>
                <w:b/>
                <w:bCs/>
                <w:iCs/>
                <w:sz w:val="24"/>
                <w:szCs w:val="24"/>
              </w:rPr>
              <w:t>投资者关系</w:t>
            </w:r>
          </w:p>
          <w:p w14:paraId="2668E889">
            <w:pPr>
              <w:spacing w:line="360" w:lineRule="auto"/>
              <w:jc w:val="center"/>
              <w:rPr>
                <w:rFonts w:ascii="宋体" w:hAnsi="宋体" w:eastAsia="宋体"/>
                <w:b/>
                <w:bCs/>
                <w:iCs/>
                <w:sz w:val="24"/>
                <w:szCs w:val="24"/>
              </w:rPr>
            </w:pPr>
            <w:r>
              <w:rPr>
                <w:rFonts w:hint="eastAsia" w:ascii="宋体" w:hAnsi="宋体" w:eastAsia="宋体"/>
                <w:b/>
                <w:bCs/>
                <w:iCs/>
                <w:sz w:val="24"/>
                <w:szCs w:val="24"/>
              </w:rPr>
              <w:t>活动类别</w:t>
            </w:r>
          </w:p>
        </w:tc>
        <w:tc>
          <w:tcPr>
            <w:tcW w:w="6487" w:type="dxa"/>
            <w:shd w:val="clear" w:color="auto" w:fill="auto"/>
          </w:tcPr>
          <w:p w14:paraId="083C18D0">
            <w:pPr>
              <w:spacing w:line="360" w:lineRule="auto"/>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特定对象调研        </w:t>
            </w:r>
            <w:r>
              <w:rPr>
                <w:rFonts w:hint="eastAsia" w:ascii="宋体" w:hAnsi="宋体" w:eastAsia="宋体"/>
                <w:bCs/>
                <w:iCs/>
                <w:sz w:val="24"/>
                <w:szCs w:val="24"/>
              </w:rPr>
              <w:t>□</w:t>
            </w:r>
            <w:r>
              <w:rPr>
                <w:rFonts w:hint="eastAsia" w:ascii="宋体" w:hAnsi="宋体" w:eastAsia="宋体"/>
                <w:sz w:val="24"/>
                <w:szCs w:val="24"/>
              </w:rPr>
              <w:t>分析师会议</w:t>
            </w:r>
          </w:p>
          <w:p w14:paraId="66BF6E3F">
            <w:pPr>
              <w:spacing w:line="360" w:lineRule="auto"/>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媒体采访            </w:t>
            </w:r>
            <w:r>
              <w:rPr>
                <w:rFonts w:ascii="Arial" w:hAnsi="Arial" w:eastAsia="宋体" w:cs="Arial"/>
                <w:bCs/>
                <w:iCs/>
                <w:sz w:val="24"/>
                <w:szCs w:val="24"/>
              </w:rPr>
              <w:fldChar w:fldCharType="begin"/>
            </w:r>
            <w:r>
              <w:rPr>
                <w:rFonts w:ascii="Arial" w:hAnsi="Arial" w:eastAsia="宋体" w:cs="Arial"/>
                <w:bCs/>
                <w:iCs/>
                <w:sz w:val="24"/>
                <w:szCs w:val="24"/>
              </w:rPr>
              <w:instrText xml:space="preserve"> EQ \o\ac(</w:instrText>
            </w:r>
            <w:r>
              <w:rPr>
                <w:rFonts w:hint="eastAsia" w:ascii="Arial" w:hAnsi="Arial" w:eastAsia="宋体" w:cs="Arial"/>
                <w:bCs/>
                <w:iCs/>
                <w:sz w:val="24"/>
                <w:szCs w:val="24"/>
              </w:rPr>
              <w:instrText xml:space="preserve">□,</w:instrText>
            </w:r>
            <w:r>
              <w:rPr>
                <w:rFonts w:hint="eastAsia" w:ascii="Arial" w:hAnsi="Arial" w:eastAsia="宋体" w:cs="Arial"/>
                <w:bCs/>
                <w:iCs/>
                <w:position w:val="2"/>
                <w:sz w:val="16"/>
                <w:szCs w:val="24"/>
              </w:rPr>
              <w:instrText xml:space="preserve">√</w:instrText>
            </w:r>
            <w:r>
              <w:rPr>
                <w:rFonts w:ascii="Arial" w:hAnsi="Arial" w:eastAsia="宋体" w:cs="Arial"/>
                <w:bCs/>
                <w:iCs/>
                <w:sz w:val="24"/>
                <w:szCs w:val="24"/>
              </w:rPr>
              <w:instrText xml:space="preserve">)</w:instrText>
            </w:r>
            <w:r>
              <w:rPr>
                <w:rFonts w:ascii="Arial" w:hAnsi="Arial" w:eastAsia="宋体" w:cs="Arial"/>
                <w:bCs/>
                <w:iCs/>
                <w:sz w:val="24"/>
                <w:szCs w:val="24"/>
              </w:rPr>
              <w:fldChar w:fldCharType="end"/>
            </w:r>
            <w:r>
              <w:rPr>
                <w:rFonts w:hint="eastAsia" w:ascii="宋体" w:hAnsi="宋体" w:eastAsia="宋体"/>
                <w:sz w:val="24"/>
                <w:szCs w:val="24"/>
              </w:rPr>
              <w:t>业绩说明会</w:t>
            </w:r>
          </w:p>
          <w:p w14:paraId="03A6B8FC">
            <w:pPr>
              <w:spacing w:line="360" w:lineRule="auto"/>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新闻发布会          </w:t>
            </w:r>
            <w:r>
              <w:rPr>
                <w:rFonts w:hint="eastAsia" w:ascii="宋体" w:hAnsi="宋体" w:eastAsia="宋体"/>
                <w:bCs/>
                <w:iCs/>
                <w:sz w:val="24"/>
                <w:szCs w:val="24"/>
              </w:rPr>
              <w:t>□</w:t>
            </w:r>
            <w:r>
              <w:rPr>
                <w:rFonts w:hint="eastAsia" w:ascii="宋体" w:hAnsi="宋体" w:eastAsia="宋体"/>
                <w:sz w:val="24"/>
                <w:szCs w:val="24"/>
              </w:rPr>
              <w:t>路演活动</w:t>
            </w:r>
          </w:p>
          <w:p w14:paraId="7DEACA40">
            <w:pPr>
              <w:tabs>
                <w:tab w:val="left" w:pos="3045"/>
                <w:tab w:val="center" w:pos="3199"/>
              </w:tabs>
              <w:spacing w:line="360" w:lineRule="auto"/>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现场参观</w:t>
            </w:r>
          </w:p>
          <w:p w14:paraId="04CAE132">
            <w:pPr>
              <w:tabs>
                <w:tab w:val="left" w:pos="3045"/>
                <w:tab w:val="center" w:pos="3199"/>
              </w:tabs>
              <w:spacing w:line="360" w:lineRule="auto"/>
              <w:rPr>
                <w:rFonts w:hint="default" w:ascii="宋体" w:hAnsi="宋体" w:eastAsia="宋体"/>
                <w:bCs/>
                <w:iCs/>
                <w:sz w:val="24"/>
                <w:szCs w:val="24"/>
                <w:lang w:val="en-US" w:eastAsia="zh-CN"/>
              </w:rPr>
            </w:pPr>
            <w:r>
              <w:rPr>
                <w:rFonts w:hint="eastAsia" w:ascii="宋体" w:hAnsi="宋体" w:eastAsia="宋体"/>
                <w:bCs/>
                <w:iCs/>
                <w:sz w:val="24"/>
                <w:szCs w:val="24"/>
              </w:rPr>
              <w:t>□</w:t>
            </w:r>
            <w:r>
              <w:rPr>
                <w:rFonts w:hint="eastAsia" w:ascii="宋体" w:hAnsi="宋体" w:eastAsia="宋体"/>
                <w:sz w:val="24"/>
                <w:szCs w:val="24"/>
              </w:rPr>
              <w:t xml:space="preserve">其他 </w:t>
            </w:r>
            <w:r>
              <w:rPr>
                <w:rFonts w:hint="eastAsia" w:ascii="宋体" w:hAnsi="宋体" w:eastAsia="宋体"/>
                <w:sz w:val="24"/>
                <w:szCs w:val="24"/>
                <w:u w:val="single"/>
                <w:lang w:val="en-US" w:eastAsia="zh-CN"/>
              </w:rPr>
              <w:t xml:space="preserve">             </w:t>
            </w:r>
          </w:p>
        </w:tc>
      </w:tr>
      <w:tr w14:paraId="5DC0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019" w:type="dxa"/>
            <w:shd w:val="clear" w:color="auto" w:fill="auto"/>
            <w:vAlign w:val="center"/>
          </w:tcPr>
          <w:p w14:paraId="65708B3C">
            <w:pPr>
              <w:spacing w:line="360" w:lineRule="auto"/>
              <w:jc w:val="center"/>
              <w:rPr>
                <w:rFonts w:ascii="宋体" w:hAnsi="宋体" w:eastAsia="宋体"/>
                <w:b/>
                <w:bCs/>
                <w:iCs/>
                <w:sz w:val="24"/>
                <w:szCs w:val="24"/>
              </w:rPr>
            </w:pPr>
            <w:r>
              <w:rPr>
                <w:rFonts w:hint="eastAsia" w:ascii="宋体" w:hAnsi="宋体" w:eastAsia="宋体"/>
                <w:b/>
                <w:bCs/>
                <w:iCs/>
                <w:sz w:val="24"/>
                <w:szCs w:val="24"/>
              </w:rPr>
              <w:t>参与单位名称</w:t>
            </w:r>
          </w:p>
        </w:tc>
        <w:tc>
          <w:tcPr>
            <w:tcW w:w="6487" w:type="dxa"/>
            <w:shd w:val="clear" w:color="auto" w:fill="auto"/>
            <w:vAlign w:val="top"/>
          </w:tcPr>
          <w:p w14:paraId="37600A8D">
            <w:pPr>
              <w:spacing w:line="360" w:lineRule="auto"/>
              <w:rPr>
                <w:rFonts w:ascii="宋体" w:hAnsi="宋体" w:eastAsia="宋体"/>
                <w:bCs/>
                <w:iCs/>
                <w:sz w:val="24"/>
                <w:szCs w:val="24"/>
              </w:rPr>
            </w:pPr>
            <w:r>
              <w:rPr>
                <w:rFonts w:hint="eastAsia" w:ascii="宋体" w:hAnsi="宋体" w:eastAsia="宋体"/>
                <w:bCs/>
                <w:iCs/>
                <w:sz w:val="24"/>
                <w:szCs w:val="24"/>
              </w:rPr>
              <w:t>线上参与</w:t>
            </w:r>
            <w:r>
              <w:rPr>
                <w:rFonts w:hint="eastAsia" w:ascii="宋体" w:hAnsi="宋体" w:eastAsia="宋体"/>
                <w:bCs/>
                <w:iCs/>
                <w:sz w:val="24"/>
                <w:szCs w:val="24"/>
                <w:lang w:eastAsia="zh-CN"/>
              </w:rPr>
              <w:t>“</w:t>
            </w:r>
            <w:r>
              <w:rPr>
                <w:rFonts w:hint="eastAsia" w:ascii="宋体" w:hAnsi="宋体" w:eastAsia="宋体"/>
                <w:bCs/>
                <w:iCs/>
                <w:sz w:val="24"/>
                <w:szCs w:val="24"/>
                <w:lang w:val="en-US" w:eastAsia="zh-CN"/>
              </w:rPr>
              <w:t>杰克股份</w:t>
            </w:r>
            <w:r>
              <w:rPr>
                <w:rFonts w:hint="eastAsia" w:ascii="宋体" w:hAnsi="宋体" w:eastAsia="宋体"/>
                <w:bCs/>
                <w:iCs/>
                <w:sz w:val="24"/>
                <w:szCs w:val="24"/>
              </w:rPr>
              <w:t>2024年度暨2025年第一季度业绩说明会</w:t>
            </w:r>
            <w:r>
              <w:rPr>
                <w:rFonts w:hint="eastAsia" w:ascii="宋体" w:hAnsi="宋体" w:eastAsia="宋体"/>
                <w:bCs/>
                <w:iCs/>
                <w:sz w:val="24"/>
                <w:szCs w:val="24"/>
                <w:lang w:eastAsia="zh-CN"/>
              </w:rPr>
              <w:t>”</w:t>
            </w:r>
            <w:r>
              <w:rPr>
                <w:rFonts w:hint="eastAsia" w:ascii="宋体" w:hAnsi="宋体" w:eastAsia="宋体"/>
                <w:bCs/>
                <w:iCs/>
                <w:sz w:val="24"/>
                <w:szCs w:val="24"/>
              </w:rPr>
              <w:t>的投资者</w:t>
            </w:r>
          </w:p>
        </w:tc>
      </w:tr>
      <w:tr w14:paraId="73C2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70A34522">
            <w:pPr>
              <w:spacing w:line="360" w:lineRule="auto"/>
              <w:jc w:val="center"/>
              <w:rPr>
                <w:rFonts w:ascii="宋体" w:hAnsi="宋体" w:eastAsia="宋体"/>
                <w:b/>
                <w:bCs/>
                <w:iCs/>
                <w:sz w:val="24"/>
                <w:szCs w:val="24"/>
              </w:rPr>
            </w:pPr>
            <w:r>
              <w:rPr>
                <w:rFonts w:hint="eastAsia" w:ascii="宋体" w:hAnsi="宋体" w:eastAsia="宋体"/>
                <w:b/>
                <w:bCs/>
                <w:iCs/>
                <w:sz w:val="24"/>
                <w:szCs w:val="24"/>
              </w:rPr>
              <w:t xml:space="preserve">时 </w:t>
            </w:r>
            <w:r>
              <w:rPr>
                <w:rFonts w:ascii="宋体" w:hAnsi="宋体" w:eastAsia="宋体"/>
                <w:b/>
                <w:bCs/>
                <w:iCs/>
                <w:sz w:val="24"/>
                <w:szCs w:val="24"/>
              </w:rPr>
              <w:t xml:space="preserve"> </w:t>
            </w:r>
            <w:r>
              <w:rPr>
                <w:rFonts w:hint="eastAsia" w:ascii="宋体" w:hAnsi="宋体" w:eastAsia="宋体"/>
                <w:b/>
                <w:bCs/>
                <w:iCs/>
                <w:sz w:val="24"/>
                <w:szCs w:val="24"/>
              </w:rPr>
              <w:t>间</w:t>
            </w:r>
          </w:p>
        </w:tc>
        <w:tc>
          <w:tcPr>
            <w:tcW w:w="6487" w:type="dxa"/>
            <w:shd w:val="clear" w:color="auto" w:fill="auto"/>
            <w:vAlign w:val="top"/>
          </w:tcPr>
          <w:p w14:paraId="5A7F0C7F">
            <w:pPr>
              <w:spacing w:line="360" w:lineRule="auto"/>
              <w:rPr>
                <w:rFonts w:ascii="宋体" w:hAnsi="宋体" w:eastAsia="宋体"/>
                <w:bCs/>
                <w:iCs/>
                <w:sz w:val="24"/>
                <w:szCs w:val="24"/>
              </w:rPr>
            </w:pPr>
            <w:r>
              <w:rPr>
                <w:rFonts w:hint="eastAsia" w:ascii="宋体" w:hAnsi="宋体" w:eastAsia="宋体"/>
                <w:bCs/>
                <w:iCs/>
                <w:sz w:val="24"/>
                <w:szCs w:val="24"/>
              </w:rPr>
              <w:t>20</w:t>
            </w:r>
            <w:r>
              <w:rPr>
                <w:rFonts w:ascii="宋体" w:hAnsi="宋体" w:eastAsia="宋体"/>
                <w:bCs/>
                <w:iCs/>
                <w:sz w:val="24"/>
                <w:szCs w:val="24"/>
              </w:rPr>
              <w:t>2</w:t>
            </w:r>
            <w:r>
              <w:rPr>
                <w:rFonts w:hint="eastAsia" w:ascii="宋体" w:hAnsi="宋体" w:eastAsia="宋体"/>
                <w:bCs/>
                <w:iCs/>
                <w:sz w:val="24"/>
                <w:szCs w:val="24"/>
                <w:lang w:val="en-US" w:eastAsia="zh-CN"/>
              </w:rPr>
              <w:t>5</w:t>
            </w:r>
            <w:r>
              <w:rPr>
                <w:rFonts w:hint="eastAsia" w:ascii="宋体" w:hAnsi="宋体" w:eastAsia="宋体"/>
                <w:bCs/>
                <w:iCs/>
                <w:sz w:val="24"/>
                <w:szCs w:val="24"/>
              </w:rPr>
              <w:t>年</w:t>
            </w:r>
            <w:r>
              <w:rPr>
                <w:rFonts w:hint="eastAsia" w:ascii="宋体" w:hAnsi="宋体" w:eastAsia="宋体"/>
                <w:bCs/>
                <w:iCs/>
                <w:sz w:val="24"/>
                <w:szCs w:val="24"/>
                <w:lang w:val="en-US" w:eastAsia="zh-CN"/>
              </w:rPr>
              <w:t>5</w:t>
            </w:r>
            <w:r>
              <w:rPr>
                <w:rFonts w:hint="eastAsia" w:ascii="宋体" w:hAnsi="宋体" w:eastAsia="宋体"/>
                <w:bCs/>
                <w:iCs/>
                <w:sz w:val="24"/>
                <w:szCs w:val="24"/>
              </w:rPr>
              <w:t>月</w:t>
            </w:r>
            <w:r>
              <w:rPr>
                <w:rFonts w:hint="eastAsia" w:ascii="宋体" w:hAnsi="宋体" w:eastAsia="宋体"/>
                <w:bCs/>
                <w:iCs/>
                <w:sz w:val="24"/>
                <w:szCs w:val="24"/>
                <w:lang w:val="en-US" w:eastAsia="zh-CN"/>
              </w:rPr>
              <w:t>13</w:t>
            </w:r>
            <w:r>
              <w:rPr>
                <w:rFonts w:hint="eastAsia" w:ascii="宋体" w:hAnsi="宋体" w:eastAsia="宋体"/>
                <w:bCs/>
                <w:iCs/>
                <w:sz w:val="24"/>
                <w:szCs w:val="24"/>
              </w:rPr>
              <w:t>日</w:t>
            </w:r>
            <w:r>
              <w:rPr>
                <w:rFonts w:hint="eastAsia" w:ascii="宋体" w:hAnsi="宋体" w:eastAsia="宋体"/>
                <w:bCs/>
                <w:iCs/>
                <w:sz w:val="24"/>
                <w:szCs w:val="24"/>
                <w:lang w:val="en-US" w:eastAsia="zh-CN"/>
              </w:rPr>
              <w:t xml:space="preserve"> </w:t>
            </w:r>
            <w:r>
              <w:rPr>
                <w:rFonts w:hint="eastAsia" w:ascii="宋体" w:hAnsi="宋体" w:eastAsia="宋体"/>
                <w:bCs/>
                <w:iCs/>
                <w:sz w:val="24"/>
                <w:szCs w:val="24"/>
              </w:rPr>
              <w:t>1</w:t>
            </w:r>
            <w:r>
              <w:rPr>
                <w:rFonts w:hint="eastAsia" w:ascii="宋体" w:hAnsi="宋体" w:eastAsia="宋体"/>
                <w:bCs/>
                <w:iCs/>
                <w:sz w:val="24"/>
                <w:szCs w:val="24"/>
                <w:lang w:val="en-US" w:eastAsia="zh-CN"/>
              </w:rPr>
              <w:t>4</w:t>
            </w:r>
            <w:r>
              <w:rPr>
                <w:rFonts w:hint="eastAsia" w:ascii="宋体" w:hAnsi="宋体" w:eastAsia="宋体"/>
                <w:bCs/>
                <w:iCs/>
                <w:sz w:val="24"/>
                <w:szCs w:val="24"/>
              </w:rPr>
              <w:t>:0</w:t>
            </w:r>
            <w:r>
              <w:rPr>
                <w:rFonts w:ascii="宋体" w:hAnsi="宋体" w:eastAsia="宋体"/>
                <w:bCs/>
                <w:iCs/>
                <w:sz w:val="24"/>
                <w:szCs w:val="24"/>
              </w:rPr>
              <w:t>0</w:t>
            </w:r>
            <w:r>
              <w:rPr>
                <w:rFonts w:hint="eastAsia" w:ascii="宋体" w:hAnsi="宋体" w:eastAsia="宋体"/>
                <w:bCs/>
                <w:iCs/>
                <w:sz w:val="24"/>
                <w:szCs w:val="24"/>
              </w:rPr>
              <w:t>-</w:t>
            </w:r>
            <w:r>
              <w:rPr>
                <w:rFonts w:ascii="宋体" w:hAnsi="宋体" w:eastAsia="宋体"/>
                <w:bCs/>
                <w:iCs/>
                <w:sz w:val="24"/>
                <w:szCs w:val="24"/>
              </w:rPr>
              <w:t>1</w:t>
            </w:r>
            <w:r>
              <w:rPr>
                <w:rFonts w:hint="eastAsia" w:ascii="宋体" w:hAnsi="宋体" w:eastAsia="宋体"/>
                <w:bCs/>
                <w:iCs/>
                <w:sz w:val="24"/>
                <w:szCs w:val="24"/>
                <w:lang w:val="en-US" w:eastAsia="zh-CN"/>
              </w:rPr>
              <w:t>5</w:t>
            </w:r>
            <w:r>
              <w:rPr>
                <w:rFonts w:hint="eastAsia" w:ascii="宋体" w:hAnsi="宋体" w:eastAsia="宋体"/>
                <w:bCs/>
                <w:iCs/>
                <w:sz w:val="24"/>
                <w:szCs w:val="24"/>
              </w:rPr>
              <w:t>:</w:t>
            </w:r>
            <w:r>
              <w:rPr>
                <w:rFonts w:hint="eastAsia" w:ascii="宋体" w:hAnsi="宋体" w:eastAsia="宋体"/>
                <w:bCs/>
                <w:iCs/>
                <w:sz w:val="24"/>
                <w:szCs w:val="24"/>
                <w:lang w:val="en-US" w:eastAsia="zh-CN"/>
              </w:rPr>
              <w:t>0</w:t>
            </w:r>
            <w:r>
              <w:rPr>
                <w:rFonts w:ascii="宋体" w:hAnsi="宋体" w:eastAsia="宋体"/>
                <w:bCs/>
                <w:iCs/>
                <w:sz w:val="24"/>
                <w:szCs w:val="24"/>
              </w:rPr>
              <w:t>0</w:t>
            </w:r>
          </w:p>
        </w:tc>
      </w:tr>
      <w:tr w14:paraId="01C2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2F10A681">
            <w:pPr>
              <w:spacing w:line="360" w:lineRule="auto"/>
              <w:jc w:val="center"/>
              <w:rPr>
                <w:rFonts w:ascii="宋体" w:hAnsi="宋体" w:eastAsia="宋体"/>
                <w:b/>
                <w:bCs/>
                <w:iCs/>
                <w:sz w:val="24"/>
                <w:szCs w:val="24"/>
              </w:rPr>
            </w:pPr>
            <w:r>
              <w:rPr>
                <w:rFonts w:hint="eastAsia" w:ascii="宋体" w:hAnsi="宋体" w:eastAsia="宋体"/>
                <w:b/>
                <w:bCs/>
                <w:iCs/>
                <w:sz w:val="24"/>
                <w:szCs w:val="24"/>
              </w:rPr>
              <w:t xml:space="preserve">地 </w:t>
            </w:r>
            <w:r>
              <w:rPr>
                <w:rFonts w:ascii="宋体" w:hAnsi="宋体" w:eastAsia="宋体"/>
                <w:b/>
                <w:bCs/>
                <w:iCs/>
                <w:sz w:val="24"/>
                <w:szCs w:val="24"/>
              </w:rPr>
              <w:t xml:space="preserve"> </w:t>
            </w:r>
            <w:r>
              <w:rPr>
                <w:rFonts w:hint="eastAsia" w:ascii="宋体" w:hAnsi="宋体" w:eastAsia="宋体"/>
                <w:b/>
                <w:bCs/>
                <w:iCs/>
                <w:sz w:val="24"/>
                <w:szCs w:val="24"/>
              </w:rPr>
              <w:t>点</w:t>
            </w:r>
          </w:p>
        </w:tc>
        <w:tc>
          <w:tcPr>
            <w:tcW w:w="6487" w:type="dxa"/>
            <w:shd w:val="clear" w:color="auto" w:fill="auto"/>
            <w:vAlign w:val="top"/>
          </w:tcPr>
          <w:p w14:paraId="50DA68A4">
            <w:pPr>
              <w:spacing w:line="360" w:lineRule="auto"/>
              <w:jc w:val="left"/>
              <w:rPr>
                <w:rFonts w:hint="default" w:ascii="宋体" w:hAnsi="宋体" w:eastAsia="宋体"/>
                <w:bCs/>
                <w:iCs/>
                <w:sz w:val="24"/>
                <w:szCs w:val="24"/>
                <w:lang w:val="en-US" w:eastAsia="zh-CN"/>
              </w:rPr>
            </w:pPr>
            <w:r>
              <w:rPr>
                <w:rFonts w:hint="default" w:ascii="宋体" w:hAnsi="宋体" w:eastAsia="宋体"/>
                <w:bCs/>
                <w:iCs/>
                <w:sz w:val="24"/>
                <w:szCs w:val="24"/>
                <w:lang w:val="en-US" w:eastAsia="zh-CN"/>
              </w:rPr>
              <w:t>上海证券交易所上证路演中心</w:t>
            </w:r>
          </w:p>
          <w:p w14:paraId="15CD5A85">
            <w:pPr>
              <w:spacing w:line="360" w:lineRule="auto"/>
              <w:jc w:val="left"/>
              <w:rPr>
                <w:rFonts w:hint="default" w:ascii="宋体" w:hAnsi="宋体" w:eastAsia="宋体"/>
                <w:bCs/>
                <w:iCs/>
                <w:sz w:val="24"/>
                <w:szCs w:val="24"/>
                <w:lang w:val="en-US" w:eastAsia="zh-CN"/>
              </w:rPr>
            </w:pPr>
            <w:r>
              <w:rPr>
                <w:rFonts w:hint="default" w:ascii="宋体" w:hAnsi="宋体" w:eastAsia="宋体"/>
                <w:bCs/>
                <w:iCs/>
                <w:sz w:val="24"/>
                <w:szCs w:val="24"/>
                <w:lang w:val="en-US" w:eastAsia="zh-CN"/>
              </w:rPr>
              <w:t>（网址：http://roadshow.sseinfo.com/）</w:t>
            </w:r>
          </w:p>
        </w:tc>
      </w:tr>
      <w:tr w14:paraId="2F4E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700E91B7">
            <w:pPr>
              <w:spacing w:line="360" w:lineRule="auto"/>
              <w:jc w:val="center"/>
              <w:rPr>
                <w:rFonts w:ascii="宋体" w:hAnsi="宋体" w:eastAsia="宋体"/>
                <w:b/>
                <w:bCs/>
                <w:iCs/>
                <w:sz w:val="24"/>
                <w:szCs w:val="24"/>
              </w:rPr>
            </w:pPr>
            <w:r>
              <w:rPr>
                <w:rFonts w:hint="eastAsia" w:ascii="宋体" w:hAnsi="宋体" w:eastAsia="宋体"/>
                <w:b/>
                <w:bCs/>
                <w:iCs/>
                <w:sz w:val="24"/>
                <w:szCs w:val="24"/>
              </w:rPr>
              <w:t>上市公司接待</w:t>
            </w:r>
          </w:p>
          <w:p w14:paraId="106FCDCC">
            <w:pPr>
              <w:spacing w:line="360" w:lineRule="auto"/>
              <w:jc w:val="center"/>
              <w:rPr>
                <w:rFonts w:ascii="宋体" w:hAnsi="宋体" w:eastAsia="宋体"/>
                <w:b/>
                <w:bCs/>
                <w:iCs/>
                <w:sz w:val="24"/>
                <w:szCs w:val="24"/>
              </w:rPr>
            </w:pPr>
            <w:r>
              <w:rPr>
                <w:rFonts w:hint="eastAsia" w:ascii="宋体" w:hAnsi="宋体" w:eastAsia="宋体"/>
                <w:b/>
                <w:bCs/>
                <w:iCs/>
                <w:sz w:val="24"/>
                <w:szCs w:val="24"/>
              </w:rPr>
              <w:t>人员姓名</w:t>
            </w:r>
          </w:p>
        </w:tc>
        <w:tc>
          <w:tcPr>
            <w:tcW w:w="6487" w:type="dxa"/>
            <w:shd w:val="clear" w:color="auto" w:fill="auto"/>
          </w:tcPr>
          <w:p w14:paraId="5A44E455">
            <w:pPr>
              <w:spacing w:line="360" w:lineRule="auto"/>
              <w:rPr>
                <w:rFonts w:hint="eastAsia" w:ascii="宋体" w:hAnsi="宋体" w:eastAsia="宋体"/>
                <w:bCs/>
                <w:iCs/>
                <w:sz w:val="24"/>
                <w:szCs w:val="24"/>
              </w:rPr>
            </w:pPr>
            <w:r>
              <w:rPr>
                <w:rFonts w:hint="eastAsia" w:ascii="宋体" w:hAnsi="宋体" w:eastAsia="宋体"/>
                <w:bCs/>
                <w:iCs/>
                <w:sz w:val="24"/>
                <w:szCs w:val="24"/>
              </w:rPr>
              <w:t>董事长、总裁：阮积祥</w:t>
            </w:r>
          </w:p>
          <w:p w14:paraId="0C76A21F">
            <w:pPr>
              <w:spacing w:line="360" w:lineRule="auto"/>
              <w:rPr>
                <w:rFonts w:ascii="宋体" w:hAnsi="宋体" w:eastAsia="宋体"/>
                <w:bCs/>
                <w:iCs/>
                <w:sz w:val="24"/>
                <w:szCs w:val="24"/>
              </w:rPr>
            </w:pPr>
            <w:r>
              <w:rPr>
                <w:rFonts w:hint="eastAsia" w:ascii="宋体" w:hAnsi="宋体" w:eastAsia="宋体"/>
                <w:bCs/>
                <w:iCs/>
                <w:sz w:val="24"/>
                <w:szCs w:val="24"/>
              </w:rPr>
              <w:t>副董事长、副总裁兼董事会秘书：谢云娇</w:t>
            </w:r>
          </w:p>
          <w:p w14:paraId="4C6E6286">
            <w:pPr>
              <w:spacing w:line="360" w:lineRule="auto"/>
              <w:rPr>
                <w:rFonts w:hint="eastAsia" w:ascii="宋体" w:hAnsi="宋体" w:eastAsia="宋体"/>
                <w:bCs/>
                <w:iCs/>
                <w:sz w:val="24"/>
                <w:szCs w:val="24"/>
                <w:lang w:val="en-US" w:eastAsia="zh-CN"/>
              </w:rPr>
            </w:pPr>
            <w:r>
              <w:rPr>
                <w:rFonts w:hint="eastAsia" w:ascii="宋体" w:hAnsi="宋体" w:eastAsia="宋体"/>
                <w:bCs/>
                <w:iCs/>
                <w:sz w:val="24"/>
                <w:szCs w:val="24"/>
                <w:lang w:val="en-US" w:eastAsia="zh-CN"/>
              </w:rPr>
              <w:t>独立董事：王茁</w:t>
            </w:r>
          </w:p>
          <w:p w14:paraId="7342F87D">
            <w:pPr>
              <w:spacing w:line="360" w:lineRule="auto"/>
              <w:rPr>
                <w:rFonts w:ascii="宋体" w:hAnsi="宋体" w:eastAsia="宋体"/>
                <w:bCs/>
                <w:iCs/>
                <w:sz w:val="24"/>
                <w:szCs w:val="24"/>
              </w:rPr>
            </w:pPr>
            <w:r>
              <w:rPr>
                <w:rFonts w:hint="eastAsia" w:ascii="宋体" w:hAnsi="宋体" w:eastAsia="宋体"/>
                <w:bCs/>
                <w:iCs/>
                <w:sz w:val="24"/>
                <w:szCs w:val="24"/>
              </w:rPr>
              <w:t>财务总监：林美芳</w:t>
            </w:r>
          </w:p>
        </w:tc>
      </w:tr>
      <w:tr w14:paraId="33D6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19" w:type="dxa"/>
            <w:shd w:val="clear" w:color="auto" w:fill="auto"/>
            <w:vAlign w:val="center"/>
          </w:tcPr>
          <w:p w14:paraId="48A466F0">
            <w:pPr>
              <w:spacing w:line="360" w:lineRule="auto"/>
              <w:jc w:val="center"/>
              <w:rPr>
                <w:rFonts w:ascii="宋体" w:hAnsi="宋体" w:eastAsia="宋体"/>
                <w:sz w:val="24"/>
                <w:szCs w:val="24"/>
              </w:rPr>
            </w:pPr>
            <w:r>
              <w:rPr>
                <w:rFonts w:hint="eastAsia" w:ascii="宋体" w:hAnsi="宋体" w:eastAsia="宋体"/>
                <w:b/>
                <w:bCs/>
                <w:iCs/>
                <w:sz w:val="24"/>
                <w:szCs w:val="24"/>
              </w:rPr>
              <w:t>投资者关系活动主要内容介绍</w:t>
            </w:r>
          </w:p>
        </w:tc>
        <w:tc>
          <w:tcPr>
            <w:tcW w:w="6487" w:type="dxa"/>
            <w:shd w:val="clear" w:color="auto" w:fill="auto"/>
          </w:tcPr>
          <w:p w14:paraId="57B2F846">
            <w:pPr>
              <w:pStyle w:val="4"/>
              <w:widowControl/>
              <w:spacing w:line="360" w:lineRule="auto"/>
              <w:ind w:firstLine="482" w:firstLineChars="200"/>
              <w:jc w:val="both"/>
              <w:rPr>
                <w:rFonts w:hint="eastAsia"/>
                <w:b/>
                <w:bCs/>
                <w:lang w:val="en-US" w:eastAsia="zh-CN"/>
              </w:rPr>
            </w:pPr>
            <w:r>
              <w:rPr>
                <w:rFonts w:hint="eastAsia"/>
                <w:b/>
                <w:bCs/>
                <w:lang w:val="en-US" w:eastAsia="zh-CN"/>
              </w:rPr>
              <w:t>1、关税战对公司的短期和长期影响是什么?</w:t>
            </w:r>
          </w:p>
          <w:p w14:paraId="2504AB6C">
            <w:pPr>
              <w:pStyle w:val="4"/>
              <w:widowControl/>
              <w:spacing w:line="360" w:lineRule="auto"/>
              <w:ind w:firstLine="480" w:firstLineChars="200"/>
              <w:jc w:val="both"/>
              <w:rPr>
                <w:rFonts w:hint="eastAsia"/>
                <w:b w:val="0"/>
                <w:bCs w:val="0"/>
                <w:lang w:val="en-US" w:eastAsia="zh-CN"/>
              </w:rPr>
            </w:pPr>
            <w:r>
              <w:rPr>
                <w:rFonts w:hint="eastAsia"/>
                <w:b w:val="0"/>
                <w:bCs w:val="0"/>
                <w:lang w:val="en-US" w:eastAsia="zh-CN"/>
              </w:rPr>
              <w:t>尊敬的投资者您好，从短期来看，关税政策的变化可能会在二季度对部分出口型服装企业存在一定短期情绪影响，短期观望态度，可能暂缓或调整投资计划，但对内需市场的客户群体影响不明显。从中长期发展来看，高关税环境将加速全球服装产业链的重新布局，推动产业转移，从高关税地区向低关税地区转移，从低效设备向高效设备升级，无论是产业转移还是设备升级，都是公司的机会。谢谢！</w:t>
            </w:r>
          </w:p>
          <w:p w14:paraId="1BF704D6">
            <w:pPr>
              <w:pStyle w:val="4"/>
              <w:widowControl/>
              <w:spacing w:line="360" w:lineRule="auto"/>
              <w:ind w:firstLine="482" w:firstLineChars="200"/>
              <w:jc w:val="both"/>
              <w:rPr>
                <w:rFonts w:hint="eastAsia"/>
                <w:b/>
                <w:bCs/>
                <w:lang w:val="en-US" w:eastAsia="zh-CN"/>
              </w:rPr>
            </w:pPr>
            <w:r>
              <w:rPr>
                <w:rFonts w:hint="eastAsia"/>
                <w:b/>
                <w:bCs/>
                <w:lang w:val="en-US" w:eastAsia="zh-CN"/>
              </w:rPr>
              <w:t>2、公司近期积极布局智能化高端产品，具体成果有哪些？公司后续计划如何进一步拓展相关业务，开拓新的利润增长空间？</w:t>
            </w:r>
          </w:p>
          <w:p w14:paraId="2E91BB37">
            <w:pPr>
              <w:pStyle w:val="4"/>
              <w:widowControl/>
              <w:spacing w:line="360" w:lineRule="auto"/>
              <w:ind w:firstLine="480" w:firstLineChars="200"/>
              <w:jc w:val="both"/>
              <w:rPr>
                <w:rFonts w:hint="eastAsia"/>
                <w:b w:val="0"/>
                <w:bCs w:val="0"/>
                <w:lang w:val="en-US" w:eastAsia="zh-CN"/>
              </w:rPr>
            </w:pPr>
            <w:r>
              <w:rPr>
                <w:rFonts w:hint="eastAsia"/>
                <w:b w:val="0"/>
                <w:bCs w:val="0"/>
                <w:lang w:val="en-US" w:eastAsia="zh-CN"/>
              </w:rPr>
              <w:t>尊敬的投资者您好，公司聚焦高端AI缝纫机、人形机器人及自动化模板机等智能化高端品类的开发打造，推动AI人工智能、人形机器人与服装机械工艺、服装智能制造的深度融合。2025年下半年公司将发布高端AI智能缝纫机，并初步计划于2026年下半年发布人形机器人，将机器人和自动化技术结合的解决方案逐步应用到客户场景中。未来公司将加大研发投入，全力推进智能高端产品研发，开创缝纫机行业新品类，大幅提升智能缝制设备的生产效率，巩固公司在缝制机械设备领域的领先优势和品牌影响力，为公司持续开拓新的利润增长空间。谢谢！</w:t>
            </w:r>
          </w:p>
          <w:p w14:paraId="3B2166C2">
            <w:pPr>
              <w:pStyle w:val="4"/>
              <w:widowControl/>
              <w:spacing w:line="360" w:lineRule="auto"/>
              <w:ind w:firstLine="482" w:firstLineChars="200"/>
              <w:jc w:val="both"/>
              <w:rPr>
                <w:rFonts w:hint="eastAsia"/>
                <w:b/>
                <w:bCs/>
                <w:lang w:val="en-US" w:eastAsia="zh-CN"/>
              </w:rPr>
            </w:pPr>
            <w:r>
              <w:rPr>
                <w:rFonts w:hint="eastAsia"/>
                <w:b/>
                <w:bCs/>
                <w:lang w:val="en-US" w:eastAsia="zh-CN"/>
              </w:rPr>
              <w:t>3、如何应对市场周期性波动？</w:t>
            </w:r>
          </w:p>
          <w:p w14:paraId="13CAB377">
            <w:pPr>
              <w:pStyle w:val="4"/>
              <w:widowControl/>
              <w:spacing w:line="360" w:lineRule="auto"/>
              <w:ind w:firstLine="480" w:firstLineChars="200"/>
              <w:jc w:val="both"/>
              <w:rPr>
                <w:rFonts w:hint="eastAsia"/>
                <w:b w:val="0"/>
                <w:bCs w:val="0"/>
                <w:lang w:val="en-US" w:eastAsia="zh-CN"/>
              </w:rPr>
            </w:pPr>
            <w:r>
              <w:rPr>
                <w:rFonts w:hint="eastAsia"/>
                <w:b w:val="0"/>
                <w:bCs w:val="0"/>
                <w:lang w:val="en-US" w:eastAsia="zh-CN"/>
              </w:rPr>
              <w:t>尊敬的投资者您好，近年来，由于疫情等因素的影响，行业周期性不如以往明显。公司认为，应对市场周期性波动的关键在于内炼内功，强化大客户联合创新及技术产品研发，提升产品竞争力，提高盈利能力，同时通过SKU缩减，聚焦核心品类，提升运营效率，降低端到端运营成本，外拓市场，通过强化海外布局，爆品打造，价值引领，通过爆品+成套智能，双轴驱动提升市场占有率。同时，公司将推出AI新品类高端AI智能缝纫机，拓展中大型客户群体，提升盈利能力，增强抗风险能力。此外，公司还将通过产品升级和创新，开拓新的赛道，以实现可持续增长。谢谢！</w:t>
            </w:r>
          </w:p>
          <w:p w14:paraId="56AB26EE">
            <w:pPr>
              <w:pStyle w:val="4"/>
              <w:widowControl/>
              <w:spacing w:line="360" w:lineRule="auto"/>
              <w:ind w:firstLine="482" w:firstLineChars="200"/>
              <w:jc w:val="both"/>
              <w:rPr>
                <w:rFonts w:hint="eastAsia"/>
                <w:b/>
                <w:bCs/>
                <w:lang w:val="en-US" w:eastAsia="zh-CN"/>
              </w:rPr>
            </w:pPr>
            <w:r>
              <w:rPr>
                <w:rFonts w:hint="eastAsia"/>
                <w:b/>
                <w:bCs/>
                <w:lang w:val="en-US" w:eastAsia="zh-CN"/>
              </w:rPr>
              <w:t>4、2025年公司有无SKU精简目标，主要会削减哪些产品？</w:t>
            </w:r>
          </w:p>
          <w:p w14:paraId="253D1631">
            <w:pPr>
              <w:pStyle w:val="4"/>
              <w:widowControl/>
              <w:spacing w:line="360" w:lineRule="auto"/>
              <w:ind w:firstLine="480" w:firstLineChars="200"/>
              <w:jc w:val="both"/>
              <w:rPr>
                <w:rFonts w:hint="eastAsia"/>
                <w:b w:val="0"/>
                <w:bCs w:val="0"/>
                <w:lang w:val="en-US" w:eastAsia="zh-CN"/>
              </w:rPr>
            </w:pPr>
            <w:r>
              <w:rPr>
                <w:rFonts w:hint="eastAsia"/>
                <w:b w:val="0"/>
                <w:bCs w:val="0"/>
                <w:lang w:val="en-US" w:eastAsia="zh-CN"/>
              </w:rPr>
              <w:t>尊敬的投资者您好，公司计划在2025年将SKU数量降至1000种以下。目前，公司不仅聚焦核心品类，缩减SKU，同时开启CBB平台建设，从零件归一化、技术平台化进行整合，以进一步提升零件及技术复用率，降低库存，提升产品竞争力，提升运营效率。谢谢！</w:t>
            </w:r>
          </w:p>
          <w:p w14:paraId="30491DC0">
            <w:pPr>
              <w:pStyle w:val="4"/>
              <w:widowControl/>
              <w:spacing w:line="360" w:lineRule="auto"/>
              <w:ind w:firstLine="482" w:firstLineChars="200"/>
              <w:jc w:val="both"/>
              <w:rPr>
                <w:rFonts w:hint="eastAsia"/>
                <w:b/>
                <w:bCs/>
                <w:lang w:val="en-US" w:eastAsia="zh-CN"/>
              </w:rPr>
            </w:pPr>
            <w:r>
              <w:rPr>
                <w:rFonts w:hint="eastAsia"/>
                <w:b/>
                <w:bCs/>
                <w:lang w:val="en-US" w:eastAsia="zh-CN"/>
              </w:rPr>
              <w:t>5、公司毛利率呈上升趋势，公司在提升毛利率方面采取了哪些有效策略，这些策略在后续是否具备可持续性，以维持较高的毛利率水平？</w:t>
            </w:r>
          </w:p>
          <w:p w14:paraId="1C028589">
            <w:pPr>
              <w:pStyle w:val="4"/>
              <w:widowControl/>
              <w:spacing w:line="360" w:lineRule="auto"/>
              <w:ind w:firstLine="480" w:firstLineChars="200"/>
              <w:jc w:val="both"/>
              <w:rPr>
                <w:rFonts w:hint="default"/>
                <w:b w:val="0"/>
                <w:bCs w:val="0"/>
                <w:lang w:val="en-US" w:eastAsia="zh-CN"/>
              </w:rPr>
            </w:pPr>
            <w:r>
              <w:rPr>
                <w:rFonts w:hint="eastAsia"/>
                <w:b w:val="0"/>
                <w:bCs w:val="0"/>
                <w:lang w:val="en-US" w:eastAsia="zh-CN"/>
              </w:rPr>
              <w:t>尊敬的投资者您好，公司毛利率提升主要是国内外结构变化、产品结构调整、降本增效及汇率等因素影响。未来公司将通过强化海外布局，构建铁三角模式打赢海外升级之战；通过加大自动化、人形机器人和AI人工智能等领域的研发投入，推动公司缝制机械产品向高端迈进；通过聚焦核心品类，缩减SKU，打造爆品，提升产品力，实现产品逐步升级，最终实现盈利能力及毛利率的稳定提升。谢谢！</w:t>
            </w:r>
          </w:p>
          <w:p w14:paraId="6F32DC7D">
            <w:pPr>
              <w:pStyle w:val="4"/>
              <w:widowControl/>
              <w:spacing w:line="360" w:lineRule="auto"/>
              <w:ind w:firstLine="482" w:firstLineChars="200"/>
              <w:jc w:val="both"/>
              <w:rPr>
                <w:rFonts w:hint="eastAsia"/>
                <w:b/>
                <w:bCs/>
                <w:lang w:val="en-US" w:eastAsia="zh-CN"/>
              </w:rPr>
            </w:pPr>
            <w:r>
              <w:rPr>
                <w:rFonts w:hint="eastAsia"/>
                <w:b/>
                <w:bCs/>
                <w:lang w:val="en-US" w:eastAsia="zh-CN"/>
              </w:rPr>
              <w:t>6、公司如何看海外电脑化升级？</w:t>
            </w:r>
          </w:p>
          <w:p w14:paraId="090BF64B">
            <w:pPr>
              <w:pStyle w:val="4"/>
              <w:widowControl/>
              <w:spacing w:line="360" w:lineRule="auto"/>
              <w:ind w:firstLine="480" w:firstLineChars="200"/>
              <w:jc w:val="both"/>
              <w:rPr>
                <w:rFonts w:hint="eastAsia"/>
                <w:b w:val="0"/>
                <w:bCs w:val="0"/>
                <w:lang w:val="en-US" w:eastAsia="zh-CN"/>
              </w:rPr>
            </w:pPr>
            <w:r>
              <w:rPr>
                <w:rFonts w:hint="eastAsia"/>
                <w:b w:val="0"/>
                <w:bCs w:val="0"/>
                <w:lang w:val="en-US" w:eastAsia="zh-CN"/>
              </w:rPr>
              <w:t>尊敬的投资者您好，海外市场是公司今年重点布局的战略方向之一，尤其在电脑车及自动化设备领域，我们看到了持续增长的市场需求。中美关系长期交织，中国人口老龄化，促使产业持续外迁。在这一进程中，服装工厂对智能化、自动化生产的需求显著提升，这为公司电脑车及自动化设备的升级带来了广阔的发展空间。针对海外市场电脑化率较低的现状，公司积极把握机遇，于今年一季度面向全球推出了A2C和A4C两款创新产品，满足海外市场客户需求。同时，公司通过“铁三角”协同机制，全力推动电脑化升级在全球市场的普及，助力客户提升生产效率和竞争力。谢谢！</w:t>
            </w:r>
          </w:p>
          <w:p w14:paraId="5B50FC8A">
            <w:pPr>
              <w:pStyle w:val="4"/>
              <w:widowControl/>
              <w:spacing w:line="360" w:lineRule="auto"/>
              <w:ind w:firstLine="482" w:firstLineChars="200"/>
              <w:jc w:val="both"/>
              <w:rPr>
                <w:rFonts w:hint="eastAsia"/>
                <w:b/>
                <w:bCs/>
                <w:lang w:val="en-US" w:eastAsia="zh-CN"/>
              </w:rPr>
            </w:pPr>
            <w:r>
              <w:rPr>
                <w:rFonts w:hint="eastAsia"/>
                <w:b/>
                <w:bCs/>
                <w:lang w:val="en-US" w:eastAsia="zh-CN"/>
              </w:rPr>
              <w:t>7、公司2024年及今年一季度业绩较好，主要的驱动因素有哪些？在产品、市场、运营等方面有哪些具体举措支撑这样的业绩表现？</w:t>
            </w:r>
          </w:p>
          <w:p w14:paraId="7DF215D7">
            <w:pPr>
              <w:pStyle w:val="4"/>
              <w:widowControl/>
              <w:spacing w:line="360" w:lineRule="auto"/>
              <w:ind w:firstLine="480" w:firstLineChars="200"/>
              <w:jc w:val="both"/>
              <w:rPr>
                <w:rFonts w:hint="eastAsia"/>
                <w:b w:val="0"/>
                <w:bCs w:val="0"/>
                <w:lang w:val="en-US" w:eastAsia="zh-CN"/>
              </w:rPr>
            </w:pPr>
            <w:r>
              <w:rPr>
                <w:rFonts w:hint="eastAsia"/>
                <w:b w:val="0"/>
                <w:bCs w:val="0"/>
                <w:lang w:val="en-US" w:eastAsia="zh-CN"/>
              </w:rPr>
              <w:t>尊敬的投资者您好，2024年度公司积极把握行业增长契机，通过聚焦爆品战略，以客户为中心，深挖用户痛点，打造超级爆品，推进价值营销，取得了较好的业绩水平。在产品、市场、运营等方面的具体举措包括：①公司围绕“聚焦爆品”“突破高端”“深化SKU精简”“端到端高质量”四大攻坚战精准发力，战略执行成效突出；②通过“营销铁三角”模式深耕海外核心市场，海外市场实现新突破；③持续加大研发投入，“快反王”</w:t>
            </w:r>
            <w:bookmarkStart w:id="0" w:name="_GoBack"/>
            <w:bookmarkEnd w:id="0"/>
            <w:r>
              <w:rPr>
                <w:rFonts w:hint="eastAsia"/>
                <w:b w:val="0"/>
                <w:bCs w:val="0"/>
                <w:lang w:val="en-US" w:eastAsia="zh-CN"/>
              </w:rPr>
              <w:t>“过梗王”等新产品与技术实现突破；④组织变革与人才升级，引导零缺陷文化，推进组织架构扁平化，确保高效响应一线需求。谢谢！</w:t>
            </w:r>
          </w:p>
          <w:p w14:paraId="7E50EACC">
            <w:pPr>
              <w:pStyle w:val="4"/>
              <w:widowControl/>
              <w:spacing w:line="360" w:lineRule="auto"/>
              <w:ind w:firstLine="482" w:firstLineChars="200"/>
              <w:jc w:val="both"/>
              <w:rPr>
                <w:rFonts w:hint="eastAsia"/>
                <w:b/>
                <w:bCs/>
                <w:lang w:val="en-US" w:eastAsia="zh-CN"/>
              </w:rPr>
            </w:pPr>
            <w:r>
              <w:rPr>
                <w:rFonts w:hint="eastAsia"/>
                <w:b/>
                <w:bCs/>
                <w:lang w:val="en-US" w:eastAsia="zh-CN"/>
              </w:rPr>
              <w:t>8、公司如何看待行业空间和技术迭代升级带来的影响？</w:t>
            </w:r>
          </w:p>
          <w:p w14:paraId="2B3D2F8D">
            <w:pPr>
              <w:pStyle w:val="4"/>
              <w:widowControl/>
              <w:spacing w:line="360" w:lineRule="auto"/>
              <w:ind w:firstLine="480" w:firstLineChars="200"/>
              <w:jc w:val="both"/>
              <w:rPr>
                <w:rFonts w:hint="eastAsia"/>
                <w:b w:val="0"/>
                <w:bCs w:val="0"/>
                <w:lang w:val="en-US" w:eastAsia="zh-CN"/>
              </w:rPr>
            </w:pPr>
            <w:r>
              <w:rPr>
                <w:rFonts w:hint="eastAsia"/>
                <w:b w:val="0"/>
                <w:bCs w:val="0"/>
                <w:lang w:val="en-US" w:eastAsia="zh-CN"/>
              </w:rPr>
              <w:t>尊敬的投资者您好，随着AI人工智能及人形机器人技术的发展，其技术在缝制行业的应用将逐步加快并迭代升级，缝纫机行业有望突破原有的行业天花板和空间限制。公司也将坚定地在未来加大研发投入，特别是在智能化和无人化方向，通过结合人工智能、机器人技术与缝制设备技术，有效提升整个缝制行业的空间，引领行业转型升级。谢谢！</w:t>
            </w:r>
          </w:p>
          <w:p w14:paraId="5D249F3C">
            <w:pPr>
              <w:pStyle w:val="4"/>
              <w:widowControl/>
              <w:spacing w:line="360" w:lineRule="auto"/>
              <w:ind w:firstLine="482" w:firstLineChars="200"/>
              <w:jc w:val="both"/>
              <w:rPr>
                <w:rFonts w:hint="eastAsia"/>
                <w:b/>
                <w:bCs/>
                <w:lang w:val="en-US" w:eastAsia="zh-CN"/>
              </w:rPr>
            </w:pPr>
            <w:r>
              <w:rPr>
                <w:rFonts w:hint="eastAsia"/>
                <w:b/>
                <w:bCs/>
                <w:lang w:val="en-US" w:eastAsia="zh-CN"/>
              </w:rPr>
              <w:t>9、公司未来在AI技术应用和产品研发方面的规划是什么？</w:t>
            </w:r>
          </w:p>
          <w:p w14:paraId="64A9701A">
            <w:pPr>
              <w:pStyle w:val="4"/>
              <w:widowControl/>
              <w:spacing w:line="360" w:lineRule="auto"/>
              <w:ind w:firstLine="480" w:firstLineChars="200"/>
              <w:jc w:val="both"/>
              <w:rPr>
                <w:rFonts w:hint="eastAsia"/>
                <w:b w:val="0"/>
                <w:bCs w:val="0"/>
                <w:lang w:val="en-US" w:eastAsia="zh-CN"/>
              </w:rPr>
            </w:pPr>
            <w:r>
              <w:rPr>
                <w:rFonts w:hint="eastAsia"/>
                <w:b w:val="0"/>
                <w:bCs w:val="0"/>
                <w:lang w:val="en-US" w:eastAsia="zh-CN"/>
              </w:rPr>
              <w:t>尊敬的投资者您好，公司计划在2025年下半年推出行业首款高端AI智能缝纫机，并计划于2026年下半年发布人形机器人，将机器人和自动化技术结合的解决方案逐步应用到客户场景中。未来公司将持续强化智能化、AI技术结合的产品的研发，将AI人工智能、人形机器人等新技术与服装机械工艺、服装智能制造深度融合，提升下游客户生产效率及技能水平，服务全球客户。谢谢！</w:t>
            </w:r>
          </w:p>
          <w:p w14:paraId="0E7F9356">
            <w:pPr>
              <w:pStyle w:val="4"/>
              <w:widowControl/>
              <w:spacing w:line="360" w:lineRule="auto"/>
              <w:ind w:firstLine="482" w:firstLineChars="200"/>
              <w:jc w:val="both"/>
              <w:rPr>
                <w:rFonts w:hint="eastAsia"/>
                <w:b/>
                <w:bCs/>
                <w:lang w:val="en-US" w:eastAsia="zh-CN"/>
              </w:rPr>
            </w:pPr>
            <w:r>
              <w:rPr>
                <w:rFonts w:hint="eastAsia"/>
                <w:b/>
                <w:bCs/>
                <w:lang w:val="en-US" w:eastAsia="zh-CN"/>
              </w:rPr>
              <w:t>10、随着未来新产品的推出，公司是否需要进行产能升级或大规模投资新建工厂？</w:t>
            </w:r>
          </w:p>
          <w:p w14:paraId="6A3615E0">
            <w:pPr>
              <w:pStyle w:val="4"/>
              <w:widowControl/>
              <w:spacing w:line="360" w:lineRule="auto"/>
              <w:ind w:firstLine="480" w:firstLineChars="200"/>
              <w:jc w:val="both"/>
              <w:rPr>
                <w:rFonts w:hint="default"/>
                <w:b w:val="0"/>
                <w:bCs w:val="0"/>
              </w:rPr>
            </w:pPr>
            <w:r>
              <w:rPr>
                <w:rFonts w:hint="eastAsia"/>
                <w:b w:val="0"/>
                <w:bCs w:val="0"/>
                <w:lang w:val="en-US" w:eastAsia="zh-CN"/>
              </w:rPr>
              <w:t>尊敬的投资者您好，公司未来计划推出的高端AI缝纫机和人形机器人的生产更多依赖于AI技术和软件算法，其硬件大部分基于现有生产线生产及外采，因此无需新增大规模厂房和生产线投资，且公司柔性化的生产方式能够灵活应对不同产品的生产需求。谢谢！</w:t>
            </w:r>
          </w:p>
          <w:p w14:paraId="1FA3CCFF">
            <w:pPr>
              <w:pStyle w:val="4"/>
              <w:widowControl/>
              <w:spacing w:line="360" w:lineRule="auto"/>
              <w:ind w:firstLine="480" w:firstLineChars="200"/>
              <w:jc w:val="both"/>
              <w:rPr>
                <w:rFonts w:hint="default"/>
              </w:rPr>
            </w:pPr>
          </w:p>
        </w:tc>
      </w:tr>
      <w:tr w14:paraId="453C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4ABAC449">
            <w:pPr>
              <w:spacing w:line="360" w:lineRule="auto"/>
              <w:ind w:firstLine="120" w:firstLineChars="50"/>
              <w:jc w:val="center"/>
              <w:rPr>
                <w:rFonts w:ascii="宋体" w:hAnsi="宋体" w:eastAsia="宋体"/>
                <w:b/>
                <w:bCs/>
                <w:iCs/>
                <w:sz w:val="24"/>
                <w:szCs w:val="24"/>
              </w:rPr>
            </w:pPr>
            <w:r>
              <w:rPr>
                <w:rFonts w:hint="eastAsia" w:ascii="宋体" w:hAnsi="宋体" w:eastAsia="宋体"/>
                <w:b/>
                <w:bCs/>
                <w:iCs/>
                <w:sz w:val="24"/>
                <w:szCs w:val="24"/>
              </w:rPr>
              <w:t>附件清单</w:t>
            </w:r>
          </w:p>
        </w:tc>
        <w:tc>
          <w:tcPr>
            <w:tcW w:w="6487" w:type="dxa"/>
            <w:shd w:val="clear" w:color="auto" w:fill="auto"/>
          </w:tcPr>
          <w:p w14:paraId="6EFEF97F">
            <w:pPr>
              <w:spacing w:line="360" w:lineRule="auto"/>
              <w:rPr>
                <w:rFonts w:ascii="宋体" w:hAnsi="宋体" w:eastAsia="宋体"/>
                <w:bCs/>
                <w:iCs/>
                <w:sz w:val="24"/>
                <w:szCs w:val="24"/>
              </w:rPr>
            </w:pPr>
            <w:r>
              <w:rPr>
                <w:rFonts w:hint="eastAsia" w:ascii="宋体" w:hAnsi="宋体" w:eastAsia="宋体"/>
                <w:bCs/>
                <w:iCs/>
                <w:sz w:val="24"/>
                <w:szCs w:val="24"/>
              </w:rPr>
              <w:t>无</w:t>
            </w:r>
          </w:p>
        </w:tc>
      </w:tr>
      <w:tr w14:paraId="3DE4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17A6A82F">
            <w:pPr>
              <w:spacing w:line="360" w:lineRule="auto"/>
              <w:jc w:val="center"/>
              <w:rPr>
                <w:rFonts w:ascii="宋体" w:hAnsi="宋体" w:eastAsia="宋体"/>
                <w:b/>
                <w:bCs/>
                <w:iCs/>
                <w:sz w:val="24"/>
                <w:szCs w:val="24"/>
              </w:rPr>
            </w:pPr>
            <w:r>
              <w:rPr>
                <w:rFonts w:hint="eastAsia" w:ascii="宋体" w:hAnsi="宋体" w:eastAsia="宋体"/>
                <w:b/>
                <w:bCs/>
                <w:iCs/>
                <w:sz w:val="24"/>
                <w:szCs w:val="24"/>
              </w:rPr>
              <w:t>日期</w:t>
            </w:r>
          </w:p>
        </w:tc>
        <w:tc>
          <w:tcPr>
            <w:tcW w:w="6487" w:type="dxa"/>
            <w:shd w:val="clear" w:color="auto" w:fill="auto"/>
          </w:tcPr>
          <w:p w14:paraId="60A0314E">
            <w:pPr>
              <w:spacing w:line="360" w:lineRule="auto"/>
              <w:rPr>
                <w:rFonts w:ascii="宋体" w:hAnsi="宋体" w:eastAsia="宋体"/>
                <w:bCs/>
                <w:iCs/>
                <w:sz w:val="24"/>
                <w:szCs w:val="24"/>
              </w:rPr>
            </w:pPr>
            <w:r>
              <w:rPr>
                <w:rFonts w:ascii="宋体" w:hAnsi="宋体" w:eastAsia="宋体"/>
                <w:bCs/>
                <w:iCs/>
                <w:sz w:val="24"/>
                <w:szCs w:val="24"/>
              </w:rPr>
              <w:t>202</w:t>
            </w:r>
            <w:r>
              <w:rPr>
                <w:rFonts w:hint="eastAsia" w:ascii="宋体" w:hAnsi="宋体" w:eastAsia="宋体"/>
                <w:bCs/>
                <w:iCs/>
                <w:sz w:val="24"/>
                <w:szCs w:val="24"/>
                <w:lang w:val="en-US" w:eastAsia="zh-CN"/>
              </w:rPr>
              <w:t>5</w:t>
            </w:r>
            <w:r>
              <w:rPr>
                <w:rFonts w:ascii="宋体" w:hAnsi="宋体" w:eastAsia="宋体"/>
                <w:bCs/>
                <w:iCs/>
                <w:sz w:val="24"/>
                <w:szCs w:val="24"/>
              </w:rPr>
              <w:t>年</w:t>
            </w:r>
            <w:r>
              <w:rPr>
                <w:rFonts w:hint="eastAsia" w:ascii="宋体" w:hAnsi="宋体" w:eastAsia="宋体"/>
                <w:bCs/>
                <w:iCs/>
                <w:sz w:val="24"/>
                <w:szCs w:val="24"/>
                <w:lang w:val="en-US" w:eastAsia="zh-CN"/>
              </w:rPr>
              <w:t>5</w:t>
            </w:r>
            <w:r>
              <w:rPr>
                <w:rFonts w:ascii="宋体" w:hAnsi="宋体" w:eastAsia="宋体"/>
                <w:bCs/>
                <w:iCs/>
                <w:sz w:val="24"/>
                <w:szCs w:val="24"/>
              </w:rPr>
              <w:t>月</w:t>
            </w:r>
            <w:r>
              <w:rPr>
                <w:rFonts w:hint="eastAsia" w:ascii="宋体" w:hAnsi="宋体" w:eastAsia="宋体"/>
                <w:bCs/>
                <w:iCs/>
                <w:sz w:val="24"/>
                <w:szCs w:val="24"/>
                <w:lang w:val="en-US" w:eastAsia="zh-CN"/>
              </w:rPr>
              <w:t>13</w:t>
            </w:r>
            <w:r>
              <w:rPr>
                <w:rFonts w:ascii="宋体" w:hAnsi="宋体" w:eastAsia="宋体"/>
                <w:bCs/>
                <w:iCs/>
                <w:sz w:val="24"/>
                <w:szCs w:val="24"/>
              </w:rPr>
              <w:t>日</w:t>
            </w:r>
          </w:p>
        </w:tc>
      </w:tr>
    </w:tbl>
    <w:p w14:paraId="7B9B1F3E">
      <w:pPr>
        <w:spacing w:line="360" w:lineRule="auto"/>
        <w:jc w:val="left"/>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OTNjYmJkMTg1ZjU3ODZiNTFiNTY5NzE0YTM1M2UifQ=="/>
  </w:docVars>
  <w:rsids>
    <w:rsidRoot w:val="00454C15"/>
    <w:rsid w:val="00023452"/>
    <w:rsid w:val="00043986"/>
    <w:rsid w:val="00043CC9"/>
    <w:rsid w:val="00106BAE"/>
    <w:rsid w:val="00126A8A"/>
    <w:rsid w:val="00143CCA"/>
    <w:rsid w:val="001A4DD7"/>
    <w:rsid w:val="001D159D"/>
    <w:rsid w:val="001E605E"/>
    <w:rsid w:val="00202BAE"/>
    <w:rsid w:val="00204AEE"/>
    <w:rsid w:val="00205A71"/>
    <w:rsid w:val="00221018"/>
    <w:rsid w:val="00221BB1"/>
    <w:rsid w:val="002353F1"/>
    <w:rsid w:val="003B1E4D"/>
    <w:rsid w:val="003C4200"/>
    <w:rsid w:val="004137A5"/>
    <w:rsid w:val="00454C15"/>
    <w:rsid w:val="0046070B"/>
    <w:rsid w:val="00462EB9"/>
    <w:rsid w:val="004721D2"/>
    <w:rsid w:val="004C7C33"/>
    <w:rsid w:val="00554A62"/>
    <w:rsid w:val="00572B12"/>
    <w:rsid w:val="00595BE0"/>
    <w:rsid w:val="005D183D"/>
    <w:rsid w:val="00620360"/>
    <w:rsid w:val="00633279"/>
    <w:rsid w:val="00662ECE"/>
    <w:rsid w:val="00680E9C"/>
    <w:rsid w:val="006E42D0"/>
    <w:rsid w:val="006F5048"/>
    <w:rsid w:val="0070702F"/>
    <w:rsid w:val="00715B9C"/>
    <w:rsid w:val="0072030D"/>
    <w:rsid w:val="00733AB4"/>
    <w:rsid w:val="00740AD7"/>
    <w:rsid w:val="00750465"/>
    <w:rsid w:val="007A02AC"/>
    <w:rsid w:val="007E2E2E"/>
    <w:rsid w:val="00806784"/>
    <w:rsid w:val="008335E4"/>
    <w:rsid w:val="0085202F"/>
    <w:rsid w:val="0088122A"/>
    <w:rsid w:val="008A73EF"/>
    <w:rsid w:val="008D615F"/>
    <w:rsid w:val="009432DC"/>
    <w:rsid w:val="009A1BB7"/>
    <w:rsid w:val="009F41CA"/>
    <w:rsid w:val="00A47179"/>
    <w:rsid w:val="00A85F60"/>
    <w:rsid w:val="00AE407E"/>
    <w:rsid w:val="00AF01BA"/>
    <w:rsid w:val="00B142CD"/>
    <w:rsid w:val="00B47E87"/>
    <w:rsid w:val="00B54FAC"/>
    <w:rsid w:val="00B62745"/>
    <w:rsid w:val="00B900AB"/>
    <w:rsid w:val="00B949CB"/>
    <w:rsid w:val="00BC0E2D"/>
    <w:rsid w:val="00BD1507"/>
    <w:rsid w:val="00BD605C"/>
    <w:rsid w:val="00BD7C3C"/>
    <w:rsid w:val="00BE13A2"/>
    <w:rsid w:val="00BF6C91"/>
    <w:rsid w:val="00C15E8E"/>
    <w:rsid w:val="00C8711C"/>
    <w:rsid w:val="00CA18D2"/>
    <w:rsid w:val="00D04F0C"/>
    <w:rsid w:val="00D434ED"/>
    <w:rsid w:val="00DA4F30"/>
    <w:rsid w:val="00DB15ED"/>
    <w:rsid w:val="00DF318D"/>
    <w:rsid w:val="00E15A6B"/>
    <w:rsid w:val="00E45EAE"/>
    <w:rsid w:val="00EA0E28"/>
    <w:rsid w:val="00ED2F3A"/>
    <w:rsid w:val="00ED326E"/>
    <w:rsid w:val="00ED36D3"/>
    <w:rsid w:val="00F06AEA"/>
    <w:rsid w:val="00FA4069"/>
    <w:rsid w:val="00FB0E16"/>
    <w:rsid w:val="00FC6B24"/>
    <w:rsid w:val="01707875"/>
    <w:rsid w:val="035C4023"/>
    <w:rsid w:val="0DE85E53"/>
    <w:rsid w:val="115A0E16"/>
    <w:rsid w:val="18E53AEB"/>
    <w:rsid w:val="19CF7300"/>
    <w:rsid w:val="1A302405"/>
    <w:rsid w:val="1B824ED9"/>
    <w:rsid w:val="1BCB44A6"/>
    <w:rsid w:val="20AE0A03"/>
    <w:rsid w:val="21273D2C"/>
    <w:rsid w:val="236B50EC"/>
    <w:rsid w:val="268A5CC2"/>
    <w:rsid w:val="3155311F"/>
    <w:rsid w:val="31C95F96"/>
    <w:rsid w:val="36612309"/>
    <w:rsid w:val="3A6D787B"/>
    <w:rsid w:val="3B1875FF"/>
    <w:rsid w:val="3F7F006E"/>
    <w:rsid w:val="40751A93"/>
    <w:rsid w:val="48B843DB"/>
    <w:rsid w:val="534A5F90"/>
    <w:rsid w:val="53EC109A"/>
    <w:rsid w:val="549849D4"/>
    <w:rsid w:val="5813155E"/>
    <w:rsid w:val="61A21264"/>
    <w:rsid w:val="668F1BBC"/>
    <w:rsid w:val="6A3B1D83"/>
    <w:rsid w:val="6C5A321C"/>
    <w:rsid w:val="6D800290"/>
    <w:rsid w:val="7070724C"/>
    <w:rsid w:val="70865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5">
    <w:name w:val="Normal (Web)"/>
    <w:basedOn w:val="1"/>
    <w:autoRedefine/>
    <w:semiHidden/>
    <w:unhideWhenUsed/>
    <w:qFormat/>
    <w:uiPriority w:val="99"/>
    <w:pPr>
      <w:spacing w:beforeAutospacing="1" w:afterAutospacing="1"/>
      <w:jc w:val="left"/>
    </w:pPr>
    <w:rPr>
      <w:rFonts w:cs="Times New Roman"/>
      <w:kern w:val="0"/>
      <w:sz w:val="24"/>
    </w:rPr>
  </w:style>
  <w:style w:type="character" w:styleId="8">
    <w:name w:val="Hyperlink"/>
    <w:basedOn w:val="7"/>
    <w:semiHidden/>
    <w:unhideWhenUsed/>
    <w:uiPriority w:val="99"/>
    <w:rPr>
      <w:color w:val="0000FF"/>
      <w:u w:val="single"/>
    </w:rPr>
  </w:style>
  <w:style w:type="paragraph" w:styleId="9">
    <w:name w:val="List Paragraph"/>
    <w:basedOn w:val="1"/>
    <w:autoRedefine/>
    <w:qFormat/>
    <w:uiPriority w:val="34"/>
    <w:pPr>
      <w:ind w:firstLine="420" w:firstLineChars="200"/>
    </w:pPr>
  </w:style>
  <w:style w:type="character" w:customStyle="1" w:styleId="10">
    <w:name w:val="页眉 字符"/>
    <w:basedOn w:val="7"/>
    <w:link w:val="3"/>
    <w:autoRedefine/>
    <w:qFormat/>
    <w:uiPriority w:val="99"/>
    <w:rPr>
      <w:rFonts w:asciiTheme="minorHAnsi" w:hAnsiTheme="minorHAnsi" w:eastAsiaTheme="minorEastAsia" w:cstheme="minorBidi"/>
      <w:kern w:val="2"/>
      <w:sz w:val="18"/>
      <w:szCs w:val="18"/>
    </w:rPr>
  </w:style>
  <w:style w:type="character" w:customStyle="1" w:styleId="11">
    <w:name w:val="页脚 字符"/>
    <w:basedOn w:val="7"/>
    <w:link w:val="2"/>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2461</Words>
  <Characters>2583</Characters>
  <Lines>20</Lines>
  <Paragraphs>5</Paragraphs>
  <TotalTime>2</TotalTime>
  <ScaleCrop>false</ScaleCrop>
  <LinksUpToDate>false</LinksUpToDate>
  <CharactersWithSpaces>2667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2024-02-06T03:01:00Z</dcterms:created>
  <dc:creator>wu</dc:creator>
  <cp:lastModifiedBy>一二三四伍</cp:lastModifiedBy>
  <dcterms:modified xsi:type="dcterms:W3CDTF">2025-05-13T07:45:50Z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4C17AEA9B85E420A8490DA751CD3D4A3_13</vt:lpwstr>
  </property>
  <property fmtid="{D5CDD505-2E9C-101B-9397-08002B2CF9AE}" pid="4" name="KSOTemplateDocerSaveRecord">
    <vt:lpwstr>eyJoZGlkIjoiMjYwOTNjYmJkMTg1ZjU3ODZiNTFiNTY5NzE0YTM1M2UiLCJ1c2VySWQiOiIxMzA1ODgwMDAyIn0=</vt:lpwstr>
  </property>
</Properties>
</file>