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600600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青岛啤酒</w:t>
      </w:r>
    </w:p>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default" w:ascii="宋体" w:hAnsi="宋体"/>
          <w:b/>
          <w:bCs/>
          <w:iCs/>
          <w:color w:val="000000"/>
          <w:sz w:val="28"/>
          <w:szCs w:val="28"/>
        </w:rPr>
      </w:pPr>
    </w:p>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b/>
          <w:bCs/>
          <w:iCs/>
          <w:color w:val="000000"/>
          <w:sz w:val="28"/>
          <w:szCs w:val="28"/>
        </w:rPr>
      </w:pPr>
      <w:r>
        <w:rPr>
          <w:rFonts w:hint="default" w:ascii="宋体" w:hAnsi="宋体"/>
          <w:b/>
          <w:bCs/>
          <w:iCs/>
          <w:color w:val="000000"/>
          <w:sz w:val="28"/>
          <w:szCs w:val="28"/>
        </w:rPr>
        <w:t>青岛啤酒股份有限公司</w:t>
      </w:r>
      <w:r>
        <w:rPr>
          <w:rFonts w:hint="eastAsia" w:ascii="宋体" w:hAnsi="宋体"/>
          <w:b/>
          <w:bCs/>
          <w:iCs/>
          <w:color w:val="000000"/>
          <w:sz w:val="28"/>
          <w:szCs w:val="28"/>
        </w:rPr>
        <w:t>投资者关系活动记录表</w:t>
      </w:r>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宋体" w:hAnsi="宋体"/>
          <w:b/>
          <w:bCs/>
          <w:iCs/>
          <w:color w:val="000000"/>
          <w:sz w:val="28"/>
          <w:szCs w:val="28"/>
          <w:lang w:val="en-US"/>
        </w:rPr>
      </w:pPr>
      <w:r>
        <w:rPr>
          <w:rFonts w:hint="eastAsia" w:ascii="宋体" w:hAnsi="宋体"/>
          <w:b/>
          <w:bCs/>
          <w:iCs/>
          <w:color w:val="000000"/>
          <w:sz w:val="28"/>
          <w:szCs w:val="28"/>
          <w:lang w:val="en-US" w:eastAsia="zh-CN"/>
        </w:rPr>
        <w:t>参加</w:t>
      </w:r>
      <w:r>
        <w:rPr>
          <w:rFonts w:hint="default" w:ascii="宋体" w:hAnsi="宋体"/>
          <w:b/>
          <w:bCs/>
          <w:iCs/>
          <w:color w:val="000000"/>
          <w:sz w:val="28"/>
          <w:szCs w:val="28"/>
        </w:rPr>
        <w:t>202</w:t>
      </w:r>
      <w:r>
        <w:rPr>
          <w:rFonts w:hint="eastAsia" w:ascii="宋体" w:hAnsi="宋体"/>
          <w:b/>
          <w:bCs/>
          <w:iCs/>
          <w:color w:val="000000"/>
          <w:sz w:val="28"/>
          <w:szCs w:val="28"/>
          <w:lang w:val="en-US" w:eastAsia="zh-CN"/>
        </w:rPr>
        <w:t>5</w:t>
      </w:r>
      <w:r>
        <w:rPr>
          <w:rFonts w:hint="default" w:ascii="宋体" w:hAnsi="宋体"/>
          <w:b/>
          <w:bCs/>
          <w:iCs/>
          <w:color w:val="000000"/>
          <w:sz w:val="28"/>
          <w:szCs w:val="28"/>
        </w:rPr>
        <w:t>年</w:t>
      </w:r>
      <w:r>
        <w:rPr>
          <w:rFonts w:hint="eastAsia" w:ascii="宋体" w:hAnsi="宋体"/>
          <w:b/>
          <w:bCs/>
          <w:iCs/>
          <w:color w:val="000000"/>
          <w:sz w:val="28"/>
          <w:szCs w:val="28"/>
          <w:lang w:val="en-US" w:eastAsia="zh-CN"/>
        </w:rPr>
        <w:t>青岛辖区上市公司投资者网上集体接待日活动</w:t>
      </w:r>
    </w:p>
    <w:tbl>
      <w:tblPr>
        <w:tblStyle w:val="5"/>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8"/>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b/>
                <w:bCs w:val="0"/>
                <w:iCs/>
                <w:color w:val="000000"/>
                <w:kern w:val="0"/>
                <w:sz w:val="24"/>
                <w:szCs w:val="24"/>
              </w:rPr>
            </w:pPr>
          </w:p>
          <w:p>
            <w:pPr>
              <w:keepNext w:val="0"/>
              <w:keepLines w:val="0"/>
              <w:pageBreakBefore w:val="0"/>
              <w:widowControl w:val="0"/>
              <w:kinsoku/>
              <w:wordWrap/>
              <w:overflowPunct/>
              <w:topLinePunct w:val="0"/>
              <w:autoSpaceDE/>
              <w:autoSpaceDN/>
              <w:bidi w:val="0"/>
              <w:adjustRightInd/>
              <w:snapToGrid w:val="0"/>
              <w:spacing w:line="312" w:lineRule="auto"/>
              <w:textAlignment w:val="auto"/>
              <w:rPr>
                <w:b/>
                <w:bCs w:val="0"/>
                <w:iCs/>
                <w:color w:val="000000"/>
                <w:sz w:val="24"/>
                <w:szCs w:val="24"/>
              </w:rPr>
            </w:pPr>
            <w:r>
              <w:rPr>
                <w:rFonts w:hAnsi="宋体"/>
                <w:b/>
                <w:bCs w:val="0"/>
                <w:iCs/>
                <w:color w:val="000000"/>
                <w:kern w:val="0"/>
                <w:sz w:val="24"/>
                <w:szCs w:val="24"/>
              </w:rPr>
              <w:t>投资者关系活动类别</w:t>
            </w:r>
          </w:p>
        </w:tc>
        <w:tc>
          <w:tcPr>
            <w:tcW w:w="6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bCs/>
                <w:iCs/>
                <w:color w:val="000000"/>
                <w:sz w:val="24"/>
                <w:szCs w:val="24"/>
              </w:rPr>
            </w:pPr>
            <w:r>
              <w:rPr>
                <w:bCs/>
                <w:iCs/>
                <w:color w:val="000000"/>
                <w:kern w:val="0"/>
                <w:sz w:val="24"/>
                <w:szCs w:val="24"/>
              </w:rPr>
              <w:t>□</w:t>
            </w:r>
            <w:r>
              <w:rPr>
                <w:rFonts w:hint="eastAsia"/>
                <w:bCs/>
                <w:iCs/>
                <w:color w:val="000000"/>
                <w:kern w:val="0"/>
                <w:sz w:val="24"/>
                <w:szCs w:val="24"/>
                <w:lang w:val="en-US" w:eastAsia="zh-CN"/>
              </w:rPr>
              <w:t xml:space="preserve"> </w:t>
            </w:r>
            <w:r>
              <w:rPr>
                <w:rFonts w:hAnsi="宋体"/>
                <w:kern w:val="0"/>
                <w:sz w:val="24"/>
                <w:szCs w:val="24"/>
              </w:rPr>
              <w:t>特定对象调研</w:t>
            </w:r>
            <w:r>
              <w:rPr>
                <w:kern w:val="0"/>
                <w:sz w:val="24"/>
                <w:szCs w:val="24"/>
              </w:rPr>
              <w:t xml:space="preserve">        </w:t>
            </w: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分析师会议</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bCs/>
                <w:iCs/>
                <w:color w:val="000000"/>
                <w:kern w:val="0"/>
                <w:sz w:val="24"/>
                <w:szCs w:val="24"/>
              </w:rPr>
            </w:pP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媒体采访</w:t>
            </w:r>
            <w:r>
              <w:rPr>
                <w:kern w:val="0"/>
                <w:sz w:val="24"/>
                <w:szCs w:val="24"/>
              </w:rPr>
              <w:t xml:space="preserve">            </w:t>
            </w:r>
            <w:r>
              <w:rPr>
                <w:bCs/>
                <w:iCs/>
                <w:color w:val="000000"/>
                <w:kern w:val="0"/>
                <w:sz w:val="24"/>
                <w:szCs w:val="24"/>
              </w:rPr>
              <w:t>□</w:t>
            </w:r>
            <w:r>
              <w:rPr>
                <w:rFonts w:hint="eastAsia"/>
                <w:b/>
                <w:bCs w:val="0"/>
                <w:iCs/>
                <w:color w:val="000000"/>
                <w:kern w:val="0"/>
                <w:sz w:val="24"/>
                <w:szCs w:val="24"/>
              </w:rPr>
              <w:t xml:space="preserve"> </w:t>
            </w:r>
            <w:r>
              <w:rPr>
                <w:rFonts w:hAnsi="宋体"/>
                <w:b w:val="0"/>
                <w:bCs/>
                <w:kern w:val="0"/>
                <w:sz w:val="24"/>
                <w:szCs w:val="24"/>
              </w:rPr>
              <w:t>业绩说明会</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bCs/>
                <w:iCs/>
                <w:color w:val="000000"/>
                <w:kern w:val="0"/>
                <w:sz w:val="24"/>
                <w:szCs w:val="24"/>
              </w:rPr>
            </w:pP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新闻发布会</w:t>
            </w:r>
            <w:r>
              <w:rPr>
                <w:kern w:val="0"/>
                <w:sz w:val="24"/>
                <w:szCs w:val="24"/>
              </w:rPr>
              <w:t xml:space="preserve">          </w:t>
            </w: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路演活动</w:t>
            </w:r>
          </w:p>
          <w:p>
            <w:pPr>
              <w:keepNext w:val="0"/>
              <w:keepLines w:val="0"/>
              <w:pageBreakBefore w:val="0"/>
              <w:widowControl w:val="0"/>
              <w:tabs>
                <w:tab w:val="left" w:pos="3045"/>
                <w:tab w:val="center" w:pos="3199"/>
              </w:tabs>
              <w:kinsoku/>
              <w:wordWrap/>
              <w:overflowPunct/>
              <w:topLinePunct w:val="0"/>
              <w:autoSpaceDE/>
              <w:autoSpaceDN/>
              <w:bidi w:val="0"/>
              <w:adjustRightInd/>
              <w:snapToGrid w:val="0"/>
              <w:spacing w:line="312" w:lineRule="auto"/>
              <w:textAlignment w:val="auto"/>
              <w:rPr>
                <w:bCs/>
                <w:iCs/>
                <w:color w:val="000000"/>
                <w:kern w:val="0"/>
                <w:sz w:val="24"/>
                <w:szCs w:val="24"/>
              </w:rPr>
            </w:pP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现场参观</w:t>
            </w:r>
          </w:p>
          <w:p>
            <w:pPr>
              <w:keepNext w:val="0"/>
              <w:keepLines w:val="0"/>
              <w:pageBreakBefore w:val="0"/>
              <w:widowControl w:val="0"/>
              <w:tabs>
                <w:tab w:val="center" w:pos="3199"/>
              </w:tabs>
              <w:kinsoku/>
              <w:wordWrap/>
              <w:overflowPunct/>
              <w:topLinePunct w:val="0"/>
              <w:autoSpaceDE/>
              <w:autoSpaceDN/>
              <w:bidi w:val="0"/>
              <w:adjustRightInd/>
              <w:snapToGrid w:val="0"/>
              <w:spacing w:line="312" w:lineRule="auto"/>
              <w:textAlignment w:val="auto"/>
              <w:rPr>
                <w:bCs/>
                <w:iCs/>
                <w:color w:val="000000"/>
                <w:sz w:val="24"/>
                <w:szCs w:val="24"/>
              </w:rPr>
            </w:pPr>
            <w:r>
              <w:rPr>
                <w:rFonts w:hint="eastAsia"/>
                <w:bCs/>
                <w:iCs/>
                <w:color w:val="000000"/>
                <w:kern w:val="0"/>
                <w:sz w:val="24"/>
                <w:szCs w:val="24"/>
              </w:rPr>
              <w:sym w:font="Wingdings 2" w:char="0052"/>
            </w:r>
            <w:r>
              <w:rPr>
                <w:rFonts w:hint="eastAsia"/>
                <w:bCs/>
                <w:iCs/>
                <w:color w:val="000000"/>
                <w:kern w:val="0"/>
                <w:sz w:val="24"/>
                <w:szCs w:val="24"/>
              </w:rPr>
              <w:t xml:space="preserve"> </w:t>
            </w:r>
            <w:r>
              <w:rPr>
                <w:rFonts w:hAnsi="宋体"/>
                <w:kern w:val="0"/>
                <w:sz w:val="24"/>
                <w:szCs w:val="24"/>
              </w:rPr>
              <w:t>其他（</w:t>
            </w:r>
            <w:r>
              <w:rPr>
                <w:rFonts w:hint="eastAsia" w:hAnsi="宋体"/>
                <w:kern w:val="0"/>
                <w:sz w:val="24"/>
                <w:szCs w:val="24"/>
                <w:lang w:val="en-US" w:eastAsia="zh-CN"/>
              </w:rPr>
              <w:t>上市公司投资者网上集体接待日活动</w:t>
            </w:r>
            <w:r>
              <w:rPr>
                <w:rFonts w:hAnsi="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szCs w:val="24"/>
              </w:rPr>
            </w:pPr>
            <w:r>
              <w:rPr>
                <w:rFonts w:hAnsi="宋体"/>
                <w:b/>
                <w:bCs w:val="0"/>
                <w:iCs/>
                <w:color w:val="000000"/>
                <w:kern w:val="0"/>
                <w:sz w:val="24"/>
                <w:szCs w:val="24"/>
              </w:rPr>
              <w:t>参与单位名称及人员姓名</w:t>
            </w:r>
          </w:p>
        </w:tc>
        <w:tc>
          <w:tcPr>
            <w:tcW w:w="6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rFonts w:hint="eastAsia"/>
                <w:bCs/>
                <w:iCs/>
                <w:color w:val="000000"/>
                <w:sz w:val="24"/>
                <w:szCs w:val="24"/>
                <w:lang w:val="en-GB"/>
              </w:rPr>
            </w:pPr>
            <w:r>
              <w:rPr>
                <w:rFonts w:hint="eastAsia"/>
                <w:bCs/>
                <w:iCs/>
                <w:color w:val="000000"/>
                <w:sz w:val="24"/>
                <w:szCs w:val="24"/>
                <w:lang w:val="en-US" w:eastAsia="zh-CN"/>
              </w:rPr>
              <w:t>境内外</w:t>
            </w:r>
            <w:r>
              <w:rPr>
                <w:rFonts w:hint="eastAsia"/>
                <w:bCs/>
                <w:iCs/>
                <w:color w:val="000000"/>
                <w:sz w:val="24"/>
                <w:szCs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szCs w:val="24"/>
              </w:rPr>
            </w:pPr>
            <w:r>
              <w:rPr>
                <w:rFonts w:hAnsi="宋体"/>
                <w:b/>
                <w:bCs w:val="0"/>
                <w:iCs/>
                <w:color w:val="000000"/>
                <w:kern w:val="0"/>
                <w:sz w:val="24"/>
                <w:szCs w:val="24"/>
              </w:rPr>
              <w:t>时间</w:t>
            </w:r>
          </w:p>
        </w:tc>
        <w:tc>
          <w:tcPr>
            <w:tcW w:w="6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jc w:val="left"/>
              <w:textAlignment w:val="auto"/>
              <w:rPr>
                <w:bCs/>
                <w:iCs/>
                <w:color w:val="000000"/>
                <w:sz w:val="24"/>
                <w:szCs w:val="24"/>
              </w:rPr>
            </w:pPr>
            <w:r>
              <w:rPr>
                <w:bCs/>
                <w:iCs/>
                <w:color w:val="000000"/>
                <w:sz w:val="24"/>
                <w:szCs w:val="24"/>
              </w:rPr>
              <w:t>2025年</w:t>
            </w:r>
            <w:r>
              <w:rPr>
                <w:rFonts w:hint="eastAsia"/>
                <w:bCs/>
                <w:iCs/>
                <w:color w:val="000000"/>
                <w:sz w:val="24"/>
                <w:szCs w:val="24"/>
                <w:lang w:val="en-US" w:eastAsia="zh-CN"/>
              </w:rPr>
              <w:t>5</w:t>
            </w:r>
            <w:r>
              <w:rPr>
                <w:bCs/>
                <w:iCs/>
                <w:color w:val="000000"/>
                <w:sz w:val="24"/>
                <w:szCs w:val="24"/>
              </w:rPr>
              <w:t>月</w:t>
            </w:r>
            <w:r>
              <w:rPr>
                <w:rFonts w:hint="eastAsia"/>
                <w:bCs/>
                <w:iCs/>
                <w:color w:val="000000"/>
                <w:sz w:val="24"/>
                <w:szCs w:val="24"/>
                <w:lang w:val="en-US" w:eastAsia="zh-CN"/>
              </w:rPr>
              <w:t>12</w:t>
            </w:r>
            <w:r>
              <w:rPr>
                <w:bCs/>
                <w:iCs/>
                <w:color w:val="000000"/>
                <w:sz w:val="24"/>
                <w:szCs w:val="24"/>
              </w:rPr>
              <w:t>日 15:00~1</w:t>
            </w:r>
            <w:r>
              <w:rPr>
                <w:rFonts w:hint="eastAsia"/>
                <w:bCs/>
                <w:iCs/>
                <w:color w:val="000000"/>
                <w:sz w:val="24"/>
                <w:szCs w:val="24"/>
                <w:lang w:val="en-US" w:eastAsia="zh-CN"/>
              </w:rPr>
              <w:t>7</w:t>
            </w:r>
            <w:r>
              <w:rPr>
                <w:bCs/>
                <w:iCs/>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szCs w:val="24"/>
              </w:rPr>
            </w:pPr>
            <w:r>
              <w:rPr>
                <w:rFonts w:hAnsi="宋体"/>
                <w:b/>
                <w:bCs w:val="0"/>
                <w:iCs/>
                <w:color w:val="000000"/>
                <w:kern w:val="0"/>
                <w:sz w:val="24"/>
                <w:szCs w:val="24"/>
              </w:rPr>
              <w:t>地点</w:t>
            </w:r>
          </w:p>
        </w:tc>
        <w:tc>
          <w:tcPr>
            <w:tcW w:w="6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jc w:val="left"/>
              <w:textAlignment w:val="auto"/>
              <w:rPr>
                <w:bCs/>
                <w:iCs/>
                <w:color w:val="000000"/>
                <w:sz w:val="24"/>
                <w:szCs w:val="24"/>
              </w:rPr>
            </w:pPr>
            <w:r>
              <w:rPr>
                <w:rFonts w:ascii="宋体" w:hAnsi="宋体" w:eastAsia="宋体" w:cs="宋体"/>
                <w:sz w:val="24"/>
                <w:szCs w:val="24"/>
              </w:rPr>
              <w:t>“全景路演”网站（http://rs.p5w.net）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rPr>
            </w:pPr>
            <w:r>
              <w:rPr>
                <w:rFonts w:hAnsi="宋体"/>
                <w:b/>
                <w:bCs w:val="0"/>
                <w:iCs/>
                <w:color w:val="000000"/>
                <w:kern w:val="0"/>
                <w:sz w:val="24"/>
              </w:rPr>
              <w:t>上市公司接待人员姓名</w:t>
            </w:r>
          </w:p>
        </w:tc>
        <w:tc>
          <w:tcPr>
            <w:tcW w:w="6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rFonts w:hint="eastAsia" w:ascii="宋体" w:hAnsi="宋体" w:eastAsia="宋体"/>
                <w:bCs/>
                <w:sz w:val="24"/>
                <w:lang w:val="en-US" w:eastAsia="zh-CN"/>
              </w:rPr>
            </w:pPr>
            <w:r>
              <w:rPr>
                <w:rFonts w:hint="default" w:ascii="宋体" w:hAnsi="宋体"/>
                <w:bCs/>
                <w:sz w:val="24"/>
              </w:rPr>
              <w:t>执行董事、财务总监侯秋燕</w:t>
            </w:r>
            <w:r>
              <w:rPr>
                <w:rFonts w:hint="eastAsia" w:ascii="宋体" w:hAnsi="宋体"/>
                <w:bCs/>
                <w:sz w:val="24"/>
                <w:lang w:val="en-US" w:eastAsia="zh-CN"/>
              </w:rPr>
              <w:t>先生，</w:t>
            </w:r>
            <w:r>
              <w:rPr>
                <w:rFonts w:hint="default" w:ascii="宋体" w:hAnsi="宋体"/>
                <w:bCs/>
                <w:sz w:val="24"/>
              </w:rPr>
              <w:t>董事会秘书张瑞祥</w:t>
            </w:r>
            <w:r>
              <w:rPr>
                <w:rFonts w:hint="eastAsia" w:ascii="宋体" w:hAnsi="宋体"/>
                <w:bCs/>
                <w:sz w:val="24"/>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rPr>
            </w:pPr>
            <w:r>
              <w:rPr>
                <w:rFonts w:hAnsi="宋体"/>
                <w:b/>
                <w:bCs w:val="0"/>
                <w:iCs/>
                <w:color w:val="000000"/>
                <w:kern w:val="0"/>
                <w:sz w:val="24"/>
              </w:rPr>
              <w:t>投资者关系活动主要内容介绍</w:t>
            </w:r>
          </w:p>
          <w:p>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sz w:val="24"/>
              </w:rPr>
            </w:pPr>
          </w:p>
        </w:tc>
        <w:tc>
          <w:tcPr>
            <w:tcW w:w="6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val="0"/>
              <w:spacing w:before="157" w:beforeLines="50" w:line="312" w:lineRule="auto"/>
              <w:jc w:val="left"/>
              <w:textAlignment w:val="auto"/>
              <w:rPr>
                <w:rFonts w:hint="eastAsia" w:ascii="宋体" w:hAnsi="宋体" w:eastAsia="宋体"/>
                <w:b/>
                <w:sz w:val="24"/>
                <w:lang w:val="en-US" w:eastAsia="zh-CN"/>
              </w:rPr>
            </w:pPr>
            <w:r>
              <w:rPr>
                <w:rFonts w:hint="eastAsia" w:ascii="宋体" w:hAnsi="宋体" w:eastAsia="宋体" w:cs="宋体"/>
                <w:color w:val="000000"/>
                <w:kern w:val="0"/>
                <w:sz w:val="24"/>
                <w:szCs w:val="24"/>
                <w:lang w:val="en-US" w:eastAsia="zh-CN" w:bidi="ar"/>
              </w:rPr>
              <w:t>为进一步加强与投资者的</w:t>
            </w:r>
            <w:r>
              <w:rPr>
                <w:rFonts w:hint="eastAsia" w:ascii="宋体" w:hAnsi="宋体" w:cs="宋体"/>
                <w:color w:val="000000"/>
                <w:kern w:val="0"/>
                <w:sz w:val="24"/>
                <w:szCs w:val="24"/>
                <w:lang w:val="en-US" w:eastAsia="zh-CN" w:bidi="ar"/>
              </w:rPr>
              <w:t>互动</w:t>
            </w:r>
            <w:r>
              <w:rPr>
                <w:rFonts w:hint="eastAsia" w:ascii="宋体" w:hAnsi="宋体" w:eastAsia="宋体" w:cs="宋体"/>
                <w:color w:val="000000"/>
                <w:kern w:val="0"/>
                <w:sz w:val="24"/>
                <w:szCs w:val="24"/>
                <w:lang w:val="en-US" w:eastAsia="zh-CN" w:bidi="ar"/>
              </w:rPr>
              <w:t>交流，青啤公司于2025年</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日</w:t>
            </w:r>
            <w:r>
              <w:rPr>
                <w:rFonts w:hint="eastAsia" w:ascii="宋体" w:hAnsi="宋体" w:cs="宋体"/>
                <w:color w:val="000000"/>
                <w:kern w:val="0"/>
                <w:sz w:val="24"/>
                <w:szCs w:val="24"/>
                <w:lang w:val="en-US" w:eastAsia="zh-CN" w:bidi="ar"/>
              </w:rPr>
              <w:t>参加了</w:t>
            </w:r>
            <w:r>
              <w:rPr>
                <w:rFonts w:ascii="宋体" w:hAnsi="宋体" w:eastAsia="宋体" w:cs="宋体"/>
                <w:sz w:val="24"/>
                <w:szCs w:val="24"/>
              </w:rPr>
              <w:t>由青岛证监局指导，青岛市上市公司协会与深圳市全景网络有限公司联合举办的“2025年青岛辖区上市公司投资者网上集体接待日活动”</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在信息披露允许的范围内</w:t>
            </w:r>
            <w:r>
              <w:rPr>
                <w:rFonts w:hint="eastAsia" w:ascii="宋体" w:hAnsi="宋体" w:cs="宋体"/>
                <w:color w:val="000000"/>
                <w:kern w:val="0"/>
                <w:sz w:val="24"/>
                <w:szCs w:val="24"/>
                <w:lang w:val="en-US" w:eastAsia="zh-CN" w:bidi="ar"/>
              </w:rPr>
              <w:t>，以在线交流形式</w:t>
            </w:r>
            <w:r>
              <w:rPr>
                <w:rFonts w:hint="eastAsia" w:ascii="宋体" w:hAnsi="宋体" w:eastAsia="宋体" w:cs="宋体"/>
                <w:color w:val="000000"/>
                <w:kern w:val="0"/>
                <w:sz w:val="24"/>
                <w:szCs w:val="24"/>
                <w:lang w:val="en-US" w:eastAsia="zh-CN" w:bidi="ar"/>
              </w:rPr>
              <w:t>就</w:t>
            </w:r>
            <w:r>
              <w:rPr>
                <w:rFonts w:ascii="宋体" w:hAnsi="宋体" w:eastAsia="宋体" w:cs="宋体"/>
                <w:sz w:val="24"/>
                <w:szCs w:val="24"/>
              </w:rPr>
              <w:t>公司发展及经营状况等投资者关注的问题与投资者进行沟通与交流</w:t>
            </w:r>
            <w:r>
              <w:rPr>
                <w:rFonts w:hint="eastAsia" w:ascii="宋体" w:hAnsi="宋体" w:cs="宋体"/>
                <w:color w:val="000000"/>
                <w:kern w:val="0"/>
                <w:sz w:val="24"/>
                <w:szCs w:val="24"/>
                <w:lang w:val="en-US" w:eastAsia="zh-CN" w:bidi="ar"/>
              </w:rPr>
              <w:t>。</w:t>
            </w:r>
            <w:r>
              <w:rPr>
                <w:rFonts w:ascii="宋体" w:hAnsi="宋体"/>
                <w:b w:val="0"/>
                <w:bCs/>
                <w:sz w:val="24"/>
              </w:rPr>
              <w:t>投资者提问及公司回复情况</w:t>
            </w:r>
            <w:r>
              <w:rPr>
                <w:rFonts w:hint="eastAsia" w:ascii="宋体" w:hAnsi="宋体"/>
                <w:b w:val="0"/>
                <w:bCs/>
                <w:sz w:val="24"/>
                <w:lang w:val="en-US" w:eastAsia="zh-CN"/>
              </w:rPr>
              <w:t>如下：</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sz w:val="24"/>
                <w:szCs w:val="24"/>
                <w:lang w:val="en-US" w:eastAsia="zh-CN"/>
              </w:rPr>
            </w:pPr>
            <w:r>
              <w:rPr>
                <w:rFonts w:hint="default" w:ascii="宋体" w:hAnsi="宋体"/>
                <w:b w:val="0"/>
                <w:bCs w:val="0"/>
                <w:sz w:val="24"/>
                <w:szCs w:val="24"/>
              </w:rPr>
              <w:t>1、</w:t>
            </w:r>
            <w:r>
              <w:rPr>
                <w:rFonts w:hint="eastAsia" w:ascii="宋体" w:hAnsi="宋体"/>
                <w:sz w:val="24"/>
                <w:szCs w:val="24"/>
                <w:lang w:val="en-US" w:eastAsia="zh-CN"/>
              </w:rPr>
              <w:t>饮料资产，如蛇草水，崂山可乐等，是如何考虑的，未来是否有打算并入上市公司资产？如果不装，那么，同在一个集团，是否有涉嫌同业竞争或者资源互占等问题？</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default" w:ascii="宋体" w:hAnsi="宋体"/>
                <w:sz w:val="24"/>
                <w:szCs w:val="24"/>
                <w:lang w:val="en-US" w:eastAsia="zh-CN"/>
              </w:rPr>
            </w:pPr>
            <w:r>
              <w:rPr>
                <w:rFonts w:hint="default" w:ascii="宋体" w:hAnsi="宋体"/>
                <w:sz w:val="24"/>
                <w:szCs w:val="24"/>
                <w:lang w:val="en-US" w:eastAsia="zh-CN"/>
              </w:rPr>
              <w:t>答：</w:t>
            </w:r>
            <w:r>
              <w:rPr>
                <w:rFonts w:hint="eastAsia" w:ascii="宋体" w:hAnsi="宋体"/>
                <w:sz w:val="24"/>
                <w:szCs w:val="24"/>
                <w:lang w:val="en-US" w:eastAsia="zh-CN"/>
              </w:rPr>
              <w:t>尊敬的投资者，您好！感谢对本公司的关注。公司将继续坚定不移的发展啤酒主业，充分发挥青岛啤酒的品牌和品质优势积极开拓市场，为广大消费者提供更多优质和多元化的产品和消费体验。中国啤酒行业未来仍有增长空间，同时公司也将布局非啤酒产业，拓宽拉长产业链，培育新的业务增长点。未来，不排除在适当的时机对优质资产进行整合配置。饮料业务与公司啤酒主业在品牌、产</w:t>
            </w:r>
            <w:r>
              <w:rPr>
                <w:rFonts w:hint="default" w:ascii="宋体" w:hAnsi="宋体"/>
                <w:sz w:val="24"/>
                <w:szCs w:val="24"/>
                <w:lang w:val="en-US" w:eastAsia="zh-CN"/>
              </w:rPr>
              <w:t>品及销售网络等方面不同，不会出现同业竞争的情况。谢谢！</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eastAsia="zh-CN"/>
              </w:rPr>
            </w:pPr>
            <w:r>
              <w:rPr>
                <w:rFonts w:hint="eastAsia" w:ascii="宋体" w:hAnsi="宋体"/>
                <w:b w:val="0"/>
                <w:bCs/>
                <w:sz w:val="24"/>
                <w:szCs w:val="24"/>
                <w:lang w:val="en-US" w:eastAsia="zh-CN"/>
              </w:rPr>
              <w:t>2</w:t>
            </w:r>
            <w:r>
              <w:rPr>
                <w:rFonts w:hint="default" w:ascii="宋体" w:hAnsi="宋体"/>
                <w:b w:val="0"/>
                <w:bCs/>
                <w:sz w:val="24"/>
                <w:szCs w:val="24"/>
              </w:rPr>
              <w:t>、</w:t>
            </w:r>
            <w:r>
              <w:rPr>
                <w:rFonts w:hint="default" w:ascii="宋体" w:hAnsi="宋体"/>
                <w:b w:val="0"/>
                <w:bCs w:val="0"/>
                <w:sz w:val="24"/>
                <w:szCs w:val="24"/>
              </w:rPr>
              <w:t>董秘您好，请问公司有关即墨老酒以及崂山可乐相关项目收并购工作是基于何种考量和目的而进行的？后续是否还会有参与到类似收并购项目的计划吗？公司如何看待未来国内酒业市场的发展趋势以及消费水平变化趋势？</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default" w:ascii="宋体" w:hAnsi="宋体"/>
                <w:b w:val="0"/>
                <w:bCs w:val="0"/>
                <w:sz w:val="24"/>
                <w:szCs w:val="24"/>
              </w:rPr>
            </w:pPr>
            <w:r>
              <w:rPr>
                <w:rFonts w:hint="eastAsia" w:ascii="宋体" w:hAnsi="宋体"/>
                <w:b w:val="0"/>
                <w:bCs w:val="0"/>
                <w:sz w:val="24"/>
                <w:szCs w:val="24"/>
                <w:lang w:val="en-US" w:eastAsia="zh-CN"/>
              </w:rPr>
              <w:t>答：</w:t>
            </w:r>
            <w:r>
              <w:rPr>
                <w:rFonts w:hint="default" w:ascii="宋体" w:hAnsi="宋体"/>
                <w:b w:val="0"/>
                <w:bCs w:val="0"/>
                <w:sz w:val="24"/>
                <w:szCs w:val="24"/>
              </w:rPr>
              <w:t>尊敬的投资者您好！感谢您对本公司的关注。本公司在继续开拓啤酒市场的同时也在积极培育新的经济增长点。公司通过本次收购即墨黄酒100%股权，推动公司业务的多元化发展，为公司未来带来新的发展契机。即墨黄酒与本公司同属发酵酒类行业，随着即墨黄酒的加入，将进一步丰富本公司产品线，拓宽市场渠道，为广大消费者提供更加多元化的选择。在品牌及产品宣传推广、销售网络与渠道等方面与公司现有优势市场和资源进行协同，进一步扩大市场影响力。从市场销售淡旺季上，“即墨老酒”与公司啤酒产品可以形成市场销售的互补效应，构建更具市场竞争力的跨品类产品组合，为公司发展注入新动能。谢谢。</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default" w:ascii="宋体" w:hAnsi="宋体"/>
                <w:b w:val="0"/>
                <w:bCs w:val="0"/>
                <w:sz w:val="24"/>
                <w:szCs w:val="24"/>
              </w:rPr>
            </w:pPr>
            <w:r>
              <w:rPr>
                <w:rFonts w:hint="eastAsia" w:ascii="宋体" w:hAnsi="宋体"/>
                <w:b w:val="0"/>
                <w:bCs w:val="0"/>
                <w:sz w:val="24"/>
                <w:szCs w:val="24"/>
                <w:lang w:val="en-US" w:eastAsia="zh-CN"/>
              </w:rPr>
              <w:t>3</w:t>
            </w:r>
            <w:r>
              <w:rPr>
                <w:rFonts w:hint="default" w:ascii="宋体" w:hAnsi="宋体"/>
                <w:b w:val="0"/>
                <w:bCs w:val="0"/>
                <w:sz w:val="24"/>
                <w:szCs w:val="24"/>
              </w:rPr>
              <w:t>、对后续新产品是否可以介绍一下</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default" w:ascii="宋体" w:hAnsi="宋体"/>
                <w:b w:val="0"/>
                <w:bCs w:val="0"/>
                <w:sz w:val="24"/>
                <w:szCs w:val="24"/>
                <w:lang w:val="en-US" w:eastAsia="zh-CN"/>
              </w:rPr>
            </w:pPr>
            <w:r>
              <w:rPr>
                <w:rFonts w:hint="eastAsia" w:ascii="宋体" w:hAnsi="宋体"/>
                <w:sz w:val="24"/>
                <w:szCs w:val="24"/>
                <w:lang w:val="en-US" w:eastAsia="zh-CN"/>
              </w:rPr>
              <w:t>答：</w:t>
            </w:r>
            <w:r>
              <w:rPr>
                <w:rFonts w:hint="default" w:ascii="宋体" w:hAnsi="宋体"/>
                <w:b w:val="0"/>
                <w:bCs w:val="0"/>
                <w:sz w:val="24"/>
                <w:szCs w:val="24"/>
              </w:rPr>
              <w:t>尊敬的投资者，您好！感谢对本公司的关注。公司持续优化提升品牌和品种结构，推进青岛啤酒主品牌“1+1+1+2+N”产品组合发展，做强主力大单品，加速打造高端生鲜及超高端产品。公司依托具有全球酿酒领域科技研发能力领先的创新平台—青岛啤酒科技研发中心，加强新品培育和品质提升，研发推出了“奥古特A系列、尼卡希白啤、无醇啤酒系列、轻干啤酒”等新产品，以卓越品质和创新口感满足了消费者的多层次需求。公司将不断地推出新产品，满足消费者的需求。谢谢!</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4、</w:t>
            </w:r>
            <w:r>
              <w:rPr>
                <w:rFonts w:hint="default" w:ascii="宋体" w:hAnsi="宋体"/>
                <w:b w:val="0"/>
                <w:bCs w:val="0"/>
                <w:sz w:val="24"/>
                <w:szCs w:val="24"/>
              </w:rPr>
              <w:t>日前，青岛啤酒拟6.6亿元收购即墨黄酒，公司如何看待这一跨界收购？对于即墨黄酒的未来规划，公司有哪些规划？</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答：</w:t>
            </w:r>
            <w:r>
              <w:rPr>
                <w:rFonts w:hint="default" w:ascii="宋体" w:hAnsi="宋体"/>
                <w:b w:val="0"/>
                <w:bCs w:val="0"/>
                <w:sz w:val="24"/>
                <w:szCs w:val="24"/>
              </w:rPr>
              <w:t>尊敬的投资者您好！感谢您对本公司的关注。本公司在继续开拓啤酒市场的同时也在积极培育新的经济增长点。公司通过本次收购即墨黄酒100%股权，推动公司业务的多元化发展，为公司未来带来新的发展契机。即墨黄酒与本公司同属发酵酒类行业，随着即墨黄酒的加入，将进一步丰富本公司产品线，拓宽市场渠道，为广大消费者提供更加多元化的选择。在品牌及产品宣传推广、销售网络与渠道等方面与公司现有优势市场和资源进行协同，进一步扩大市场影响力。从市场销售淡旺季上，“即墨老酒”与公司啤酒产品可以形成市场销售的互补效应，构建更具市场竞争力的跨品类产品组合，为公司发展注入新动能。未来，完成股权交割后，本公司将结合即墨老酒和啤酒产品的供应链、销售网络和渠道等进行进一步整合，实现优势互补，促进公司高质量发展。谢谢。</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5、</w:t>
            </w:r>
            <w:r>
              <w:rPr>
                <w:rFonts w:hint="default" w:ascii="宋体" w:hAnsi="宋体"/>
                <w:b w:val="0"/>
                <w:bCs w:val="0"/>
                <w:sz w:val="24"/>
                <w:szCs w:val="24"/>
              </w:rPr>
              <w:t>中国啤酒产销量连年下降，请问青啤对今年啤酒行业的走势有什么预测？啤酒行业高端化还会持续多久？</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答：</w:t>
            </w:r>
            <w:r>
              <w:rPr>
                <w:rFonts w:hint="default" w:ascii="宋体" w:hAnsi="宋体"/>
                <w:b w:val="0"/>
                <w:bCs w:val="0"/>
                <w:sz w:val="24"/>
                <w:szCs w:val="24"/>
              </w:rPr>
              <w:t>尊敬的投资者您好！感谢您对本公司的关注。近年来，受疫情及中高端餐饮行业不景气影响，国内啤酒市场有所波动，未来，随着经济发展啤酒消费市场仍有相当的发展空间。谢谢。</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6、</w:t>
            </w:r>
            <w:r>
              <w:rPr>
                <w:rFonts w:hint="default" w:ascii="宋体" w:hAnsi="宋体"/>
                <w:b w:val="0"/>
                <w:bCs w:val="0"/>
                <w:sz w:val="24"/>
                <w:szCs w:val="24"/>
              </w:rPr>
              <w:t>管理层好，希望请教公司基于1季度扎实的利润表现和高端化进展，如何看待全年利润增速？在高端化持续的过程中依然观察到1季度吨酒价同比略有下降，请问是否看到在现饮或非现饮渠道有更激烈的竞争和费用投放需要？对今年旺季的备货信心如何？ 另外如果思考公司在非啤酒领域的探索重心，后续可能还会重点关注什么方向，以及中长期看对收入和利润的贡献规划？感谢！</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答：</w:t>
            </w:r>
            <w:r>
              <w:rPr>
                <w:rFonts w:hint="default" w:ascii="宋体" w:hAnsi="宋体"/>
                <w:b w:val="0"/>
                <w:bCs w:val="0"/>
                <w:sz w:val="24"/>
                <w:szCs w:val="24"/>
              </w:rPr>
              <w:t>尊敬的投资者您好！感谢您对本公司的关注。一季度尚属啤酒行业的销售淡季，进入旺季后，本公司将充分发挥啤酒品牌和品质优势，积极开拓市场，积极调整产品结构，努力为股东创造更高的价值。谢谢。</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7、</w:t>
            </w:r>
            <w:r>
              <w:rPr>
                <w:rFonts w:hint="default" w:ascii="宋体" w:hAnsi="宋体"/>
                <w:b w:val="0"/>
                <w:bCs w:val="0"/>
                <w:sz w:val="24"/>
                <w:szCs w:val="24"/>
              </w:rPr>
              <w:t>张总好 青岛饮料集团并入青岛啤酒集团后，青岛饮料集团旗下崂山矿泉水、苏打水、白花蛇草水与青啤旗下优活天然矿泉水、纯净水、王子苏打水等产品势必产生同业竞争，未来公司是如何筹划的？此外黄酒营销逻辑与啤酒营销逻辑并不相同，公司如何能让投资者相信这笔收购能实现11》2的效果？</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答：</w:t>
            </w:r>
            <w:r>
              <w:rPr>
                <w:rFonts w:hint="default" w:ascii="宋体" w:hAnsi="宋体"/>
                <w:b w:val="0"/>
                <w:bCs w:val="0"/>
                <w:sz w:val="24"/>
                <w:szCs w:val="24"/>
              </w:rPr>
              <w:t>尊敬的投资者，您好！感谢对本公司的关注。饮料集团并入青啤集团后，会在集团层面进行整合。优活天然矿泉水、纯净水是青啤集团的原有业务，会与饮料集团进行整合。饮料业务与公司啤酒主业在品牌、产品及销售网络等方面不同，不会出现同业竞争的情况。谢谢！</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8、</w:t>
            </w:r>
            <w:r>
              <w:rPr>
                <w:rFonts w:hint="default" w:ascii="宋体" w:hAnsi="宋体"/>
                <w:b w:val="0"/>
                <w:bCs w:val="0"/>
                <w:sz w:val="24"/>
                <w:szCs w:val="24"/>
              </w:rPr>
              <w:t>青啤这些年来开发了一些新的产品，比如新奥古特、IPA、皮尔森，还有一些精酿高端产品，但是在商超渠道很少能看到，好像只在现饮和电商渠道。未来，这些精品的市场仍是在现饮场所吗？一季度以来，嘉士伯重啤和百威都越来越重视非现饮渠道的增长，青啤的看法如何？</w:t>
            </w:r>
          </w:p>
          <w:p>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default" w:ascii="宋体" w:hAnsi="宋体"/>
                <w:sz w:val="24"/>
                <w:szCs w:val="24"/>
              </w:rPr>
            </w:pPr>
            <w:r>
              <w:rPr>
                <w:rFonts w:hint="eastAsia" w:ascii="宋体" w:hAnsi="宋体"/>
                <w:b w:val="0"/>
                <w:bCs w:val="0"/>
                <w:sz w:val="24"/>
                <w:szCs w:val="24"/>
                <w:lang w:val="en-US" w:eastAsia="zh-CN"/>
              </w:rPr>
              <w:t>答：</w:t>
            </w:r>
            <w:r>
              <w:rPr>
                <w:rFonts w:hint="default" w:ascii="宋体" w:hAnsi="宋体"/>
                <w:b w:val="0"/>
                <w:bCs w:val="0"/>
                <w:sz w:val="24"/>
                <w:szCs w:val="24"/>
              </w:rPr>
              <w:t>尊敬的投资者您好！感谢您对本公司的关注。近年来本公司根据市场消费者需求开发了奥古特A3、奥古特A6、尼卡希、狮壮等新产品，满足消费者对不同价位、不同口味产品的需求，这些新特产品线上线下同步全面推进，获得了消费者广泛的认同和喜爱。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rPr>
            </w:pPr>
            <w:r>
              <w:rPr>
                <w:rFonts w:hAnsi="宋体"/>
                <w:b/>
                <w:bCs w:val="0"/>
                <w:iCs/>
                <w:color w:val="000000"/>
                <w:kern w:val="0"/>
                <w:sz w:val="24"/>
              </w:rPr>
              <w:t>附件清单（如有）</w:t>
            </w:r>
          </w:p>
        </w:tc>
        <w:tc>
          <w:tcPr>
            <w:tcW w:w="6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rFonts w:hint="default" w:eastAsia="宋体"/>
                <w:bCs/>
                <w:iCs/>
                <w:color w:val="000000"/>
                <w:sz w:val="24"/>
                <w:lang w:val="en-US" w:eastAsia="zh-CN"/>
              </w:rPr>
            </w:pPr>
            <w:r>
              <w:rPr>
                <w:rFonts w:hint="eastAsia"/>
                <w:bCs/>
                <w:iCs/>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rPr>
            </w:pPr>
            <w:r>
              <w:rPr>
                <w:rFonts w:hAnsi="宋体"/>
                <w:b/>
                <w:bCs w:val="0"/>
                <w:iCs/>
                <w:color w:val="000000"/>
                <w:kern w:val="0"/>
                <w:sz w:val="24"/>
              </w:rPr>
              <w:t>日期</w:t>
            </w:r>
          </w:p>
        </w:tc>
        <w:tc>
          <w:tcPr>
            <w:tcW w:w="6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157" w:beforeLines="50" w:line="312" w:lineRule="auto"/>
              <w:textAlignment w:val="auto"/>
              <w:rPr>
                <w:rFonts w:hint="eastAsia" w:eastAsia="宋体"/>
                <w:bCs/>
                <w:iCs/>
                <w:color w:val="000000"/>
                <w:sz w:val="24"/>
                <w:lang w:val="en-US" w:eastAsia="zh-CN"/>
              </w:rPr>
            </w:pPr>
            <w:r>
              <w:rPr>
                <w:rFonts w:hint="eastAsia"/>
                <w:bCs/>
                <w:iCs/>
                <w:color w:val="000000"/>
                <w:sz w:val="24"/>
                <w:lang w:eastAsia="zh-CN"/>
              </w:rPr>
              <w:t>2025年</w:t>
            </w:r>
            <w:r>
              <w:rPr>
                <w:rFonts w:hint="eastAsia"/>
                <w:bCs/>
                <w:iCs/>
                <w:color w:val="000000"/>
                <w:sz w:val="24"/>
                <w:lang w:val="en-US" w:eastAsia="zh-CN"/>
              </w:rPr>
              <w:t>5</w:t>
            </w:r>
            <w:r>
              <w:rPr>
                <w:rFonts w:hint="eastAsia"/>
                <w:bCs/>
                <w:iCs/>
                <w:color w:val="000000"/>
                <w:sz w:val="24"/>
                <w:lang w:eastAsia="zh-CN"/>
              </w:rPr>
              <w:t>月1</w:t>
            </w:r>
            <w:r>
              <w:rPr>
                <w:rFonts w:hint="eastAsia"/>
                <w:bCs/>
                <w:iCs/>
                <w:color w:val="000000"/>
                <w:sz w:val="24"/>
                <w:lang w:val="en-US" w:eastAsia="zh-CN"/>
              </w:rPr>
              <w:t>2</w:t>
            </w:r>
            <w:r>
              <w:rPr>
                <w:rFonts w:hint="eastAsia"/>
                <w:bCs/>
                <w:iCs/>
                <w:color w:val="000000"/>
                <w:sz w:val="24"/>
                <w:lang w:eastAsia="zh-CN"/>
              </w:rPr>
              <w:t>日</w:t>
            </w:r>
          </w:p>
        </w:tc>
      </w:tr>
    </w:tbl>
    <w:p>
      <w:bookmarkStart w:id="0" w:name="_GoBack"/>
      <w:bookmarkEnd w:id="0"/>
    </w:p>
    <w:sectPr>
      <w:headerReference r:id="rId3" w:type="default"/>
      <w:footerReference r:id="rId4" w:type="default"/>
      <w:pgSz w:w="11906" w:h="16838"/>
      <w:pgMar w:top="1440" w:right="1576"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mIyNjQwY2M4Mzc4ZGFiNGMxMTg3NGVhMjQ4MW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41B23B3"/>
    <w:rsid w:val="1B2418A5"/>
    <w:rsid w:val="1FBFC074"/>
    <w:rsid w:val="36FB9E1F"/>
    <w:rsid w:val="3BFA3B96"/>
    <w:rsid w:val="3CEF3472"/>
    <w:rsid w:val="3EFF16E9"/>
    <w:rsid w:val="4C0F5A59"/>
    <w:rsid w:val="77CF73AC"/>
    <w:rsid w:val="78FF0116"/>
    <w:rsid w:val="7CA012B5"/>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autoRedefine/>
    <w:qFormat/>
    <w:uiPriority w:val="34"/>
    <w:pPr>
      <w:ind w:firstLine="420" w:firstLineChars="200"/>
    </w:pPr>
    <w:rPr>
      <w:rFonts w:ascii="Calibri" w:hAnsi="Calibri" w:eastAsia="宋体" w:cs="Times New Roman"/>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 Char Char Char"/>
    <w:basedOn w:val="1"/>
    <w:autoRedefine/>
    <w:qFormat/>
    <w:uiPriority w:val="0"/>
  </w:style>
  <w:style w:type="character" w:customStyle="1" w:styleId="11">
    <w:name w:val="页脚 Char"/>
    <w:basedOn w:val="6"/>
    <w:link w:val="2"/>
    <w:autoRedefine/>
    <w:qFormat/>
    <w:uiPriority w:val="0"/>
    <w:rPr>
      <w:kern w:val="2"/>
      <w:sz w:val="18"/>
      <w:szCs w:val="18"/>
    </w:rPr>
  </w:style>
  <w:style w:type="character" w:customStyle="1" w:styleId="12">
    <w:name w:val="页眉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11</TotalTime>
  <ScaleCrop>false</ScaleCrop>
  <LinksUpToDate>false</LinksUpToDate>
  <CharactersWithSpaces>513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Daniel</cp:lastModifiedBy>
  <cp:lastPrinted>2014-02-21T05:34:00Z</cp:lastPrinted>
  <dcterms:modified xsi:type="dcterms:W3CDTF">2025-05-13T09:57:05Z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3378DF92D5494EA79182626F58817F75</vt:lpwstr>
  </property>
</Properties>
</file>