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C84B9">
      <w:pPr>
        <w:spacing w:line="288" w:lineRule="auto"/>
        <w:jc w:val="left"/>
        <w:rPr>
          <w:rFonts w:hint="eastAsia" w:ascii="宋体" w:hAnsi="宋体" w:eastAsia="宋体"/>
          <w:szCs w:val="21"/>
        </w:rPr>
      </w:pPr>
      <w:r>
        <w:rPr>
          <w:rFonts w:hint="eastAsia" w:ascii="宋体" w:hAnsi="宋体" w:eastAsia="宋体"/>
          <w:szCs w:val="21"/>
        </w:rPr>
        <w:t>证券代码：600872                                             证券简称：中炬高新</w:t>
      </w:r>
    </w:p>
    <w:p w14:paraId="1A8C6974">
      <w:pPr>
        <w:spacing w:line="288" w:lineRule="auto"/>
        <w:jc w:val="center"/>
        <w:rPr>
          <w:rFonts w:hint="eastAsia" w:ascii="宋体" w:hAnsi="宋体" w:eastAsia="宋体"/>
          <w:b/>
          <w:bCs/>
          <w:sz w:val="32"/>
          <w:szCs w:val="32"/>
        </w:rPr>
      </w:pPr>
      <w:r>
        <w:rPr>
          <w:rFonts w:hint="eastAsia" w:ascii="宋体" w:hAnsi="宋体" w:eastAsia="宋体"/>
          <w:b/>
          <w:bCs/>
          <w:sz w:val="32"/>
          <w:szCs w:val="32"/>
        </w:rPr>
        <w:t>中炬高新技术实业（集团）股份有限公司</w:t>
      </w:r>
    </w:p>
    <w:p w14:paraId="17B63C1E">
      <w:pPr>
        <w:spacing w:line="288" w:lineRule="auto"/>
        <w:jc w:val="center"/>
        <w:rPr>
          <w:rFonts w:hint="eastAsia" w:ascii="宋体" w:hAnsi="宋体" w:eastAsia="宋体"/>
          <w:b/>
          <w:bCs/>
          <w:sz w:val="32"/>
          <w:szCs w:val="32"/>
        </w:rPr>
      </w:pPr>
      <w:r>
        <w:rPr>
          <w:rFonts w:hint="eastAsia" w:ascii="宋体" w:hAnsi="宋体" w:eastAsia="宋体"/>
          <w:b/>
          <w:bCs/>
          <w:sz w:val="32"/>
          <w:szCs w:val="32"/>
        </w:rPr>
        <w:t>投资者关系活动记录表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6891"/>
      </w:tblGrid>
      <w:tr w14:paraId="4500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05" w:type="dxa"/>
            <w:vAlign w:val="center"/>
          </w:tcPr>
          <w:p w14:paraId="452D0E7C">
            <w:pPr>
              <w:spacing w:line="288" w:lineRule="auto"/>
              <w:jc w:val="center"/>
              <w:rPr>
                <w:rFonts w:hint="eastAsia" w:ascii="宋体" w:hAnsi="宋体" w:eastAsia="宋体"/>
                <w:szCs w:val="21"/>
              </w:rPr>
            </w:pPr>
            <w:r>
              <w:rPr>
                <w:rFonts w:hint="eastAsia" w:ascii="宋体" w:hAnsi="宋体" w:eastAsia="宋体"/>
                <w:szCs w:val="21"/>
              </w:rPr>
              <w:t>投资者关系活动类别</w:t>
            </w:r>
          </w:p>
        </w:tc>
        <w:tc>
          <w:tcPr>
            <w:tcW w:w="6891" w:type="dxa"/>
            <w:vAlign w:val="center"/>
          </w:tcPr>
          <w:p w14:paraId="6C917EBD">
            <w:pPr>
              <w:spacing w:line="288" w:lineRule="auto"/>
              <w:rPr>
                <w:rFonts w:hint="eastAsia" w:ascii="宋体" w:hAnsi="宋体" w:eastAsia="宋体"/>
                <w:szCs w:val="21"/>
              </w:rPr>
            </w:pPr>
            <w:r>
              <w:rPr>
                <w:rFonts w:hint="eastAsia" w:ascii="宋体" w:hAnsi="宋体" w:eastAsia="宋体"/>
                <w:szCs w:val="21"/>
              </w:rPr>
              <w:t>□特定对象调研 □分析师会议 □媒体采访 □业绩说明会</w:t>
            </w:r>
          </w:p>
          <w:p w14:paraId="24B814BE">
            <w:pPr>
              <w:spacing w:line="288" w:lineRule="auto"/>
              <w:rPr>
                <w:rFonts w:hint="eastAsia" w:ascii="宋体" w:hAnsi="宋体" w:eastAsia="宋体"/>
                <w:szCs w:val="21"/>
                <w:u w:val="single"/>
              </w:rPr>
            </w:pPr>
            <w:r>
              <w:rPr>
                <w:rFonts w:hint="eastAsia" w:ascii="宋体" w:hAnsi="宋体" w:eastAsia="宋体"/>
                <w:szCs w:val="21"/>
              </w:rPr>
              <w:t>□新闻发布会 □路演活动 □现场参观 ☑其他</w:t>
            </w:r>
            <w:r>
              <w:rPr>
                <w:rFonts w:hint="eastAsia" w:ascii="宋体" w:hAnsi="宋体" w:eastAsia="宋体"/>
                <w:szCs w:val="21"/>
                <w:u w:val="single"/>
              </w:rPr>
              <w:t xml:space="preserve"> 2024年年度股东大会</w:t>
            </w:r>
            <w:r>
              <w:rPr>
                <w:rFonts w:hint="eastAsia" w:ascii="宋体" w:hAnsi="宋体" w:eastAsia="宋体"/>
                <w:szCs w:val="21"/>
                <w:u w:val="none"/>
              </w:rPr>
              <w:t xml:space="preserve">    </w:t>
            </w:r>
            <w:r>
              <w:rPr>
                <w:rFonts w:hint="eastAsia" w:ascii="宋体" w:hAnsi="宋体" w:eastAsia="宋体"/>
                <w:szCs w:val="21"/>
                <w:u w:val="single"/>
              </w:rPr>
              <w:t xml:space="preserve"> </w:t>
            </w:r>
          </w:p>
        </w:tc>
      </w:tr>
      <w:tr w14:paraId="5FD8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405" w:type="dxa"/>
            <w:vAlign w:val="center"/>
          </w:tcPr>
          <w:p w14:paraId="417D7B68">
            <w:pPr>
              <w:spacing w:line="288" w:lineRule="auto"/>
              <w:jc w:val="center"/>
              <w:rPr>
                <w:rFonts w:hint="eastAsia" w:ascii="宋体" w:hAnsi="宋体" w:eastAsia="宋体"/>
                <w:sz w:val="24"/>
                <w:szCs w:val="24"/>
              </w:rPr>
            </w:pPr>
            <w:r>
              <w:rPr>
                <w:rFonts w:hint="eastAsia" w:ascii="宋体" w:hAnsi="宋体" w:eastAsia="宋体"/>
                <w:szCs w:val="21"/>
              </w:rPr>
              <w:t>参与单位名称与人数</w:t>
            </w:r>
          </w:p>
        </w:tc>
        <w:tc>
          <w:tcPr>
            <w:tcW w:w="6891" w:type="dxa"/>
            <w:vAlign w:val="center"/>
          </w:tcPr>
          <w:p w14:paraId="6B5CBD55">
            <w:pPr>
              <w:spacing w:line="288" w:lineRule="auto"/>
              <w:rPr>
                <w:rFonts w:hint="eastAsia" w:ascii="宋体" w:hAnsi="宋体" w:eastAsia="宋体"/>
                <w:szCs w:val="21"/>
              </w:rPr>
            </w:pPr>
            <w:r>
              <w:rPr>
                <w:rFonts w:hint="eastAsia" w:ascii="宋体" w:hAnsi="宋体" w:eastAsia="宋体"/>
                <w:szCs w:val="21"/>
              </w:rPr>
              <w:t>参加2024年年度股东大会的投资者（含中证中小投资者服务中心）</w:t>
            </w:r>
            <w:r>
              <w:rPr>
                <w:rFonts w:hint="eastAsia" w:ascii="宋体" w:hAnsi="宋体" w:eastAsia="宋体"/>
                <w:szCs w:val="21"/>
                <w:highlight w:val="none"/>
              </w:rPr>
              <w:t>共计</w:t>
            </w:r>
            <w:r>
              <w:rPr>
                <w:rFonts w:hint="eastAsia" w:ascii="宋体" w:hAnsi="宋体" w:eastAsia="宋体"/>
                <w:szCs w:val="21"/>
                <w:highlight w:val="none"/>
                <w:lang w:val="en-US" w:eastAsia="zh-CN"/>
              </w:rPr>
              <w:t>40余</w:t>
            </w:r>
            <w:r>
              <w:rPr>
                <w:rFonts w:hint="eastAsia" w:ascii="宋体" w:hAnsi="宋体" w:eastAsia="宋体"/>
                <w:szCs w:val="21"/>
                <w:highlight w:val="none"/>
              </w:rPr>
              <w:t>名</w:t>
            </w:r>
          </w:p>
        </w:tc>
      </w:tr>
      <w:tr w14:paraId="521E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0A1ECAFA">
            <w:pPr>
              <w:spacing w:line="288" w:lineRule="auto"/>
              <w:jc w:val="center"/>
              <w:rPr>
                <w:rFonts w:hint="eastAsia" w:ascii="宋体" w:hAnsi="宋体" w:eastAsia="宋体"/>
                <w:szCs w:val="21"/>
              </w:rPr>
            </w:pPr>
            <w:r>
              <w:rPr>
                <w:rFonts w:hint="eastAsia" w:ascii="宋体" w:hAnsi="宋体" w:eastAsia="宋体"/>
                <w:szCs w:val="21"/>
              </w:rPr>
              <w:t>主题</w:t>
            </w:r>
          </w:p>
        </w:tc>
        <w:tc>
          <w:tcPr>
            <w:tcW w:w="6891" w:type="dxa"/>
            <w:vAlign w:val="center"/>
          </w:tcPr>
          <w:p w14:paraId="5A5D8E05">
            <w:pPr>
              <w:spacing w:line="288" w:lineRule="auto"/>
              <w:rPr>
                <w:rFonts w:hint="eastAsia" w:ascii="宋体" w:hAnsi="宋体" w:eastAsia="宋体"/>
                <w:szCs w:val="21"/>
              </w:rPr>
            </w:pPr>
            <w:r>
              <w:rPr>
                <w:rFonts w:hint="eastAsia" w:ascii="宋体" w:hAnsi="宋体" w:eastAsia="宋体"/>
                <w:szCs w:val="21"/>
              </w:rPr>
              <w:t>2024年年度股东大会会后交流</w:t>
            </w:r>
          </w:p>
        </w:tc>
      </w:tr>
      <w:tr w14:paraId="7219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6AE35407">
            <w:pPr>
              <w:spacing w:line="288" w:lineRule="auto"/>
              <w:jc w:val="center"/>
              <w:rPr>
                <w:rFonts w:hint="eastAsia" w:ascii="宋体" w:hAnsi="宋体" w:eastAsia="宋体"/>
                <w:sz w:val="24"/>
                <w:szCs w:val="24"/>
              </w:rPr>
            </w:pPr>
            <w:r>
              <w:rPr>
                <w:rFonts w:hint="eastAsia" w:ascii="宋体" w:hAnsi="宋体" w:eastAsia="宋体"/>
                <w:szCs w:val="21"/>
              </w:rPr>
              <w:t>时间</w:t>
            </w:r>
          </w:p>
        </w:tc>
        <w:tc>
          <w:tcPr>
            <w:tcW w:w="6891" w:type="dxa"/>
            <w:vAlign w:val="center"/>
          </w:tcPr>
          <w:p w14:paraId="2E1B8DC0">
            <w:pPr>
              <w:spacing w:line="288" w:lineRule="auto"/>
              <w:rPr>
                <w:rFonts w:hint="eastAsia" w:ascii="宋体" w:hAnsi="宋体" w:eastAsia="宋体"/>
                <w:sz w:val="24"/>
                <w:szCs w:val="24"/>
              </w:rPr>
            </w:pPr>
            <w:r>
              <w:rPr>
                <w:rFonts w:hint="eastAsia" w:ascii="宋体" w:hAnsi="宋体" w:eastAsia="宋体"/>
                <w:szCs w:val="21"/>
              </w:rPr>
              <w:t>2025年5月7日 16:00-17:00</w:t>
            </w:r>
          </w:p>
        </w:tc>
      </w:tr>
      <w:tr w14:paraId="35A2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61D98A15">
            <w:pPr>
              <w:spacing w:line="288" w:lineRule="auto"/>
              <w:jc w:val="center"/>
              <w:rPr>
                <w:rFonts w:hint="eastAsia" w:ascii="宋体" w:hAnsi="宋体" w:eastAsia="宋体"/>
                <w:szCs w:val="21"/>
              </w:rPr>
            </w:pPr>
            <w:r>
              <w:rPr>
                <w:rFonts w:hint="eastAsia" w:ascii="宋体" w:hAnsi="宋体" w:eastAsia="宋体"/>
                <w:szCs w:val="21"/>
              </w:rPr>
              <w:t>方式</w:t>
            </w:r>
          </w:p>
        </w:tc>
        <w:tc>
          <w:tcPr>
            <w:tcW w:w="6891" w:type="dxa"/>
            <w:vAlign w:val="center"/>
          </w:tcPr>
          <w:p w14:paraId="71932942">
            <w:pPr>
              <w:spacing w:line="288" w:lineRule="auto"/>
              <w:rPr>
                <w:rFonts w:hint="eastAsia" w:ascii="宋体" w:hAnsi="宋体" w:eastAsia="宋体"/>
                <w:szCs w:val="21"/>
              </w:rPr>
            </w:pPr>
            <w:r>
              <w:rPr>
                <w:rFonts w:hint="eastAsia" w:ascii="宋体" w:hAnsi="宋体" w:eastAsia="宋体"/>
                <w:szCs w:val="21"/>
              </w:rPr>
              <w:t>现场</w:t>
            </w:r>
          </w:p>
        </w:tc>
      </w:tr>
      <w:tr w14:paraId="44CE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3F3270DF">
            <w:pPr>
              <w:spacing w:line="288" w:lineRule="auto"/>
              <w:jc w:val="center"/>
              <w:rPr>
                <w:rFonts w:hint="eastAsia" w:ascii="宋体" w:hAnsi="宋体" w:eastAsia="宋体"/>
                <w:szCs w:val="21"/>
              </w:rPr>
            </w:pPr>
            <w:r>
              <w:rPr>
                <w:rFonts w:hint="eastAsia" w:ascii="宋体" w:hAnsi="宋体" w:eastAsia="宋体"/>
                <w:szCs w:val="21"/>
              </w:rPr>
              <w:t>地点</w:t>
            </w:r>
          </w:p>
        </w:tc>
        <w:tc>
          <w:tcPr>
            <w:tcW w:w="6891" w:type="dxa"/>
            <w:vAlign w:val="center"/>
          </w:tcPr>
          <w:p w14:paraId="0D20F7C7">
            <w:pPr>
              <w:spacing w:line="288" w:lineRule="auto"/>
              <w:rPr>
                <w:rFonts w:hint="eastAsia" w:ascii="宋体" w:hAnsi="宋体" w:eastAsia="宋体"/>
                <w:szCs w:val="21"/>
              </w:rPr>
            </w:pPr>
            <w:r>
              <w:rPr>
                <w:rFonts w:hint="eastAsia" w:ascii="宋体" w:hAnsi="宋体" w:eastAsia="宋体"/>
                <w:szCs w:val="21"/>
              </w:rPr>
              <w:t>中山市火炬开发区厨邦路1号美味鲜综合楼904会议厅</w:t>
            </w:r>
          </w:p>
        </w:tc>
      </w:tr>
      <w:tr w14:paraId="0971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36D9DFC6">
            <w:pPr>
              <w:spacing w:line="288" w:lineRule="auto"/>
              <w:jc w:val="center"/>
              <w:rPr>
                <w:rFonts w:hint="eastAsia" w:ascii="宋体" w:hAnsi="宋体" w:eastAsia="宋体"/>
                <w:szCs w:val="21"/>
              </w:rPr>
            </w:pPr>
            <w:r>
              <w:rPr>
                <w:rFonts w:hint="eastAsia" w:ascii="宋体" w:hAnsi="宋体" w:eastAsia="宋体"/>
                <w:szCs w:val="21"/>
              </w:rPr>
              <w:t>上市公司接待人员姓名</w:t>
            </w:r>
          </w:p>
        </w:tc>
        <w:tc>
          <w:tcPr>
            <w:tcW w:w="6891" w:type="dxa"/>
            <w:vAlign w:val="center"/>
          </w:tcPr>
          <w:p w14:paraId="5F6A8BC4">
            <w:pPr>
              <w:spacing w:line="288" w:lineRule="auto"/>
              <w:rPr>
                <w:rFonts w:hint="eastAsia" w:ascii="宋体" w:hAnsi="宋体" w:eastAsia="宋体"/>
                <w:szCs w:val="21"/>
              </w:rPr>
            </w:pPr>
            <w:r>
              <w:rPr>
                <w:rFonts w:hint="eastAsia" w:ascii="宋体" w:hAnsi="宋体" w:eastAsia="宋体"/>
                <w:szCs w:val="21"/>
              </w:rPr>
              <w:t>董事长 余健华 先生</w:t>
            </w:r>
          </w:p>
          <w:p w14:paraId="1580BA11">
            <w:pPr>
              <w:rPr>
                <w:rFonts w:hint="eastAsia" w:ascii="宋体" w:hAnsi="宋体" w:eastAsia="宋体"/>
                <w:szCs w:val="21"/>
              </w:rPr>
            </w:pPr>
            <w:r>
              <w:rPr>
                <w:rFonts w:hint="eastAsia" w:ascii="宋体" w:hAnsi="宋体" w:eastAsia="宋体"/>
                <w:szCs w:val="21"/>
              </w:rPr>
              <w:t>独立董事 甘耀仁 先生</w:t>
            </w:r>
          </w:p>
          <w:p w14:paraId="066EEC2E">
            <w:pPr>
              <w:rPr>
                <w:rFonts w:hint="eastAsia" w:ascii="宋体" w:hAnsi="宋体" w:eastAsia="宋体"/>
                <w:szCs w:val="21"/>
              </w:rPr>
            </w:pPr>
            <w:r>
              <w:rPr>
                <w:rFonts w:hint="eastAsia" w:ascii="宋体" w:hAnsi="宋体" w:eastAsia="宋体"/>
                <w:szCs w:val="21"/>
              </w:rPr>
              <w:t>独立董事 李刚 先生</w:t>
            </w:r>
          </w:p>
          <w:p w14:paraId="6867578E">
            <w:pPr>
              <w:rPr>
                <w:rFonts w:hint="eastAsia" w:ascii="宋体" w:hAnsi="宋体" w:eastAsia="宋体"/>
                <w:szCs w:val="21"/>
              </w:rPr>
            </w:pPr>
            <w:r>
              <w:rPr>
                <w:rFonts w:hint="eastAsia" w:ascii="宋体" w:hAnsi="宋体" w:eastAsia="宋体"/>
                <w:szCs w:val="21"/>
              </w:rPr>
              <w:t>监事长 郑毅钊 先生</w:t>
            </w:r>
          </w:p>
          <w:p w14:paraId="5F96E14A">
            <w:pPr>
              <w:spacing w:line="288" w:lineRule="auto"/>
              <w:rPr>
                <w:rFonts w:hint="eastAsia" w:ascii="宋体" w:hAnsi="宋体" w:eastAsia="宋体"/>
                <w:szCs w:val="21"/>
              </w:rPr>
            </w:pPr>
            <w:r>
              <w:rPr>
                <w:rFonts w:hint="eastAsia" w:ascii="宋体" w:hAnsi="宋体" w:eastAsia="宋体"/>
                <w:szCs w:val="21"/>
              </w:rPr>
              <w:t>总经理 余向阳 先生</w:t>
            </w:r>
          </w:p>
          <w:p w14:paraId="3A4DB3A4">
            <w:pPr>
              <w:spacing w:line="288" w:lineRule="auto"/>
              <w:rPr>
                <w:rFonts w:hint="eastAsia" w:ascii="宋体" w:hAnsi="宋体" w:eastAsia="宋体"/>
                <w:szCs w:val="21"/>
              </w:rPr>
            </w:pPr>
            <w:r>
              <w:rPr>
                <w:rFonts w:hint="eastAsia" w:ascii="宋体" w:hAnsi="宋体" w:eastAsia="宋体"/>
                <w:szCs w:val="21"/>
              </w:rPr>
              <w:t>董事、常务副总经理兼财务负责人 林颖 女士</w:t>
            </w:r>
          </w:p>
          <w:p w14:paraId="51F179A9">
            <w:pPr>
              <w:spacing w:line="288" w:lineRule="auto"/>
              <w:rPr>
                <w:rFonts w:hint="eastAsia" w:ascii="宋体" w:hAnsi="宋体" w:eastAsia="宋体"/>
                <w:szCs w:val="21"/>
              </w:rPr>
            </w:pPr>
            <w:r>
              <w:rPr>
                <w:rFonts w:hint="eastAsia" w:ascii="宋体" w:hAnsi="宋体" w:eastAsia="宋体"/>
                <w:szCs w:val="21"/>
              </w:rPr>
              <w:t>副总经理 陈代坚 先生</w:t>
            </w:r>
          </w:p>
          <w:p w14:paraId="37D5357E">
            <w:pPr>
              <w:spacing w:line="288" w:lineRule="auto"/>
              <w:rPr>
                <w:rFonts w:hint="eastAsia" w:ascii="宋体" w:hAnsi="宋体" w:eastAsia="宋体"/>
                <w:szCs w:val="21"/>
              </w:rPr>
            </w:pPr>
            <w:r>
              <w:rPr>
                <w:rFonts w:hint="eastAsia" w:ascii="宋体" w:hAnsi="宋体" w:eastAsia="宋体"/>
                <w:szCs w:val="21"/>
              </w:rPr>
              <w:t>副总经理兼董事会秘书 郭毅航 先生</w:t>
            </w:r>
          </w:p>
        </w:tc>
      </w:tr>
      <w:tr w14:paraId="0B14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71E707E2">
            <w:pPr>
              <w:spacing w:line="288" w:lineRule="auto"/>
              <w:jc w:val="center"/>
              <w:rPr>
                <w:rFonts w:hint="eastAsia" w:ascii="宋体" w:hAnsi="宋体" w:eastAsia="宋体"/>
                <w:sz w:val="24"/>
                <w:szCs w:val="24"/>
              </w:rPr>
            </w:pPr>
            <w:r>
              <w:rPr>
                <w:rFonts w:hint="eastAsia" w:ascii="宋体" w:hAnsi="宋体" w:eastAsia="宋体"/>
                <w:szCs w:val="21"/>
              </w:rPr>
              <w:t>投资者关系活动主要内容介绍</w:t>
            </w:r>
          </w:p>
        </w:tc>
        <w:tc>
          <w:tcPr>
            <w:tcW w:w="6891" w:type="dxa"/>
          </w:tcPr>
          <w:p w14:paraId="1875793D">
            <w:pPr>
              <w:pStyle w:val="2"/>
              <w:ind w:firstLine="402" w:firstLineChars="167"/>
              <w:rPr>
                <w:rFonts w:hint="eastAsia" w:ascii="宋体" w:hAnsi="宋体" w:eastAsia="宋体" w:cs="宋体"/>
                <w:szCs w:val="21"/>
              </w:rPr>
            </w:pPr>
            <w:r>
              <w:rPr>
                <w:rFonts w:hint="eastAsia" w:ascii="宋体" w:hAnsi="宋体" w:eastAsia="宋体" w:cs="宋体"/>
                <w:b/>
                <w:bCs/>
                <w:szCs w:val="21"/>
              </w:rPr>
              <w:t>互动交流</w:t>
            </w:r>
            <w:r>
              <w:rPr>
                <w:rFonts w:hint="eastAsia" w:ascii="宋体" w:hAnsi="宋体" w:eastAsia="宋体" w:cs="宋体"/>
                <w:szCs w:val="21"/>
              </w:rPr>
              <w:t>（同类问题已作汇总整理，近期已回复问题不再重复）</w:t>
            </w:r>
          </w:p>
          <w:p w14:paraId="1FCE642E">
            <w:p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Q：</w:t>
            </w:r>
            <w:bookmarkStart w:id="0" w:name="_Hlk197965496"/>
            <w:r>
              <w:rPr>
                <w:rFonts w:hint="eastAsia" w:ascii="宋体" w:hAnsi="宋体" w:eastAsia="宋体" w:cs="宋体"/>
                <w:b/>
                <w:bCs/>
                <w:szCs w:val="21"/>
              </w:rPr>
              <w:t>我是中证中小投资者服务中心的，我们关注到公司有独董称其遇到一些履职困难，上市公司独董管理办法要求上市应当为独董依法履职提供必要的保障，请问公司如何去保障独董依法依规履职，尤其是如何保障独董作为召集人，在提名委员会</w:t>
            </w:r>
            <w:r>
              <w:rPr>
                <w:rFonts w:hint="eastAsia" w:ascii="宋体" w:hAnsi="宋体" w:eastAsia="宋体" w:cs="宋体"/>
                <w:b/>
                <w:bCs/>
                <w:szCs w:val="21"/>
                <w:lang w:eastAsia="zh-CN"/>
              </w:rPr>
              <w:t>、</w:t>
            </w:r>
            <w:r>
              <w:rPr>
                <w:rFonts w:hint="eastAsia" w:ascii="宋体" w:hAnsi="宋体" w:eastAsia="宋体" w:cs="宋体"/>
                <w:b/>
                <w:bCs/>
                <w:szCs w:val="21"/>
              </w:rPr>
              <w:t>薪酬与考核委员会当中依法依规履职的期限。</w:t>
            </w:r>
          </w:p>
          <w:bookmarkEnd w:id="0"/>
          <w:p w14:paraId="4BE6097C">
            <w:pPr>
              <w:spacing w:line="288" w:lineRule="auto"/>
              <w:ind w:firstLine="422" w:firstLineChars="200"/>
              <w:rPr>
                <w:rFonts w:hint="eastAsia" w:ascii="宋体" w:hAnsi="宋体" w:eastAsia="宋体" w:cs="宋体"/>
                <w:szCs w:val="21"/>
              </w:rPr>
            </w:pPr>
            <w:r>
              <w:rPr>
                <w:rFonts w:hint="eastAsia" w:ascii="宋体" w:hAnsi="宋体" w:eastAsia="宋体" w:cs="宋体"/>
                <w:b/>
                <w:bCs/>
                <w:szCs w:val="21"/>
              </w:rPr>
              <w:t>A：</w:t>
            </w:r>
            <w:r>
              <w:rPr>
                <w:rFonts w:hint="eastAsia" w:ascii="宋体" w:hAnsi="宋体" w:eastAsia="宋体" w:cs="宋体"/>
                <w:szCs w:val="21"/>
              </w:rPr>
              <w:t>感谢投服中心对公司治理工作的关注，公司始终高度重视独</w:t>
            </w:r>
            <w:r>
              <w:rPr>
                <w:rFonts w:hint="eastAsia" w:ascii="宋体" w:hAnsi="宋体" w:eastAsia="宋体" w:cs="宋体"/>
                <w:szCs w:val="21"/>
                <w:lang w:val="en-US" w:eastAsia="zh-CN"/>
              </w:rPr>
              <w:t>董</w:t>
            </w:r>
            <w:r>
              <w:rPr>
                <w:rFonts w:hint="eastAsia" w:ascii="宋体" w:hAnsi="宋体" w:eastAsia="宋体" w:cs="宋体"/>
                <w:szCs w:val="21"/>
              </w:rPr>
              <w:t>履职保障机制建设，严格遵循《上市公司独立董事管理办法》《公司章程》及《独立董事工作制度》要求，为独立董事依法履职提供全面支持，包括制度保障与机制完善（如修订《独立董事工作制度》，明确独董在董事会及专门委员会中的职权，独董作为召集人，确保其全程参与议题审议与决策流程）、资源支持与信息透明（如董办及相关部门为独董履职提供充分资料支持，包括定期经营数据、重大事项进展及行业分析报告等；针对专门委员会职责，公司提前沟通议题内容，保障独董在提案、审议及监督中的主导权，确保其专业意见得到充分讨论与落实等）等。未来，公司将持续优化独董履职环境，深化治理结构改革，切实维护全体股东合法权益。</w:t>
            </w:r>
          </w:p>
          <w:p w14:paraId="0553B0A4">
            <w:pPr>
              <w:pStyle w:val="2"/>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Q：2024年公司营销改革做了很多措施，效果并不是特别好，想问一下管理层从这些措施中吸取了哪些经验教训，2025年在营销方面有什么新的举措？</w:t>
            </w:r>
          </w:p>
          <w:p w14:paraId="76AC26A4">
            <w:pPr>
              <w:pStyle w:val="2"/>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b/>
                <w:bCs/>
                <w:sz w:val="21"/>
                <w:szCs w:val="21"/>
              </w:rPr>
              <w:t>A：</w:t>
            </w:r>
            <w:r>
              <w:rPr>
                <w:rFonts w:hint="eastAsia" w:ascii="宋体" w:hAnsi="宋体" w:eastAsia="宋体" w:cs="宋体"/>
                <w:sz w:val="21"/>
                <w:szCs w:val="21"/>
              </w:rPr>
              <w:t>2024年，公司首先在营销开展变革，随后生产、采购、运营等方面变革也在有序推进。2024年公司营销管理模式由总部统筹调整为事业部管控授权模式，但由于节奏偏快，导致在公司文化、管理体系、组织能力等层面的过渡上出现一些不协调问题</w:t>
            </w:r>
            <w:r>
              <w:rPr>
                <w:rFonts w:hint="eastAsia" w:ascii="宋体" w:hAnsi="宋体" w:eastAsia="宋体" w:cs="宋体"/>
                <w:sz w:val="21"/>
                <w:szCs w:val="21"/>
                <w:lang w:eastAsia="zh-CN"/>
              </w:rPr>
              <w:t>。</w:t>
            </w:r>
            <w:r>
              <w:rPr>
                <w:rFonts w:hint="eastAsia" w:ascii="宋体" w:hAnsi="宋体" w:eastAsia="宋体" w:cs="宋体"/>
                <w:sz w:val="21"/>
                <w:szCs w:val="21"/>
              </w:rPr>
              <w:t>2025年公司将从事业部组织能力、客户配合度评估等工作上进一步推进变革，目前部分事业部已恢复增长态势，相信未来会有更多的事业部在变革后会发展得更好，为支持公司打造全国性品牌，做好全国性布局，发挥积极的作用。</w:t>
            </w:r>
          </w:p>
          <w:p w14:paraId="51E6DA47">
            <w:pPr>
              <w:pStyle w:val="2"/>
              <w:ind w:firstLine="422" w:firstLineChars="200"/>
              <w:rPr>
                <w:rFonts w:hint="eastAsia" w:ascii="宋体" w:hAnsi="宋体" w:eastAsia="宋体" w:cs="宋体"/>
                <w:sz w:val="21"/>
                <w:szCs w:val="21"/>
              </w:rPr>
            </w:pPr>
            <w:r>
              <w:rPr>
                <w:rFonts w:hint="eastAsia" w:ascii="宋体" w:hAnsi="宋体" w:eastAsia="宋体" w:cs="宋体"/>
                <w:b/>
                <w:bCs/>
                <w:sz w:val="21"/>
                <w:szCs w:val="21"/>
              </w:rPr>
              <w:t>Q：公司管理层对行业竞争如何判断？公司第二增长曲线的规划？</w:t>
            </w:r>
          </w:p>
          <w:p w14:paraId="2050C105">
            <w:pPr>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b/>
                <w:bCs/>
                <w:szCs w:val="21"/>
              </w:rPr>
              <w:t xml:space="preserve"> A：</w:t>
            </w:r>
            <w:r>
              <w:rPr>
                <w:rFonts w:hint="eastAsia" w:ascii="宋体" w:hAnsi="宋体" w:eastAsia="宋体" w:cs="宋体"/>
                <w:szCs w:val="21"/>
              </w:rPr>
              <w:t>基础调味品市场容量在减少，调味品存在地域性差异明显，市场碎片化需求增加，产品更新迭代变快。公司将通过消费者调研，与专家合作等方式改进公司现有产品；此外在复合调味料、餐饮、电商等渠道的开发上，灵活利用合作、合资、并购等形式发展公司第二增长曲线。</w:t>
            </w:r>
          </w:p>
          <w:p w14:paraId="478E4EE3">
            <w:pPr>
              <w:pStyle w:val="2"/>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Q：2024年度公司应收账款在增加，公司是否会通过定增等方式增加公司现金流？</w:t>
            </w:r>
          </w:p>
          <w:p w14:paraId="2F3D6891">
            <w:pPr>
              <w:spacing w:line="288" w:lineRule="auto"/>
              <w:ind w:firstLine="422" w:firstLineChars="200"/>
              <w:rPr>
                <w:rFonts w:hint="eastAsia" w:ascii="宋体" w:hAnsi="宋体" w:eastAsia="宋体" w:cs="宋体"/>
                <w:b/>
                <w:bCs/>
                <w:szCs w:val="21"/>
              </w:rPr>
            </w:pPr>
            <w:r>
              <w:rPr>
                <w:rFonts w:hint="eastAsia" w:ascii="宋体" w:hAnsi="宋体" w:eastAsia="宋体" w:cs="宋体"/>
                <w:b/>
                <w:bCs/>
                <w:sz w:val="21"/>
                <w:szCs w:val="21"/>
              </w:rPr>
              <w:t>A：</w:t>
            </w:r>
            <w:r>
              <w:rPr>
                <w:rFonts w:hint="eastAsia" w:ascii="宋体" w:hAnsi="宋体" w:eastAsia="宋体" w:cs="宋体"/>
                <w:b w:val="0"/>
                <w:bCs w:val="0"/>
                <w:sz w:val="21"/>
                <w:szCs w:val="21"/>
              </w:rPr>
              <w:t>目前公司现金流相对充裕，账面有较多的盈余现金。公司去年年末的应收账款较高，主要有以下两个因素，一是公司的KA直销传统上都是有账期的，会体现在年末的报表上面。二是公司在年末业绩冲刺时给予经销商季节性促销政策，也使得年末的应收账款金额有所增加。目前看大部分的应收账款都在陆续的收回过程中。</w:t>
            </w:r>
          </w:p>
          <w:p w14:paraId="5306AC8B">
            <w:pPr>
              <w:pStyle w:val="2"/>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Q：公司2025年还有哪些降本增效的措施，包括生产成本和人力成本这些大概的下降目标？</w:t>
            </w:r>
          </w:p>
          <w:p w14:paraId="421629D0">
            <w:pPr>
              <w:pStyle w:val="2"/>
              <w:rPr>
                <w:rFonts w:hint="eastAsia"/>
              </w:rPr>
            </w:pPr>
            <w:r>
              <w:rPr>
                <w:rFonts w:hint="eastAsia" w:ascii="宋体" w:hAnsi="宋体" w:eastAsia="宋体" w:cs="宋体"/>
                <w:sz w:val="21"/>
                <w:szCs w:val="21"/>
              </w:rPr>
              <w:t xml:space="preserve">    </w:t>
            </w:r>
            <w:r>
              <w:rPr>
                <w:rFonts w:hint="eastAsia" w:ascii="宋体" w:hAnsi="宋体" w:eastAsia="宋体" w:cs="宋体"/>
                <w:b/>
                <w:bCs/>
                <w:sz w:val="21"/>
                <w:szCs w:val="21"/>
              </w:rPr>
              <w:t>A：</w:t>
            </w:r>
            <w:r>
              <w:rPr>
                <w:rFonts w:hint="eastAsia" w:ascii="宋体" w:hAnsi="宋体" w:eastAsia="宋体" w:cs="宋体"/>
                <w:sz w:val="21"/>
                <w:szCs w:val="21"/>
              </w:rPr>
              <w:t>公司2024年毛利率有所提升，一方面是原材料成本下降，另一方面是通过规范管理体系，精益生产，做到降本增效。2025年公司计划对生产、采购、营运等环节的成本做进一步优化，同时公司人力成本也会继续优化，以提高公司人效。</w:t>
            </w:r>
          </w:p>
          <w:p w14:paraId="674ED7D1">
            <w:pPr>
              <w:pStyle w:val="2"/>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Q：公司2025年一季度业绩下降较多，截止到4月份，公司经营情况如何？</w:t>
            </w:r>
          </w:p>
          <w:p w14:paraId="4B7FC990">
            <w:pPr>
              <w:pStyle w:val="2"/>
              <w:rPr>
                <w:rFonts w:hint="eastAsia" w:ascii="宋体" w:hAnsi="宋体" w:eastAsia="宋体" w:cs="宋体"/>
                <w:szCs w:val="21"/>
              </w:rPr>
            </w:pPr>
            <w:r>
              <w:rPr>
                <w:rFonts w:hint="eastAsia" w:ascii="宋体" w:hAnsi="宋体" w:eastAsia="宋体" w:cs="宋体"/>
                <w:sz w:val="21"/>
                <w:szCs w:val="21"/>
              </w:rPr>
              <w:t xml:space="preserve">    </w:t>
            </w:r>
            <w:r>
              <w:rPr>
                <w:rFonts w:hint="eastAsia" w:ascii="宋体" w:hAnsi="宋体" w:eastAsia="宋体" w:cs="宋体"/>
                <w:b/>
                <w:bCs/>
                <w:sz w:val="21"/>
                <w:szCs w:val="21"/>
              </w:rPr>
              <w:t>A：</w:t>
            </w:r>
            <w:r>
              <w:rPr>
                <w:rFonts w:hint="eastAsia" w:ascii="宋体" w:hAnsi="宋体" w:eastAsia="宋体" w:cs="宋体"/>
                <w:sz w:val="21"/>
                <w:szCs w:val="21"/>
              </w:rPr>
              <w:t>公司一季度进行资源和管理的调整，经过一季度的修复，二季度整体销售情况较一季度</w:t>
            </w:r>
            <w:r>
              <w:rPr>
                <w:rFonts w:hint="eastAsia" w:ascii="宋体" w:hAnsi="宋体" w:eastAsia="宋体" w:cs="宋体"/>
                <w:sz w:val="21"/>
                <w:szCs w:val="21"/>
                <w:lang w:eastAsia="zh-CN"/>
              </w:rPr>
              <w:t>将</w:t>
            </w:r>
            <w:r>
              <w:rPr>
                <w:rFonts w:hint="eastAsia" w:ascii="宋体" w:hAnsi="宋体" w:eastAsia="宋体" w:cs="宋体"/>
                <w:sz w:val="21"/>
                <w:szCs w:val="21"/>
              </w:rPr>
              <w:t>有所改善，库存率下降，各区域</w:t>
            </w:r>
            <w:r>
              <w:rPr>
                <w:rFonts w:hint="eastAsia" w:ascii="宋体" w:hAnsi="宋体" w:eastAsia="宋体" w:cs="宋体"/>
                <w:sz w:val="21"/>
                <w:szCs w:val="21"/>
                <w:lang w:eastAsia="zh-CN"/>
              </w:rPr>
              <w:t>销售</w:t>
            </w:r>
            <w:r>
              <w:rPr>
                <w:rFonts w:hint="eastAsia" w:ascii="宋体" w:hAnsi="宋体" w:eastAsia="宋体" w:cs="宋体"/>
                <w:sz w:val="21"/>
                <w:szCs w:val="21"/>
              </w:rPr>
              <w:t>市场逐渐</w:t>
            </w:r>
            <w:r>
              <w:rPr>
                <w:rFonts w:hint="eastAsia" w:ascii="宋体" w:hAnsi="宋体" w:eastAsia="宋体" w:cs="宋体"/>
                <w:sz w:val="21"/>
                <w:szCs w:val="21"/>
                <w:lang w:eastAsia="zh-CN"/>
              </w:rPr>
              <w:t>恢复</w:t>
            </w:r>
            <w:r>
              <w:rPr>
                <w:rFonts w:hint="eastAsia" w:ascii="宋体" w:hAnsi="宋体" w:eastAsia="宋体" w:cs="宋体"/>
                <w:sz w:val="21"/>
                <w:szCs w:val="21"/>
              </w:rPr>
              <w:t>。</w:t>
            </w:r>
          </w:p>
          <w:p w14:paraId="2F371360">
            <w:pPr>
              <w:pStyle w:val="2"/>
              <w:ind w:firstLine="420"/>
              <w:rPr>
                <w:rFonts w:hint="eastAsia" w:ascii="宋体" w:hAnsi="宋体" w:eastAsia="宋体" w:cs="宋体"/>
                <w:sz w:val="21"/>
                <w:szCs w:val="21"/>
              </w:rPr>
            </w:pPr>
            <w:r>
              <w:rPr>
                <w:rFonts w:hint="eastAsia" w:ascii="宋体" w:hAnsi="宋体" w:eastAsia="宋体" w:cs="宋体"/>
                <w:b/>
                <w:bCs/>
                <w:sz w:val="21"/>
                <w:szCs w:val="21"/>
              </w:rPr>
              <w:t>Q：公司土地剥离计划？</w:t>
            </w:r>
          </w:p>
          <w:p w14:paraId="6C5EC763">
            <w:pPr>
              <w:ind w:firstLine="422" w:firstLineChars="200"/>
              <w:rPr>
                <w:rFonts w:hint="eastAsia" w:ascii="宋体" w:hAnsi="宋体" w:eastAsia="宋体" w:cs="宋体"/>
                <w:szCs w:val="21"/>
              </w:rPr>
            </w:pPr>
            <w:r>
              <w:rPr>
                <w:rFonts w:hint="eastAsia" w:ascii="宋体" w:hAnsi="宋体" w:eastAsia="宋体" w:cs="宋体"/>
                <w:b/>
                <w:bCs/>
                <w:szCs w:val="21"/>
              </w:rPr>
              <w:t>A：</w:t>
            </w:r>
            <w:r>
              <w:rPr>
                <w:rFonts w:hint="eastAsia" w:ascii="宋体" w:hAnsi="宋体" w:eastAsia="宋体" w:cs="宋体"/>
                <w:szCs w:val="21"/>
              </w:rPr>
              <w:t>公司的战略目标是聚焦调味品主业，去年已完成皮带轮等非主业的剥离。关于房地产业务的剥离，公司将秉承公司及股东利益最大化原则进行妥善处置。</w:t>
            </w:r>
          </w:p>
          <w:p w14:paraId="5233BCBA">
            <w:pPr>
              <w:pStyle w:val="2"/>
            </w:pPr>
          </w:p>
        </w:tc>
      </w:tr>
      <w:tr w14:paraId="1AB8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Align w:val="center"/>
          </w:tcPr>
          <w:p w14:paraId="1EC1FAF0">
            <w:pPr>
              <w:spacing w:before="156" w:beforeLines="50"/>
              <w:jc w:val="center"/>
              <w:rPr>
                <w:rFonts w:hint="eastAsia" w:ascii="宋体" w:hAnsi="宋体" w:eastAsia="宋体"/>
                <w:szCs w:val="21"/>
              </w:rPr>
            </w:pPr>
            <w:r>
              <w:rPr>
                <w:rFonts w:hint="eastAsia" w:ascii="宋体" w:hAnsi="宋体" w:eastAsia="宋体"/>
                <w:szCs w:val="21"/>
              </w:rPr>
              <w:t>关于本次活动是否涉及应披露重大信息的说明</w:t>
            </w:r>
          </w:p>
        </w:tc>
        <w:tc>
          <w:tcPr>
            <w:tcW w:w="6891" w:type="dxa"/>
            <w:vAlign w:val="center"/>
          </w:tcPr>
          <w:p w14:paraId="12C495EB">
            <w:pPr>
              <w:spacing w:before="156" w:beforeLines="50"/>
              <w:rPr>
                <w:rFonts w:hint="eastAsia" w:ascii="宋体" w:hAnsi="宋体" w:eastAsia="宋体"/>
                <w:szCs w:val="21"/>
              </w:rPr>
            </w:pPr>
            <w:r>
              <w:rPr>
                <w:rFonts w:hint="eastAsia" w:ascii="宋体" w:hAnsi="宋体" w:eastAsia="宋体"/>
                <w:szCs w:val="21"/>
              </w:rPr>
              <w:t>接待交流过程中，公司接待人员严格按照有关制度要求，没有出现未公开重大信息泄露等情况。</w:t>
            </w:r>
          </w:p>
        </w:tc>
      </w:tr>
      <w:tr w14:paraId="14E1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405" w:type="dxa"/>
            <w:vAlign w:val="center"/>
          </w:tcPr>
          <w:p w14:paraId="21AB5582">
            <w:pPr>
              <w:spacing w:before="156" w:beforeLines="50"/>
              <w:jc w:val="center"/>
              <w:rPr>
                <w:rFonts w:hint="eastAsia" w:ascii="宋体" w:hAnsi="宋体" w:eastAsia="宋体"/>
                <w:sz w:val="24"/>
                <w:szCs w:val="24"/>
              </w:rPr>
            </w:pPr>
            <w:r>
              <w:rPr>
                <w:rFonts w:hint="eastAsia" w:ascii="宋体" w:hAnsi="宋体" w:eastAsia="宋体"/>
                <w:szCs w:val="21"/>
              </w:rPr>
              <w:t>活动过程中所使用的演示文稿、提供文档等附件（如有）</w:t>
            </w:r>
          </w:p>
        </w:tc>
        <w:tc>
          <w:tcPr>
            <w:tcW w:w="6891" w:type="dxa"/>
            <w:vAlign w:val="center"/>
          </w:tcPr>
          <w:p w14:paraId="44FC0F41">
            <w:pPr>
              <w:spacing w:line="288" w:lineRule="auto"/>
              <w:rPr>
                <w:rFonts w:hint="eastAsia" w:ascii="宋体" w:hAnsi="宋体" w:eastAsia="宋体"/>
                <w:sz w:val="24"/>
                <w:szCs w:val="24"/>
              </w:rPr>
            </w:pPr>
            <w:r>
              <w:rPr>
                <w:rFonts w:hint="eastAsia" w:ascii="宋体" w:hAnsi="宋体" w:eastAsia="宋体"/>
                <w:szCs w:val="21"/>
              </w:rPr>
              <w:t>无</w:t>
            </w:r>
          </w:p>
        </w:tc>
      </w:tr>
    </w:tbl>
    <w:p w14:paraId="3CFA49DC">
      <w:pPr>
        <w:spacing w:line="288" w:lineRule="auto"/>
        <w:rPr>
          <w:rFonts w:hint="eastAsia" w:ascii="宋体" w:hAnsi="宋体" w:eastAsia="宋体"/>
          <w:sz w:val="24"/>
          <w:szCs w:val="24"/>
        </w:rPr>
      </w:pPr>
      <w:bookmarkStart w:id="1" w:name="_GoBack"/>
      <w:bookmarkEnd w:id="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D234C">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2F9E9">
                          <w:pPr>
                            <w:pStyle w:val="5"/>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72F9E9">
                    <w:pPr>
                      <w:pStyle w:val="5"/>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864AD">
    <w:pPr>
      <w:pStyle w:val="6"/>
      <w:jc w:val="right"/>
      <w:rPr>
        <w:rFonts w:hint="eastAsia" w:ascii="宋体" w:hAnsi="宋体" w:eastAsia="宋体"/>
      </w:rPr>
    </w:pPr>
    <w:r>
      <w:rPr>
        <w:rFonts w:hint="eastAsia" w:ascii="宋体" w:hAnsi="宋体" w:eastAsia="宋体"/>
      </w:rPr>
      <w:t>中炬高新技术实业（集团）股份有限公司 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ZTMyMTIzOWRhOGU0MjczYmIyOWM2MjgxNGY3OTcifQ=="/>
    <w:docVar w:name="KSO_WPS_MARK_KEY" w:val="1ce89307-75d1-4571-bc3f-40e536289ff2"/>
  </w:docVars>
  <w:rsids>
    <w:rsidRoot w:val="004F34CC"/>
    <w:rsid w:val="000016A1"/>
    <w:rsid w:val="000038A3"/>
    <w:rsid w:val="00005E85"/>
    <w:rsid w:val="000173D1"/>
    <w:rsid w:val="00027018"/>
    <w:rsid w:val="00030614"/>
    <w:rsid w:val="00036345"/>
    <w:rsid w:val="0003793B"/>
    <w:rsid w:val="00045B54"/>
    <w:rsid w:val="00046312"/>
    <w:rsid w:val="0005416D"/>
    <w:rsid w:val="00054739"/>
    <w:rsid w:val="0007712D"/>
    <w:rsid w:val="00096B62"/>
    <w:rsid w:val="000A1892"/>
    <w:rsid w:val="000A7D28"/>
    <w:rsid w:val="000C5027"/>
    <w:rsid w:val="000D4F64"/>
    <w:rsid w:val="000D7352"/>
    <w:rsid w:val="000F3A9D"/>
    <w:rsid w:val="00100FAA"/>
    <w:rsid w:val="00104550"/>
    <w:rsid w:val="001129B3"/>
    <w:rsid w:val="00124953"/>
    <w:rsid w:val="0014308C"/>
    <w:rsid w:val="00143884"/>
    <w:rsid w:val="00152732"/>
    <w:rsid w:val="00155602"/>
    <w:rsid w:val="00170315"/>
    <w:rsid w:val="00171314"/>
    <w:rsid w:val="001724B6"/>
    <w:rsid w:val="00174DC1"/>
    <w:rsid w:val="00175DBF"/>
    <w:rsid w:val="001779EB"/>
    <w:rsid w:val="001853C5"/>
    <w:rsid w:val="0018682D"/>
    <w:rsid w:val="001A3449"/>
    <w:rsid w:val="001A4310"/>
    <w:rsid w:val="001B6FF0"/>
    <w:rsid w:val="001E71FD"/>
    <w:rsid w:val="001F5277"/>
    <w:rsid w:val="001F6E83"/>
    <w:rsid w:val="001F7E85"/>
    <w:rsid w:val="0021218D"/>
    <w:rsid w:val="00212C3A"/>
    <w:rsid w:val="0022298A"/>
    <w:rsid w:val="002259B9"/>
    <w:rsid w:val="002340F4"/>
    <w:rsid w:val="00243DDF"/>
    <w:rsid w:val="0025049E"/>
    <w:rsid w:val="00254C8F"/>
    <w:rsid w:val="00265A27"/>
    <w:rsid w:val="00273941"/>
    <w:rsid w:val="0027410F"/>
    <w:rsid w:val="00280A12"/>
    <w:rsid w:val="002816D6"/>
    <w:rsid w:val="00285F94"/>
    <w:rsid w:val="002903A9"/>
    <w:rsid w:val="00290521"/>
    <w:rsid w:val="0029454B"/>
    <w:rsid w:val="002955FC"/>
    <w:rsid w:val="002A3DBE"/>
    <w:rsid w:val="002A6470"/>
    <w:rsid w:val="002B7E0D"/>
    <w:rsid w:val="002C1011"/>
    <w:rsid w:val="002C29DA"/>
    <w:rsid w:val="002C3952"/>
    <w:rsid w:val="002E7391"/>
    <w:rsid w:val="00312194"/>
    <w:rsid w:val="00315378"/>
    <w:rsid w:val="00320A9B"/>
    <w:rsid w:val="0033189D"/>
    <w:rsid w:val="00331AB7"/>
    <w:rsid w:val="00336799"/>
    <w:rsid w:val="003376B2"/>
    <w:rsid w:val="003403F4"/>
    <w:rsid w:val="00341151"/>
    <w:rsid w:val="00352CD7"/>
    <w:rsid w:val="00364D86"/>
    <w:rsid w:val="00373816"/>
    <w:rsid w:val="00375CB3"/>
    <w:rsid w:val="003B1385"/>
    <w:rsid w:val="003D28C2"/>
    <w:rsid w:val="00405C69"/>
    <w:rsid w:val="004315B4"/>
    <w:rsid w:val="00433463"/>
    <w:rsid w:val="004431FD"/>
    <w:rsid w:val="004452D6"/>
    <w:rsid w:val="00445A19"/>
    <w:rsid w:val="00450DEB"/>
    <w:rsid w:val="004639CC"/>
    <w:rsid w:val="0046424B"/>
    <w:rsid w:val="00465A18"/>
    <w:rsid w:val="0046631F"/>
    <w:rsid w:val="00471A3B"/>
    <w:rsid w:val="004749DD"/>
    <w:rsid w:val="004A4EE1"/>
    <w:rsid w:val="004A7CC7"/>
    <w:rsid w:val="004A7CCB"/>
    <w:rsid w:val="004B071D"/>
    <w:rsid w:val="004B3B99"/>
    <w:rsid w:val="004B7AB6"/>
    <w:rsid w:val="004C0019"/>
    <w:rsid w:val="004D6D28"/>
    <w:rsid w:val="004D7330"/>
    <w:rsid w:val="004F207B"/>
    <w:rsid w:val="004F34CC"/>
    <w:rsid w:val="005007EB"/>
    <w:rsid w:val="005024EC"/>
    <w:rsid w:val="00521570"/>
    <w:rsid w:val="005239FC"/>
    <w:rsid w:val="0053413E"/>
    <w:rsid w:val="0054235A"/>
    <w:rsid w:val="00550169"/>
    <w:rsid w:val="00556768"/>
    <w:rsid w:val="00561C55"/>
    <w:rsid w:val="005767BA"/>
    <w:rsid w:val="005779BD"/>
    <w:rsid w:val="0059763A"/>
    <w:rsid w:val="005B3D55"/>
    <w:rsid w:val="005B60AF"/>
    <w:rsid w:val="005C2601"/>
    <w:rsid w:val="005C32DE"/>
    <w:rsid w:val="005D238F"/>
    <w:rsid w:val="005E1032"/>
    <w:rsid w:val="00622453"/>
    <w:rsid w:val="00622784"/>
    <w:rsid w:val="00625527"/>
    <w:rsid w:val="00630227"/>
    <w:rsid w:val="00630D35"/>
    <w:rsid w:val="00641EA1"/>
    <w:rsid w:val="00657BCF"/>
    <w:rsid w:val="00661891"/>
    <w:rsid w:val="006620D3"/>
    <w:rsid w:val="00680A03"/>
    <w:rsid w:val="006810D5"/>
    <w:rsid w:val="006814C0"/>
    <w:rsid w:val="00681C74"/>
    <w:rsid w:val="00690F8F"/>
    <w:rsid w:val="00693F39"/>
    <w:rsid w:val="006A2590"/>
    <w:rsid w:val="006B79D4"/>
    <w:rsid w:val="006C559A"/>
    <w:rsid w:val="006D090B"/>
    <w:rsid w:val="006E229C"/>
    <w:rsid w:val="006E5DFA"/>
    <w:rsid w:val="006F1BC4"/>
    <w:rsid w:val="006F50E1"/>
    <w:rsid w:val="006F5513"/>
    <w:rsid w:val="0070756E"/>
    <w:rsid w:val="00710620"/>
    <w:rsid w:val="0073277A"/>
    <w:rsid w:val="0073293A"/>
    <w:rsid w:val="007367B8"/>
    <w:rsid w:val="00740B07"/>
    <w:rsid w:val="007733F1"/>
    <w:rsid w:val="0077534D"/>
    <w:rsid w:val="00783B9F"/>
    <w:rsid w:val="007867D8"/>
    <w:rsid w:val="00790D6E"/>
    <w:rsid w:val="00796202"/>
    <w:rsid w:val="007B7472"/>
    <w:rsid w:val="007D2238"/>
    <w:rsid w:val="007D2297"/>
    <w:rsid w:val="007D4003"/>
    <w:rsid w:val="007D6B8A"/>
    <w:rsid w:val="007E5FD7"/>
    <w:rsid w:val="007F0307"/>
    <w:rsid w:val="007F1CB3"/>
    <w:rsid w:val="007F7AD8"/>
    <w:rsid w:val="008037CD"/>
    <w:rsid w:val="0080457D"/>
    <w:rsid w:val="00805C7B"/>
    <w:rsid w:val="00812FE7"/>
    <w:rsid w:val="00815903"/>
    <w:rsid w:val="00816DFD"/>
    <w:rsid w:val="00820F36"/>
    <w:rsid w:val="008272FF"/>
    <w:rsid w:val="00830CFD"/>
    <w:rsid w:val="0085137F"/>
    <w:rsid w:val="008675BC"/>
    <w:rsid w:val="0087292B"/>
    <w:rsid w:val="00873336"/>
    <w:rsid w:val="00880999"/>
    <w:rsid w:val="00897524"/>
    <w:rsid w:val="008C73B1"/>
    <w:rsid w:val="008D4866"/>
    <w:rsid w:val="008E48C5"/>
    <w:rsid w:val="008E4DFE"/>
    <w:rsid w:val="008E64D4"/>
    <w:rsid w:val="008F2933"/>
    <w:rsid w:val="008F4465"/>
    <w:rsid w:val="008F6421"/>
    <w:rsid w:val="008F7FCA"/>
    <w:rsid w:val="00910BFB"/>
    <w:rsid w:val="00917846"/>
    <w:rsid w:val="009315F1"/>
    <w:rsid w:val="009328A8"/>
    <w:rsid w:val="009446FB"/>
    <w:rsid w:val="00951D93"/>
    <w:rsid w:val="00960FC6"/>
    <w:rsid w:val="009626BC"/>
    <w:rsid w:val="00964226"/>
    <w:rsid w:val="00967BA1"/>
    <w:rsid w:val="00970A5E"/>
    <w:rsid w:val="00972061"/>
    <w:rsid w:val="00983BAD"/>
    <w:rsid w:val="00987104"/>
    <w:rsid w:val="00997D8F"/>
    <w:rsid w:val="009A2DDF"/>
    <w:rsid w:val="009A52F0"/>
    <w:rsid w:val="009A6757"/>
    <w:rsid w:val="009A6B04"/>
    <w:rsid w:val="009C2F0C"/>
    <w:rsid w:val="009C6396"/>
    <w:rsid w:val="009C668C"/>
    <w:rsid w:val="009D0AC8"/>
    <w:rsid w:val="009E0F8A"/>
    <w:rsid w:val="009F500F"/>
    <w:rsid w:val="009F5C45"/>
    <w:rsid w:val="00A0024D"/>
    <w:rsid w:val="00A228A7"/>
    <w:rsid w:val="00A32DD6"/>
    <w:rsid w:val="00A45953"/>
    <w:rsid w:val="00A47E25"/>
    <w:rsid w:val="00A67080"/>
    <w:rsid w:val="00A75B6B"/>
    <w:rsid w:val="00A76BAA"/>
    <w:rsid w:val="00A869F4"/>
    <w:rsid w:val="00A8751A"/>
    <w:rsid w:val="00A978F5"/>
    <w:rsid w:val="00AB5374"/>
    <w:rsid w:val="00AB6DF9"/>
    <w:rsid w:val="00AC59B5"/>
    <w:rsid w:val="00AC7D0C"/>
    <w:rsid w:val="00B01807"/>
    <w:rsid w:val="00B073C3"/>
    <w:rsid w:val="00B237D2"/>
    <w:rsid w:val="00B26A69"/>
    <w:rsid w:val="00B3412F"/>
    <w:rsid w:val="00B34D2A"/>
    <w:rsid w:val="00B53CB6"/>
    <w:rsid w:val="00B62A3D"/>
    <w:rsid w:val="00B74DE4"/>
    <w:rsid w:val="00B8570F"/>
    <w:rsid w:val="00B87A2E"/>
    <w:rsid w:val="00BA08AA"/>
    <w:rsid w:val="00BC020A"/>
    <w:rsid w:val="00BC47CD"/>
    <w:rsid w:val="00BD3B7B"/>
    <w:rsid w:val="00BD5D38"/>
    <w:rsid w:val="00C16904"/>
    <w:rsid w:val="00C4401E"/>
    <w:rsid w:val="00C44C02"/>
    <w:rsid w:val="00C557FA"/>
    <w:rsid w:val="00C55AD6"/>
    <w:rsid w:val="00C70E84"/>
    <w:rsid w:val="00C839F5"/>
    <w:rsid w:val="00C83E6F"/>
    <w:rsid w:val="00C91E9E"/>
    <w:rsid w:val="00C9655B"/>
    <w:rsid w:val="00CA5D12"/>
    <w:rsid w:val="00CB413E"/>
    <w:rsid w:val="00CC0C01"/>
    <w:rsid w:val="00CD460C"/>
    <w:rsid w:val="00CD70CF"/>
    <w:rsid w:val="00CE739D"/>
    <w:rsid w:val="00CF0224"/>
    <w:rsid w:val="00CF0762"/>
    <w:rsid w:val="00CF2464"/>
    <w:rsid w:val="00CF3395"/>
    <w:rsid w:val="00CF6B98"/>
    <w:rsid w:val="00D002FC"/>
    <w:rsid w:val="00D01B3C"/>
    <w:rsid w:val="00D04BAA"/>
    <w:rsid w:val="00D10751"/>
    <w:rsid w:val="00D13951"/>
    <w:rsid w:val="00D24FA0"/>
    <w:rsid w:val="00D37A16"/>
    <w:rsid w:val="00D42BD6"/>
    <w:rsid w:val="00D64E20"/>
    <w:rsid w:val="00D73CC0"/>
    <w:rsid w:val="00D81F8C"/>
    <w:rsid w:val="00D85211"/>
    <w:rsid w:val="00DA0BDA"/>
    <w:rsid w:val="00DB08AE"/>
    <w:rsid w:val="00DC3DD2"/>
    <w:rsid w:val="00DD3D0E"/>
    <w:rsid w:val="00DE3E1E"/>
    <w:rsid w:val="00DF3A9F"/>
    <w:rsid w:val="00E04C5B"/>
    <w:rsid w:val="00E130BD"/>
    <w:rsid w:val="00E1555F"/>
    <w:rsid w:val="00E215F2"/>
    <w:rsid w:val="00E23603"/>
    <w:rsid w:val="00E237EC"/>
    <w:rsid w:val="00E277F6"/>
    <w:rsid w:val="00E301E9"/>
    <w:rsid w:val="00E31222"/>
    <w:rsid w:val="00E64ADA"/>
    <w:rsid w:val="00E70895"/>
    <w:rsid w:val="00E75595"/>
    <w:rsid w:val="00E91809"/>
    <w:rsid w:val="00E930B8"/>
    <w:rsid w:val="00EA1549"/>
    <w:rsid w:val="00EB22CB"/>
    <w:rsid w:val="00ED7144"/>
    <w:rsid w:val="00EE14BA"/>
    <w:rsid w:val="00EE2F53"/>
    <w:rsid w:val="00EE43FC"/>
    <w:rsid w:val="00EE522A"/>
    <w:rsid w:val="00F31E5C"/>
    <w:rsid w:val="00F331F2"/>
    <w:rsid w:val="00F718AD"/>
    <w:rsid w:val="00F94F2F"/>
    <w:rsid w:val="00F9501C"/>
    <w:rsid w:val="00FA2812"/>
    <w:rsid w:val="00FA3046"/>
    <w:rsid w:val="00FA78BD"/>
    <w:rsid w:val="00FB3FBC"/>
    <w:rsid w:val="00FC2962"/>
    <w:rsid w:val="00FF3B30"/>
    <w:rsid w:val="015F4BD0"/>
    <w:rsid w:val="01C26E13"/>
    <w:rsid w:val="05245EC7"/>
    <w:rsid w:val="059246EB"/>
    <w:rsid w:val="083615CB"/>
    <w:rsid w:val="08FE191C"/>
    <w:rsid w:val="09356565"/>
    <w:rsid w:val="0C255797"/>
    <w:rsid w:val="0D685BEF"/>
    <w:rsid w:val="102B4AA5"/>
    <w:rsid w:val="11254DB7"/>
    <w:rsid w:val="12EF777D"/>
    <w:rsid w:val="14411E19"/>
    <w:rsid w:val="15D31F5B"/>
    <w:rsid w:val="17013AE2"/>
    <w:rsid w:val="17924D93"/>
    <w:rsid w:val="179E0FC9"/>
    <w:rsid w:val="17FF3103"/>
    <w:rsid w:val="18AA570E"/>
    <w:rsid w:val="1B364D27"/>
    <w:rsid w:val="1C6A39D3"/>
    <w:rsid w:val="1D562B86"/>
    <w:rsid w:val="1E974641"/>
    <w:rsid w:val="20632D0D"/>
    <w:rsid w:val="21301222"/>
    <w:rsid w:val="219537A4"/>
    <w:rsid w:val="21997ACE"/>
    <w:rsid w:val="22AE2B9B"/>
    <w:rsid w:val="22FF5201"/>
    <w:rsid w:val="230C7A96"/>
    <w:rsid w:val="2435126F"/>
    <w:rsid w:val="26BB599A"/>
    <w:rsid w:val="28392672"/>
    <w:rsid w:val="2B7D093F"/>
    <w:rsid w:val="2E5F0EDB"/>
    <w:rsid w:val="2E6D4845"/>
    <w:rsid w:val="30F443CC"/>
    <w:rsid w:val="32113B5F"/>
    <w:rsid w:val="35E623C9"/>
    <w:rsid w:val="35ED0854"/>
    <w:rsid w:val="37464DD3"/>
    <w:rsid w:val="3A212E0D"/>
    <w:rsid w:val="3A7D4D26"/>
    <w:rsid w:val="3B60044E"/>
    <w:rsid w:val="3D077460"/>
    <w:rsid w:val="3D331ADD"/>
    <w:rsid w:val="3D6627D1"/>
    <w:rsid w:val="3FAE0B3D"/>
    <w:rsid w:val="4328665C"/>
    <w:rsid w:val="46554434"/>
    <w:rsid w:val="4A3E5396"/>
    <w:rsid w:val="50C3400E"/>
    <w:rsid w:val="518576BF"/>
    <w:rsid w:val="557C7E48"/>
    <w:rsid w:val="568B6949"/>
    <w:rsid w:val="56BF0D97"/>
    <w:rsid w:val="57F44A81"/>
    <w:rsid w:val="58CB4A43"/>
    <w:rsid w:val="5A57728F"/>
    <w:rsid w:val="5AE2794C"/>
    <w:rsid w:val="5C86208C"/>
    <w:rsid w:val="5D9911E0"/>
    <w:rsid w:val="5DFC012C"/>
    <w:rsid w:val="5F8D3A15"/>
    <w:rsid w:val="61C31253"/>
    <w:rsid w:val="61CB3443"/>
    <w:rsid w:val="647B728D"/>
    <w:rsid w:val="66710DA7"/>
    <w:rsid w:val="67C9744E"/>
    <w:rsid w:val="6C957922"/>
    <w:rsid w:val="6D1159A2"/>
    <w:rsid w:val="6DA607CA"/>
    <w:rsid w:val="70977EAE"/>
    <w:rsid w:val="70F66D85"/>
    <w:rsid w:val="71DE09DC"/>
    <w:rsid w:val="750F3614"/>
    <w:rsid w:val="754B3253"/>
    <w:rsid w:val="755F74C6"/>
    <w:rsid w:val="77B873B4"/>
    <w:rsid w:val="78BA59DD"/>
    <w:rsid w:val="79DC0F8B"/>
    <w:rsid w:val="7A613399"/>
    <w:rsid w:val="7A811C8D"/>
    <w:rsid w:val="7AE75F94"/>
    <w:rsid w:val="7CF34569"/>
    <w:rsid w:val="7E4D13E4"/>
    <w:rsid w:val="7F651B7D"/>
    <w:rsid w:val="7FD875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Arial" w:hAnsi="Arial" w:eastAsia="仿宋_GB2312"/>
      <w:sz w:val="24"/>
    </w:rPr>
  </w:style>
  <w:style w:type="paragraph" w:styleId="3">
    <w:name w:val="annotation text"/>
    <w:basedOn w:val="1"/>
    <w:link w:val="17"/>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字符"/>
    <w:basedOn w:val="11"/>
    <w:link w:val="4"/>
    <w:semiHidden/>
    <w:qFormat/>
    <w:uiPriority w:val="99"/>
    <w:rPr>
      <w:sz w:val="18"/>
      <w:szCs w:val="18"/>
    </w:rPr>
  </w:style>
  <w:style w:type="character" w:customStyle="1" w:styleId="17">
    <w:name w:val="批注文字 字符"/>
    <w:basedOn w:val="11"/>
    <w:link w:val="3"/>
    <w:semiHidden/>
    <w:qFormat/>
    <w:uiPriority w:val="99"/>
  </w:style>
  <w:style w:type="character" w:customStyle="1" w:styleId="18">
    <w:name w:val="批注主题 字符"/>
    <w:basedOn w:val="17"/>
    <w:link w:val="8"/>
    <w:semiHidden/>
    <w:qFormat/>
    <w:uiPriority w:val="99"/>
    <w:rPr>
      <w:b/>
      <w:bCs/>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3C290-7635-4523-B806-045854577181}">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1788</Words>
  <Characters>1849</Characters>
  <Lines>31</Lines>
  <Paragraphs>8</Paragraphs>
  <TotalTime>43</TotalTime>
  <ScaleCrop>false</ScaleCrop>
  <LinksUpToDate>false</LinksUpToDate>
  <CharactersWithSpaces>1939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2023-05-26T05:43:00Z</dcterms:created>
  <dc:creator>lenovo</dc:creator>
  <cp:lastModifiedBy>方方</cp:lastModifiedBy>
  <dcterms:modified xsi:type="dcterms:W3CDTF">2025-05-14T07:11:25Z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7AEDF53E2BF04A3F9B5716FFD395507A_13</vt:lpwstr>
  </property>
  <property fmtid="{D5CDD505-2E9C-101B-9397-08002B2CF9AE}" pid="4" name="KSOTemplateDocerSaveRecord">
    <vt:lpwstr>eyJoZGlkIjoiZGU5M2FmY2ZhMDRiYmQ3NzIyOTc4MTY3NzZkNmMxYjIiLCJ1c2VySWQiOiIxOTUzMjY0OTUifQ==</vt:lpwstr>
  </property>
</Properties>
</file>