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29F8" w14:textId="61E24F7D" w:rsidR="005D1722" w:rsidRDefault="006D3F94">
      <w:pPr>
        <w:spacing w:line="360" w:lineRule="auto"/>
        <w:jc w:val="center"/>
        <w:rPr>
          <w:rFonts w:ascii="宋体" w:eastAsia="宋体" w:hAnsi="宋体" w:cs="宋体"/>
          <w:b/>
          <w:sz w:val="24"/>
          <w:szCs w:val="24"/>
          <w:lang w:val="en-US"/>
        </w:rPr>
      </w:pPr>
      <w:r w:rsidRPr="0056345E">
        <w:rPr>
          <w:rFonts w:ascii="宋体" w:eastAsia="宋体" w:hAnsi="宋体" w:cs="宋体" w:hint="eastAsia"/>
          <w:b/>
          <w:sz w:val="24"/>
          <w:szCs w:val="24"/>
          <w:lang w:val="en-US"/>
        </w:rPr>
        <w:t>证券代码：</w:t>
      </w:r>
      <w:r w:rsidRPr="0056345E">
        <w:rPr>
          <w:rFonts w:ascii="宋体" w:eastAsia="宋体" w:hAnsi="宋体" w:cs="宋体"/>
          <w:b/>
          <w:sz w:val="24"/>
          <w:szCs w:val="24"/>
          <w:lang w:val="en-US"/>
        </w:rPr>
        <w:t xml:space="preserve">600927                                </w:t>
      </w:r>
      <w:r w:rsidRPr="0056345E">
        <w:rPr>
          <w:rFonts w:ascii="宋体" w:eastAsia="宋体" w:hAnsi="宋体" w:cs="宋体" w:hint="eastAsia"/>
          <w:b/>
          <w:sz w:val="24"/>
          <w:szCs w:val="24"/>
          <w:lang w:val="en-US"/>
        </w:rPr>
        <w:t xml:space="preserve">  证券简称：永安期货</w:t>
      </w:r>
    </w:p>
    <w:p w14:paraId="42105882" w14:textId="77777777" w:rsidR="006D3F94" w:rsidRDefault="006D3F94">
      <w:pPr>
        <w:spacing w:line="360" w:lineRule="auto"/>
        <w:jc w:val="center"/>
        <w:rPr>
          <w:rFonts w:ascii="宋体" w:eastAsia="宋体" w:hAnsi="宋体" w:cs="宋体" w:hint="eastAsia"/>
          <w:b/>
          <w:bCs/>
          <w:sz w:val="44"/>
          <w:szCs w:val="44"/>
        </w:rPr>
      </w:pPr>
    </w:p>
    <w:p w14:paraId="5A35DFA7" w14:textId="77777777" w:rsidR="005D1722" w:rsidRPr="006D3F94" w:rsidRDefault="00481437">
      <w:pPr>
        <w:spacing w:line="360" w:lineRule="auto"/>
        <w:jc w:val="center"/>
        <w:rPr>
          <w:rFonts w:ascii="宋体" w:eastAsia="宋体" w:hAnsi="宋体" w:cs="宋体"/>
          <w:b/>
          <w:bCs/>
          <w:sz w:val="32"/>
          <w:szCs w:val="32"/>
        </w:rPr>
      </w:pPr>
      <w:r w:rsidRPr="006D3F94">
        <w:rPr>
          <w:rFonts w:ascii="宋体" w:eastAsia="宋体" w:hAnsi="宋体" w:cs="宋体" w:hint="eastAsia"/>
          <w:b/>
          <w:bCs/>
          <w:sz w:val="32"/>
          <w:szCs w:val="32"/>
        </w:rPr>
        <w:t>永安期货股份有限公司</w:t>
      </w:r>
    </w:p>
    <w:p w14:paraId="601AF6BA" w14:textId="77777777" w:rsidR="005D1722" w:rsidRPr="006D3F94" w:rsidRDefault="00481437">
      <w:pPr>
        <w:spacing w:line="360" w:lineRule="auto"/>
        <w:jc w:val="center"/>
        <w:rPr>
          <w:rFonts w:ascii="宋体" w:eastAsia="宋体" w:hAnsi="宋体" w:cs="宋体"/>
          <w:b/>
          <w:sz w:val="32"/>
          <w:szCs w:val="32"/>
        </w:rPr>
      </w:pPr>
      <w:r w:rsidRPr="006D3F94">
        <w:rPr>
          <w:rFonts w:ascii="宋体" w:eastAsia="宋体" w:hAnsi="宋体" w:cs="宋体" w:hint="eastAsia"/>
          <w:b/>
          <w:bCs/>
          <w:sz w:val="32"/>
          <w:szCs w:val="32"/>
        </w:rPr>
        <w:t>投资者关系活动记录表</w:t>
      </w:r>
    </w:p>
    <w:p w14:paraId="1AAB8D63" w14:textId="5478EF26" w:rsidR="006D3F94" w:rsidRDefault="006D3F94" w:rsidP="006D3F94">
      <w:pPr>
        <w:spacing w:before="51" w:after="32"/>
        <w:ind w:right="619"/>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编号：2025-00</w:t>
      </w:r>
      <w:r>
        <w:rPr>
          <w:rFonts w:asciiTheme="minorEastAsia" w:eastAsiaTheme="minorEastAsia" w:hAnsiTheme="minorEastAsia" w:cs="宋体"/>
          <w:b/>
          <w:bCs/>
          <w:sz w:val="24"/>
          <w:szCs w:val="24"/>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D1722" w14:paraId="5F72998C" w14:textId="77777777">
        <w:trPr>
          <w:trHeight w:val="2801"/>
          <w:jc w:val="center"/>
        </w:trPr>
        <w:tc>
          <w:tcPr>
            <w:tcW w:w="2580" w:type="dxa"/>
          </w:tcPr>
          <w:p w14:paraId="2029104B" w14:textId="77777777" w:rsidR="005D1722" w:rsidRPr="006D3F94" w:rsidRDefault="005D1722">
            <w:pPr>
              <w:pStyle w:val="TableParagraph"/>
              <w:spacing w:before="7"/>
              <w:rPr>
                <w:rFonts w:ascii="宋体" w:eastAsia="宋体" w:hAnsi="宋体" w:cs="宋体"/>
                <w:b/>
                <w:bCs/>
                <w:sz w:val="24"/>
                <w:szCs w:val="24"/>
              </w:rPr>
            </w:pPr>
          </w:p>
          <w:p w14:paraId="0402DDCB" w14:textId="77777777" w:rsidR="005D1722" w:rsidRPr="006D3F94" w:rsidRDefault="00481437">
            <w:pPr>
              <w:pStyle w:val="TableParagraph"/>
              <w:spacing w:before="1"/>
              <w:ind w:left="107"/>
              <w:rPr>
                <w:rFonts w:ascii="宋体" w:eastAsia="宋体" w:hAnsi="宋体" w:cs="宋体"/>
                <w:b/>
                <w:bCs/>
                <w:sz w:val="24"/>
                <w:szCs w:val="24"/>
              </w:rPr>
            </w:pPr>
            <w:r w:rsidRPr="006D3F94">
              <w:rPr>
                <w:rFonts w:ascii="宋体" w:eastAsia="宋体" w:hAnsi="宋体" w:cs="宋体" w:hint="eastAsia"/>
                <w:b/>
                <w:bCs/>
                <w:sz w:val="24"/>
                <w:szCs w:val="24"/>
              </w:rPr>
              <w:t>投资者关系活动类别</w:t>
            </w:r>
          </w:p>
        </w:tc>
        <w:tc>
          <w:tcPr>
            <w:tcW w:w="5945" w:type="dxa"/>
          </w:tcPr>
          <w:p w14:paraId="62AC7AF0" w14:textId="77777777" w:rsidR="005D1722" w:rsidRPr="006D3F94" w:rsidRDefault="005D1722">
            <w:pPr>
              <w:pStyle w:val="TableParagraph"/>
              <w:spacing w:before="7"/>
              <w:rPr>
                <w:rFonts w:ascii="宋体" w:eastAsia="宋体" w:hAnsi="宋体" w:cs="宋体"/>
                <w:sz w:val="24"/>
                <w:szCs w:val="24"/>
              </w:rPr>
            </w:pPr>
          </w:p>
          <w:p w14:paraId="6B207227" w14:textId="77777777" w:rsidR="005D1722" w:rsidRPr="006D3F94" w:rsidRDefault="00A3452E">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特</w:t>
            </w:r>
            <w:r w:rsidR="00481437" w:rsidRPr="006D3F94">
              <w:rPr>
                <w:rFonts w:ascii="宋体" w:eastAsia="宋体" w:hAnsi="宋体" w:cs="宋体" w:hint="eastAsia"/>
                <w:spacing w:val="-3"/>
                <w:sz w:val="24"/>
                <w:szCs w:val="24"/>
              </w:rPr>
              <w:t>定</w:t>
            </w:r>
            <w:r w:rsidR="00481437" w:rsidRPr="006D3F94">
              <w:rPr>
                <w:rFonts w:ascii="宋体" w:eastAsia="宋体" w:hAnsi="宋体" w:cs="宋体" w:hint="eastAsia"/>
                <w:sz w:val="24"/>
                <w:szCs w:val="24"/>
              </w:rPr>
              <w:t>对</w:t>
            </w:r>
            <w:r w:rsidR="00481437" w:rsidRPr="006D3F94">
              <w:rPr>
                <w:rFonts w:ascii="宋体" w:eastAsia="宋体" w:hAnsi="宋体" w:cs="宋体" w:hint="eastAsia"/>
                <w:spacing w:val="-3"/>
                <w:sz w:val="24"/>
                <w:szCs w:val="24"/>
              </w:rPr>
              <w:t>象</w:t>
            </w:r>
            <w:r w:rsidR="00481437" w:rsidRPr="006D3F94">
              <w:rPr>
                <w:rFonts w:ascii="宋体" w:eastAsia="宋体" w:hAnsi="宋体" w:cs="宋体" w:hint="eastAsia"/>
                <w:sz w:val="24"/>
                <w:szCs w:val="24"/>
              </w:rPr>
              <w:t>调研</w:t>
            </w:r>
            <w:r w:rsidR="00481437" w:rsidRPr="006D3F94">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分</w:t>
            </w:r>
            <w:r w:rsidR="00481437" w:rsidRPr="006D3F94">
              <w:rPr>
                <w:rFonts w:ascii="宋体" w:eastAsia="宋体" w:hAnsi="宋体" w:cs="宋体" w:hint="eastAsia"/>
                <w:spacing w:val="-3"/>
                <w:sz w:val="24"/>
                <w:szCs w:val="24"/>
              </w:rPr>
              <w:t>析</w:t>
            </w:r>
            <w:r w:rsidR="00481437" w:rsidRPr="006D3F94">
              <w:rPr>
                <w:rFonts w:ascii="宋体" w:eastAsia="宋体" w:hAnsi="宋体" w:cs="宋体" w:hint="eastAsia"/>
                <w:sz w:val="24"/>
                <w:szCs w:val="24"/>
              </w:rPr>
              <w:t>师</w:t>
            </w:r>
            <w:r w:rsidR="00481437" w:rsidRPr="006D3F94">
              <w:rPr>
                <w:rFonts w:ascii="宋体" w:eastAsia="宋体" w:hAnsi="宋体" w:cs="宋体" w:hint="eastAsia"/>
                <w:spacing w:val="-3"/>
                <w:sz w:val="24"/>
                <w:szCs w:val="24"/>
              </w:rPr>
              <w:t>会</w:t>
            </w:r>
            <w:r w:rsidR="00481437" w:rsidRPr="006D3F94">
              <w:rPr>
                <w:rFonts w:ascii="宋体" w:eastAsia="宋体" w:hAnsi="宋体" w:cs="宋体" w:hint="eastAsia"/>
                <w:sz w:val="24"/>
                <w:szCs w:val="24"/>
              </w:rPr>
              <w:t>议</w:t>
            </w:r>
          </w:p>
          <w:p w14:paraId="4D100466" w14:textId="77777777" w:rsidR="005D1722" w:rsidRPr="006D3F94" w:rsidRDefault="005D1722">
            <w:pPr>
              <w:pStyle w:val="TableParagraph"/>
              <w:spacing w:before="11"/>
              <w:rPr>
                <w:rFonts w:ascii="宋体" w:eastAsia="宋体" w:hAnsi="宋体" w:cs="宋体"/>
                <w:sz w:val="24"/>
                <w:szCs w:val="24"/>
              </w:rPr>
            </w:pPr>
          </w:p>
          <w:p w14:paraId="373996CD" w14:textId="540F954C" w:rsidR="005D1722" w:rsidRPr="006D3F94" w:rsidRDefault="00A3452E">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媒</w:t>
            </w:r>
            <w:r w:rsidR="00481437" w:rsidRPr="006D3F94">
              <w:rPr>
                <w:rFonts w:ascii="宋体" w:eastAsia="宋体" w:hAnsi="宋体" w:cs="宋体" w:hint="eastAsia"/>
                <w:spacing w:val="-3"/>
                <w:sz w:val="24"/>
                <w:szCs w:val="24"/>
              </w:rPr>
              <w:t>体</w:t>
            </w:r>
            <w:r w:rsidR="00481437" w:rsidRPr="006D3F94">
              <w:rPr>
                <w:rFonts w:ascii="宋体" w:eastAsia="宋体" w:hAnsi="宋体" w:cs="宋体" w:hint="eastAsia"/>
                <w:sz w:val="24"/>
                <w:szCs w:val="24"/>
              </w:rPr>
              <w:t>采访</w:t>
            </w:r>
            <w:r w:rsidR="00481437" w:rsidRPr="006D3F94">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006D3F94">
                  <w:rPr>
                    <w:rFonts w:ascii="宋体" w:eastAsia="宋体" w:hAnsi="宋体" w:cs="宋体" w:hint="eastAsia"/>
                    <w:sz w:val="24"/>
                    <w:szCs w:val="24"/>
                  </w:rPr>
                  <w:sym w:font="Wingdings 2" w:char="F052"/>
                </w:r>
              </w:sdtContent>
            </w:sdt>
            <w:r w:rsidR="00481437" w:rsidRPr="006D3F94">
              <w:rPr>
                <w:rFonts w:ascii="宋体" w:eastAsia="宋体" w:hAnsi="宋体" w:cs="宋体" w:hint="eastAsia"/>
                <w:sz w:val="24"/>
                <w:szCs w:val="24"/>
              </w:rPr>
              <w:t>业</w:t>
            </w:r>
            <w:r w:rsidR="00481437" w:rsidRPr="006D3F94">
              <w:rPr>
                <w:rFonts w:ascii="宋体" w:eastAsia="宋体" w:hAnsi="宋体" w:cs="宋体" w:hint="eastAsia"/>
                <w:spacing w:val="-3"/>
                <w:sz w:val="24"/>
                <w:szCs w:val="24"/>
              </w:rPr>
              <w:t>绩</w:t>
            </w:r>
            <w:r w:rsidR="00481437" w:rsidRPr="006D3F94">
              <w:rPr>
                <w:rFonts w:ascii="宋体" w:eastAsia="宋体" w:hAnsi="宋体" w:cs="宋体" w:hint="eastAsia"/>
                <w:sz w:val="24"/>
                <w:szCs w:val="24"/>
              </w:rPr>
              <w:t>说</w:t>
            </w:r>
            <w:r w:rsidR="00481437" w:rsidRPr="006D3F94">
              <w:rPr>
                <w:rFonts w:ascii="宋体" w:eastAsia="宋体" w:hAnsi="宋体" w:cs="宋体" w:hint="eastAsia"/>
                <w:spacing w:val="-3"/>
                <w:sz w:val="24"/>
                <w:szCs w:val="24"/>
              </w:rPr>
              <w:t>明</w:t>
            </w:r>
            <w:r w:rsidR="00481437" w:rsidRPr="006D3F94">
              <w:rPr>
                <w:rFonts w:ascii="宋体" w:eastAsia="宋体" w:hAnsi="宋体" w:cs="宋体" w:hint="eastAsia"/>
                <w:sz w:val="24"/>
                <w:szCs w:val="24"/>
              </w:rPr>
              <w:t>会</w:t>
            </w:r>
            <w:bookmarkStart w:id="0" w:name="_GoBack"/>
            <w:bookmarkEnd w:id="0"/>
          </w:p>
          <w:p w14:paraId="4CE4EC93" w14:textId="77777777" w:rsidR="005D1722" w:rsidRPr="006D3F94" w:rsidRDefault="005D1722">
            <w:pPr>
              <w:pStyle w:val="TableParagraph"/>
              <w:spacing w:before="8"/>
              <w:rPr>
                <w:rFonts w:ascii="宋体" w:eastAsia="宋体" w:hAnsi="宋体" w:cs="宋体"/>
                <w:sz w:val="24"/>
                <w:szCs w:val="24"/>
              </w:rPr>
            </w:pPr>
          </w:p>
          <w:p w14:paraId="0AE4DAC1" w14:textId="77777777" w:rsidR="005D1722" w:rsidRPr="006D3F94" w:rsidRDefault="00A3452E">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新</w:t>
            </w:r>
            <w:r w:rsidR="00481437" w:rsidRPr="006D3F94">
              <w:rPr>
                <w:rFonts w:ascii="宋体" w:eastAsia="宋体" w:hAnsi="宋体" w:cs="宋体" w:hint="eastAsia"/>
                <w:spacing w:val="-3"/>
                <w:sz w:val="24"/>
                <w:szCs w:val="24"/>
              </w:rPr>
              <w:t>闻</w:t>
            </w:r>
            <w:r w:rsidR="00481437" w:rsidRPr="006D3F94">
              <w:rPr>
                <w:rFonts w:ascii="宋体" w:eastAsia="宋体" w:hAnsi="宋体" w:cs="宋体" w:hint="eastAsia"/>
                <w:sz w:val="24"/>
                <w:szCs w:val="24"/>
              </w:rPr>
              <w:t>发</w:t>
            </w:r>
            <w:r w:rsidR="00481437" w:rsidRPr="006D3F94">
              <w:rPr>
                <w:rFonts w:ascii="宋体" w:eastAsia="宋体" w:hAnsi="宋体" w:cs="宋体" w:hint="eastAsia"/>
                <w:spacing w:val="-3"/>
                <w:sz w:val="24"/>
                <w:szCs w:val="24"/>
              </w:rPr>
              <w:t>布</w:t>
            </w:r>
            <w:r w:rsidR="00481437" w:rsidRPr="006D3F94">
              <w:rPr>
                <w:rFonts w:ascii="宋体" w:eastAsia="宋体" w:hAnsi="宋体" w:cs="宋体" w:hint="eastAsia"/>
                <w:sz w:val="24"/>
                <w:szCs w:val="24"/>
              </w:rPr>
              <w:t>会</w:t>
            </w:r>
            <w:r w:rsidR="00481437" w:rsidRPr="006D3F94">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路</w:t>
            </w:r>
            <w:r w:rsidR="00481437" w:rsidRPr="006D3F94">
              <w:rPr>
                <w:rFonts w:ascii="宋体" w:eastAsia="宋体" w:hAnsi="宋体" w:cs="宋体" w:hint="eastAsia"/>
                <w:spacing w:val="-3"/>
                <w:sz w:val="24"/>
                <w:szCs w:val="24"/>
              </w:rPr>
              <w:t>演</w:t>
            </w:r>
            <w:r w:rsidR="00481437" w:rsidRPr="006D3F94">
              <w:rPr>
                <w:rFonts w:ascii="宋体" w:eastAsia="宋体" w:hAnsi="宋体" w:cs="宋体" w:hint="eastAsia"/>
                <w:sz w:val="24"/>
                <w:szCs w:val="24"/>
              </w:rPr>
              <w:t>活动</w:t>
            </w:r>
          </w:p>
          <w:p w14:paraId="3385ACA5" w14:textId="77777777" w:rsidR="005D1722" w:rsidRPr="006D3F94" w:rsidRDefault="005D1722">
            <w:pPr>
              <w:pStyle w:val="TableParagraph"/>
              <w:spacing w:before="8"/>
              <w:rPr>
                <w:rFonts w:ascii="宋体" w:eastAsia="宋体" w:hAnsi="宋体" w:cs="宋体"/>
                <w:sz w:val="24"/>
                <w:szCs w:val="24"/>
              </w:rPr>
            </w:pPr>
          </w:p>
          <w:p w14:paraId="112A4F3C" w14:textId="77777777" w:rsidR="005D1722" w:rsidRPr="006D3F94" w:rsidRDefault="00A3452E">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现场参观</w:t>
            </w:r>
          </w:p>
          <w:p w14:paraId="6259143A" w14:textId="77777777" w:rsidR="005D1722" w:rsidRPr="006D3F94" w:rsidRDefault="005D1722">
            <w:pPr>
              <w:pStyle w:val="TableParagraph"/>
              <w:spacing w:before="11"/>
              <w:rPr>
                <w:rFonts w:ascii="宋体" w:eastAsia="宋体" w:hAnsi="宋体" w:cs="宋体"/>
                <w:sz w:val="24"/>
                <w:szCs w:val="24"/>
              </w:rPr>
            </w:pPr>
          </w:p>
          <w:p w14:paraId="1DAB0927" w14:textId="77777777" w:rsidR="005D1722" w:rsidRPr="006D3F94" w:rsidRDefault="00A3452E">
            <w:pPr>
              <w:pStyle w:val="TableParagraph"/>
              <w:ind w:left="107"/>
              <w:rPr>
                <w:rFonts w:ascii="宋体" w:eastAsia="宋体" w:hAnsi="宋体"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481437" w:rsidRPr="006D3F94">
                  <w:rPr>
                    <w:rFonts w:ascii="Segoe UI Symbol" w:eastAsia="宋体" w:hAnsi="Segoe UI Symbol" w:cs="Segoe UI Symbol"/>
                    <w:sz w:val="24"/>
                    <w:szCs w:val="24"/>
                  </w:rPr>
                  <w:t>☐</w:t>
                </w:r>
              </w:sdtContent>
            </w:sdt>
            <w:r w:rsidR="00481437" w:rsidRPr="006D3F94">
              <w:rPr>
                <w:rFonts w:ascii="宋体" w:eastAsia="宋体" w:hAnsi="宋体" w:cs="宋体" w:hint="eastAsia"/>
                <w:sz w:val="24"/>
                <w:szCs w:val="24"/>
              </w:rPr>
              <w:t>其他（</w:t>
            </w:r>
            <w:r w:rsidR="00481437" w:rsidRPr="006D3F94">
              <w:rPr>
                <w:rFonts w:ascii="宋体" w:eastAsia="宋体" w:hAnsi="宋体" w:cs="宋体" w:hint="eastAsia"/>
                <w:sz w:val="24"/>
                <w:szCs w:val="24"/>
                <w:u w:val="single"/>
              </w:rPr>
              <w:t>请文字说明其他活动内容）</w:t>
            </w:r>
          </w:p>
        </w:tc>
      </w:tr>
      <w:tr w:rsidR="005D1722" w14:paraId="70677D03" w14:textId="77777777">
        <w:trPr>
          <w:trHeight w:val="1120"/>
          <w:jc w:val="center"/>
        </w:trPr>
        <w:tc>
          <w:tcPr>
            <w:tcW w:w="2580" w:type="dxa"/>
            <w:vAlign w:val="center"/>
          </w:tcPr>
          <w:p w14:paraId="523303F0" w14:textId="77777777" w:rsidR="005D1722" w:rsidRPr="006D3F94" w:rsidRDefault="00481437">
            <w:pPr>
              <w:pStyle w:val="TableParagraph"/>
              <w:spacing w:line="560" w:lineRule="exact"/>
              <w:ind w:left="107" w:right="96"/>
              <w:rPr>
                <w:rFonts w:ascii="宋体" w:eastAsia="宋体" w:hAnsi="宋体" w:cs="宋体"/>
                <w:b/>
                <w:bCs/>
                <w:sz w:val="24"/>
                <w:szCs w:val="24"/>
              </w:rPr>
            </w:pPr>
            <w:r w:rsidRPr="006D3F94">
              <w:rPr>
                <w:rFonts w:ascii="宋体" w:eastAsia="宋体" w:hAnsi="宋体" w:cs="宋体" w:hint="eastAsia"/>
                <w:b/>
                <w:bCs/>
                <w:sz w:val="24"/>
                <w:szCs w:val="24"/>
              </w:rPr>
              <w:t>参与单位名称及人员姓名</w:t>
            </w:r>
          </w:p>
        </w:tc>
        <w:tc>
          <w:tcPr>
            <w:tcW w:w="5945" w:type="dxa"/>
            <w:vAlign w:val="center"/>
          </w:tcPr>
          <w:p w14:paraId="23D52C60" w14:textId="77777777" w:rsidR="005D1722" w:rsidRPr="006D3F94" w:rsidRDefault="00481437">
            <w:pPr>
              <w:pStyle w:val="TableParagraph"/>
              <w:spacing w:before="100" w:beforeAutospacing="1" w:line="360" w:lineRule="auto"/>
              <w:rPr>
                <w:rFonts w:ascii="宋体" w:eastAsia="宋体" w:hAnsi="宋体" w:cs="宋体"/>
                <w:sz w:val="24"/>
                <w:szCs w:val="24"/>
                <w:lang w:val="en-US"/>
              </w:rPr>
            </w:pPr>
            <w:r w:rsidRPr="006D3F94">
              <w:rPr>
                <w:rFonts w:ascii="宋体" w:eastAsia="宋体" w:hAnsi="宋体" w:cs="宋体" w:hint="eastAsia"/>
                <w:sz w:val="24"/>
                <w:szCs w:val="24"/>
                <w:lang w:val="en-US"/>
              </w:rPr>
              <w:t>线上参与公司2024年度暨2025年第一季度业绩说明会的全体投资者</w:t>
            </w:r>
          </w:p>
        </w:tc>
      </w:tr>
      <w:tr w:rsidR="005D1722" w14:paraId="3F54DA7F" w14:textId="77777777">
        <w:trPr>
          <w:trHeight w:val="558"/>
          <w:jc w:val="center"/>
        </w:trPr>
        <w:tc>
          <w:tcPr>
            <w:tcW w:w="2580" w:type="dxa"/>
            <w:vAlign w:val="center"/>
          </w:tcPr>
          <w:p w14:paraId="48212328" w14:textId="77777777" w:rsidR="005D1722" w:rsidRPr="006D3F94" w:rsidRDefault="00481437">
            <w:pPr>
              <w:pStyle w:val="TableParagraph"/>
              <w:ind w:left="107"/>
              <w:rPr>
                <w:rFonts w:ascii="宋体" w:eastAsia="宋体" w:hAnsi="宋体" w:cs="宋体"/>
                <w:b/>
                <w:bCs/>
                <w:sz w:val="24"/>
                <w:szCs w:val="24"/>
              </w:rPr>
            </w:pPr>
            <w:r w:rsidRPr="006D3F94">
              <w:rPr>
                <w:rFonts w:ascii="宋体" w:eastAsia="宋体" w:hAnsi="宋体" w:cs="宋体" w:hint="eastAsia"/>
                <w:b/>
                <w:bCs/>
                <w:sz w:val="24"/>
                <w:szCs w:val="24"/>
              </w:rPr>
              <w:t>时间</w:t>
            </w:r>
          </w:p>
        </w:tc>
        <w:tc>
          <w:tcPr>
            <w:tcW w:w="5945" w:type="dxa"/>
            <w:vAlign w:val="center"/>
          </w:tcPr>
          <w:p w14:paraId="72DC319A" w14:textId="77777777" w:rsidR="005D1722" w:rsidRPr="006D3F94" w:rsidRDefault="00481437">
            <w:pPr>
              <w:spacing w:before="100" w:beforeAutospacing="1" w:line="360" w:lineRule="auto"/>
              <w:rPr>
                <w:rFonts w:ascii="宋体" w:eastAsia="宋体" w:hAnsi="宋体"/>
                <w:sz w:val="24"/>
                <w:szCs w:val="24"/>
              </w:rPr>
            </w:pPr>
            <w:r w:rsidRPr="006D3F94">
              <w:rPr>
                <w:rFonts w:ascii="宋体" w:eastAsia="宋体" w:hAnsi="宋体" w:cstheme="minorEastAsia" w:hint="eastAsia"/>
                <w:sz w:val="24"/>
                <w:szCs w:val="24"/>
              </w:rPr>
              <w:t>2025年05月15日 10:00-11:00</w:t>
            </w:r>
          </w:p>
        </w:tc>
      </w:tr>
      <w:tr w:rsidR="005D1722" w14:paraId="17290777" w14:textId="77777777">
        <w:trPr>
          <w:trHeight w:val="561"/>
          <w:jc w:val="center"/>
        </w:trPr>
        <w:tc>
          <w:tcPr>
            <w:tcW w:w="2580" w:type="dxa"/>
            <w:vAlign w:val="center"/>
          </w:tcPr>
          <w:p w14:paraId="6E9007F6" w14:textId="77777777" w:rsidR="005D1722" w:rsidRPr="006D3F94" w:rsidRDefault="00481437">
            <w:pPr>
              <w:pStyle w:val="TableParagraph"/>
              <w:ind w:left="107"/>
              <w:rPr>
                <w:rFonts w:ascii="宋体" w:eastAsia="宋体" w:hAnsi="宋体" w:cs="宋体"/>
                <w:b/>
                <w:bCs/>
                <w:sz w:val="24"/>
                <w:szCs w:val="24"/>
              </w:rPr>
            </w:pPr>
            <w:r w:rsidRPr="006D3F94">
              <w:rPr>
                <w:rFonts w:ascii="宋体" w:eastAsia="宋体" w:hAnsi="宋体" w:cs="宋体" w:hint="eastAsia"/>
                <w:b/>
                <w:bCs/>
                <w:sz w:val="24"/>
                <w:szCs w:val="24"/>
              </w:rPr>
              <w:t>地点</w:t>
            </w:r>
          </w:p>
        </w:tc>
        <w:tc>
          <w:tcPr>
            <w:tcW w:w="5945" w:type="dxa"/>
            <w:vAlign w:val="center"/>
          </w:tcPr>
          <w:p w14:paraId="21B5B9E7" w14:textId="77777777" w:rsidR="005D1722" w:rsidRPr="006D3F94" w:rsidRDefault="00481437">
            <w:pPr>
              <w:pStyle w:val="TableParagraph"/>
              <w:spacing w:before="100" w:beforeAutospacing="1" w:line="360" w:lineRule="auto"/>
              <w:rPr>
                <w:rFonts w:ascii="宋体" w:eastAsia="宋体" w:hAnsi="宋体" w:cs="宋体"/>
                <w:sz w:val="24"/>
                <w:szCs w:val="24"/>
              </w:rPr>
            </w:pPr>
            <w:r w:rsidRPr="006D3F94">
              <w:rPr>
                <w:rFonts w:ascii="宋体" w:eastAsia="宋体" w:hAnsi="宋体" w:cs="宋体" w:hint="eastAsia"/>
                <w:sz w:val="24"/>
                <w:szCs w:val="24"/>
              </w:rPr>
              <w:t>价值在线（https://www.ir-online.cn/）网络互动</w:t>
            </w:r>
          </w:p>
        </w:tc>
      </w:tr>
      <w:tr w:rsidR="005D1722" w14:paraId="1353646B" w14:textId="77777777">
        <w:trPr>
          <w:trHeight w:val="558"/>
          <w:jc w:val="center"/>
        </w:trPr>
        <w:tc>
          <w:tcPr>
            <w:tcW w:w="2580" w:type="dxa"/>
            <w:vAlign w:val="center"/>
          </w:tcPr>
          <w:p w14:paraId="01D35FB5" w14:textId="77777777" w:rsidR="005D1722" w:rsidRPr="006D3F94" w:rsidRDefault="00481437">
            <w:pPr>
              <w:pStyle w:val="TableParagraph"/>
              <w:spacing w:before="1"/>
              <w:ind w:left="107"/>
              <w:rPr>
                <w:rFonts w:ascii="宋体" w:eastAsia="宋体" w:hAnsi="宋体" w:cs="宋体"/>
                <w:b/>
                <w:bCs/>
                <w:sz w:val="24"/>
                <w:szCs w:val="24"/>
              </w:rPr>
            </w:pPr>
            <w:r w:rsidRPr="006D3F94">
              <w:rPr>
                <w:rFonts w:ascii="宋体" w:eastAsia="宋体" w:hAnsi="宋体" w:cs="宋体" w:hint="eastAsia"/>
                <w:b/>
                <w:bCs/>
                <w:sz w:val="24"/>
                <w:szCs w:val="24"/>
              </w:rPr>
              <w:t>上市公司接待人员姓名</w:t>
            </w:r>
          </w:p>
        </w:tc>
        <w:tc>
          <w:tcPr>
            <w:tcW w:w="5945" w:type="dxa"/>
            <w:vAlign w:val="center"/>
          </w:tcPr>
          <w:p w14:paraId="0651718E" w14:textId="77777777" w:rsidR="005D1722" w:rsidRPr="006D3F94" w:rsidRDefault="00481437">
            <w:pPr>
              <w:pStyle w:val="TableParagraph"/>
              <w:spacing w:before="100" w:beforeAutospacing="1" w:line="360" w:lineRule="auto"/>
              <w:rPr>
                <w:rFonts w:ascii="宋体" w:eastAsia="宋体" w:hAnsi="宋体" w:cs="宋体"/>
                <w:sz w:val="24"/>
                <w:szCs w:val="24"/>
              </w:rPr>
            </w:pPr>
            <w:r w:rsidRPr="006D3F94">
              <w:rPr>
                <w:rFonts w:ascii="宋体" w:eastAsia="宋体" w:hAnsi="宋体" w:cs="宋体" w:hint="eastAsia"/>
                <w:sz w:val="24"/>
                <w:szCs w:val="24"/>
              </w:rPr>
              <w:t>董事长、总经理 黄志明</w:t>
            </w:r>
            <w:r w:rsidRPr="006D3F94">
              <w:rPr>
                <w:rFonts w:ascii="宋体" w:eastAsia="宋体" w:hAnsi="宋体" w:cs="宋体" w:hint="eastAsia"/>
                <w:sz w:val="24"/>
                <w:szCs w:val="24"/>
              </w:rPr>
              <w:br/>
              <w:t>副总经理、董事会秘书兼财务总监 黄峥嵘</w:t>
            </w:r>
            <w:r w:rsidRPr="006D3F94">
              <w:rPr>
                <w:rFonts w:ascii="宋体" w:eastAsia="宋体" w:hAnsi="宋体" w:cs="宋体" w:hint="eastAsia"/>
                <w:sz w:val="24"/>
                <w:szCs w:val="24"/>
              </w:rPr>
              <w:br/>
              <w:t>独立董事 朱燕建</w:t>
            </w:r>
          </w:p>
        </w:tc>
      </w:tr>
      <w:tr w:rsidR="005D1722" w14:paraId="63BC51C0" w14:textId="77777777" w:rsidTr="00247C20">
        <w:trPr>
          <w:trHeight w:val="1124"/>
          <w:jc w:val="center"/>
        </w:trPr>
        <w:tc>
          <w:tcPr>
            <w:tcW w:w="2580" w:type="dxa"/>
          </w:tcPr>
          <w:p w14:paraId="24F8B857" w14:textId="77777777" w:rsidR="005D1722" w:rsidRPr="006D3F94" w:rsidRDefault="005D1722">
            <w:pPr>
              <w:pStyle w:val="TableParagraph"/>
              <w:rPr>
                <w:rFonts w:ascii="宋体" w:eastAsia="宋体" w:hAnsi="宋体" w:cs="宋体"/>
                <w:b/>
                <w:bCs/>
                <w:sz w:val="24"/>
                <w:szCs w:val="24"/>
              </w:rPr>
            </w:pPr>
          </w:p>
          <w:p w14:paraId="1DE7AFF8" w14:textId="77777777" w:rsidR="005D1722" w:rsidRPr="006D3F94" w:rsidRDefault="005D1722">
            <w:pPr>
              <w:pStyle w:val="TableParagraph"/>
              <w:rPr>
                <w:rFonts w:ascii="宋体" w:eastAsia="宋体" w:hAnsi="宋体" w:cs="宋体"/>
                <w:b/>
                <w:bCs/>
                <w:sz w:val="24"/>
                <w:szCs w:val="24"/>
              </w:rPr>
            </w:pPr>
          </w:p>
          <w:p w14:paraId="3EE3B455" w14:textId="77777777" w:rsidR="005D1722" w:rsidRPr="006D3F94" w:rsidRDefault="005D1722">
            <w:pPr>
              <w:pStyle w:val="TableParagraph"/>
              <w:spacing w:before="5"/>
              <w:rPr>
                <w:rFonts w:ascii="宋体" w:eastAsia="宋体" w:hAnsi="宋体" w:cs="宋体"/>
                <w:b/>
                <w:bCs/>
                <w:sz w:val="24"/>
                <w:szCs w:val="24"/>
              </w:rPr>
            </w:pPr>
          </w:p>
          <w:p w14:paraId="0E683F93" w14:textId="77777777" w:rsidR="005D1722" w:rsidRPr="006D3F94" w:rsidRDefault="00481437">
            <w:pPr>
              <w:pStyle w:val="TableParagraph"/>
              <w:spacing w:before="1" w:line="499" w:lineRule="auto"/>
              <w:ind w:left="107" w:right="96"/>
              <w:rPr>
                <w:rFonts w:ascii="宋体" w:eastAsia="宋体" w:hAnsi="宋体" w:cs="宋体"/>
                <w:b/>
                <w:bCs/>
                <w:sz w:val="24"/>
                <w:szCs w:val="24"/>
              </w:rPr>
            </w:pPr>
            <w:r w:rsidRPr="006D3F94">
              <w:rPr>
                <w:rFonts w:ascii="宋体" w:eastAsia="宋体" w:hAnsi="宋体" w:cs="宋体" w:hint="eastAsia"/>
                <w:b/>
                <w:bCs/>
                <w:sz w:val="24"/>
                <w:szCs w:val="24"/>
              </w:rPr>
              <w:t>投资者关系活动主要内容介绍</w:t>
            </w:r>
          </w:p>
        </w:tc>
        <w:tc>
          <w:tcPr>
            <w:tcW w:w="5945" w:type="dxa"/>
          </w:tcPr>
          <w:p w14:paraId="378CBB7B" w14:textId="2D013713" w:rsidR="000E062A" w:rsidRPr="006D3F94" w:rsidRDefault="00481437" w:rsidP="00CC71C9">
            <w:pPr>
              <w:pStyle w:val="TableParagraph"/>
              <w:spacing w:line="360" w:lineRule="auto"/>
              <w:ind w:firstLine="420"/>
              <w:jc w:val="both"/>
              <w:rPr>
                <w:rFonts w:ascii="宋体" w:eastAsia="宋体" w:hAnsi="宋体" w:cs="宋体"/>
                <w:sz w:val="24"/>
                <w:szCs w:val="24"/>
              </w:rPr>
            </w:pPr>
            <w:r w:rsidRPr="006D3F94">
              <w:rPr>
                <w:rFonts w:ascii="宋体" w:eastAsia="宋体" w:hAnsi="宋体" w:cs="宋体" w:hint="eastAsia"/>
                <w:b/>
                <w:sz w:val="24"/>
                <w:szCs w:val="24"/>
              </w:rPr>
              <w:t>1.请介绍下公司2025年经营计划？</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2025年，公司将以价值创造为导向，推进“以客户为中心”的重大改革。一是重塑价值理念。“以客户为中心就是以发展为中心”。它的底层逻辑是价值增量的概念，从“销售思维”转向“价值共创”，公司将实现从“客户跟着牌照走”到“牌照跟着客户走”的变革，将客户的需求与永安的发展有机统一起来，实现质量变革、效率变革、动力变革。二是重塑战略体系。聚焦“行业领先、独</w:t>
            </w:r>
            <w:r w:rsidRPr="006D3F94">
              <w:rPr>
                <w:rFonts w:ascii="宋体" w:eastAsia="宋体" w:hAnsi="宋体" w:cs="宋体" w:hint="eastAsia"/>
                <w:sz w:val="24"/>
                <w:szCs w:val="24"/>
              </w:rPr>
              <w:lastRenderedPageBreak/>
              <w:t>具特色的衍生品投行”的战略目标，公司以大宗商品投行、大类资产配置、境外综合金融服务为战略板块，在总部打造产融服务中心、财富服务中心、客户服务中心、投研中心等业务中台，将各业务单元和分支机构打造成独当一面、独具特色的“小永安”，为客户提供好产品、好策略、好服务、好投研。三是重塑服务能力。立足期货和衍生品专长，公司将开展生态建设协同工程，打造多维度、立体式的业务生态，针对不同类型、不同发展阶段的客户，提供差异化、精准化的服务。同时，永安期货将迭代打造“永动企航2.0”产业服务品牌、“永安财富”财富服务品牌，以首席投教官“安仔”等更年轻化、更具活力的品牌形象，不断拉近与客户的距离，增强品牌亲和力和认知度。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2.目前，公司的股东户数是多少？</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答:截至2025年3月31日，公司的股东户数为33,924。谢谢！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3.公司2024年的经营情况如何？</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答:公司2024年实现营业收入217.35亿元，归属于上市公司股东的净利润5.75亿元，公司继续保持 AA 最高行业监管评级，实现乡村振兴（扶贫）八连冠。2024年，公司积极布局投资业务，优化资产配置，收益率高于行业平均水平；经纪业务客户权益稳步攀升达470.57亿元，较上年末同比增长7%；境外新永安公司保持稳定增长，净利润创历史新高；永安资本公司业务收入达201.42亿元，基差贸易业务收入、期货做市成交量和成交额均排名行业第一。</w:t>
            </w:r>
          </w:p>
          <w:p w14:paraId="15001021" w14:textId="77777777" w:rsidR="000E062A" w:rsidRPr="006D3F94" w:rsidRDefault="00481437" w:rsidP="00CC71C9">
            <w:pPr>
              <w:pStyle w:val="TableParagraph"/>
              <w:spacing w:line="360" w:lineRule="auto"/>
              <w:ind w:firstLine="420"/>
              <w:jc w:val="both"/>
              <w:rPr>
                <w:rFonts w:ascii="宋体" w:eastAsia="宋体" w:hAnsi="宋体" w:cs="宋体"/>
                <w:sz w:val="24"/>
                <w:szCs w:val="24"/>
              </w:rPr>
            </w:pPr>
            <w:r w:rsidRPr="006D3F94">
              <w:rPr>
                <w:rFonts w:ascii="宋体" w:eastAsia="宋体" w:hAnsi="宋体" w:cs="宋体" w:hint="eastAsia"/>
                <w:sz w:val="24"/>
                <w:szCs w:val="24"/>
              </w:rPr>
              <w:t>下一步，公司将以价值创造为导向，推进“以客户为中心”的重大改革，重塑运营体系，推进“产业服务中台、财富生态平台、跨境服务中心和业务单元管理中台”四大中台建设，统筹各自业务板块，以增量为重点，从存量客</w:t>
            </w:r>
            <w:r w:rsidRPr="006D3F94">
              <w:rPr>
                <w:rFonts w:ascii="宋体" w:eastAsia="宋体" w:hAnsi="宋体" w:cs="宋体" w:hint="eastAsia"/>
                <w:sz w:val="24"/>
                <w:szCs w:val="24"/>
              </w:rPr>
              <w:lastRenderedPageBreak/>
              <w:t>户挖掘增量，从增量客户拓展新的增量，努力提升业绩水平。此外，公司正在加快布局新的业务领域，比如网络金融业务、固定收益投资业务及英国子公司筹建展业等，进一步开拓公司板块领域，完善公司业务体系。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4.了解到公司已获得新交所衍生品清算会员资格，请问这对公司境外业务有什么影响吗?公司境外业务的其他布局有哪些？</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目前，公司可直接与新交所就衍生品交易开展清算业务，并可代理开展相关清算业务。获得新交所衍生品清算会员资格不仅标志着永安期货的合规与风控能力得到国际认可，有助于吸引全球机构客户，还将赋能公司辐射区域客户，增强跨境服务能力，加速国际化战略落地。</w:t>
            </w:r>
          </w:p>
          <w:p w14:paraId="4D045FB7" w14:textId="77777777" w:rsidR="002274DE" w:rsidRPr="006D3F94" w:rsidRDefault="00481437" w:rsidP="00CC71C9">
            <w:pPr>
              <w:pStyle w:val="TableParagraph"/>
              <w:spacing w:line="360" w:lineRule="auto"/>
              <w:ind w:firstLine="420"/>
              <w:jc w:val="both"/>
              <w:rPr>
                <w:rFonts w:ascii="宋体" w:eastAsia="宋体" w:hAnsi="宋体" w:cs="宋体"/>
                <w:sz w:val="24"/>
                <w:szCs w:val="24"/>
              </w:rPr>
            </w:pPr>
            <w:r w:rsidRPr="006D3F94">
              <w:rPr>
                <w:rFonts w:ascii="宋体" w:eastAsia="宋体" w:hAnsi="宋体" w:cs="宋体" w:hint="eastAsia"/>
                <w:sz w:val="24"/>
                <w:szCs w:val="24"/>
              </w:rPr>
              <w:t>此外，为进一步深化公司国际化发展战略，巩固公司国际化发展先发优势，公司拟向全资子公司新永安金控增资并在英国设立子公司，通过“人财撬动、跨境联动、产融带动、数智驱动”的四驱发展模式，打响“私募出海找永安，全球资配找永安，产业跨境找永安”的跨境服务品牌。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5.请问公司第一季度业绩下滑的主要原因是什么？</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2025年一季度利润出现波动，主要是子公司永安资本于2023年开展的部分存续场外衍生品业务受一季度市场重大行情波动不利影响，产生了部分亏损。目前,该类存量业务已基本了结，风险敞口已有效释放。2025年第一季度，公司其他主要业务板块表现良好，经纪业务、基差贸易业务、财富业务相关指标均有显著增长，境外业务板块保持基本稳定，公司对未来业绩充满信心。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6.公司一季度营收下降的原因？</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答:根据中国期货业协会2024年11月15日发布的《期货风险管理公司大宗商品风险管理业务管理规则》，公司</w:t>
            </w:r>
            <w:r w:rsidRPr="006D3F94">
              <w:rPr>
                <w:rFonts w:ascii="宋体" w:eastAsia="宋体" w:hAnsi="宋体" w:cs="宋体" w:hint="eastAsia"/>
                <w:sz w:val="24"/>
                <w:szCs w:val="24"/>
              </w:rPr>
              <w:lastRenderedPageBreak/>
              <w:t>自2025年1月1日起对同一交易日内签署采购和销售合同等六大类贸易类业务采用净额法确认收入。该调整仅影响财务报表中营业收入及营业支出按净额列支的统计口径，对业务盈亏没有影响。若按照前述管理规则要求，2024年一季度可比口径营业收入为27.48亿元，同比下降17.13%。此外，基差贸易的损益源自于包括衍生品业务损益、现货贸易损益在内的业务组合的综合结果，需要结合多个科目综合分析，单一的业务收入指标无法准确衡量业务开展情况。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7.请问公司的境外金融服务业务怎么样？</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公司通过新永安金控及其子公司开展境外金融服务业务，围绕三大业务平台持续发力，搭建跨境桥梁，为境内外客户“走出去、引进来”提供双向一站式服务。2006年，公司率先在香港设立分支机构，叩响境外市场大门。从单一经纪业务到全牌照运营，从期货工具应用到跨境资产配置，公司逐步构建起以中国香港、新加坡为核心的“双轮驱动”格局，依托全球化交易平台，稳步推进大宗商品、股指期货及外汇衍生品等多元化境外业务的发展，成为推动公司利润增长的新引擎。截至目前，永安期货在境外的净资产总额超过2.29亿美元，并全面持有期货、证券、资产管理、清算等全牌照，在境外金融市场中的综合实力显著提升。2024年，境外金融服务业务再创新高，实现营业收入4.30亿元，营业利润1.46 亿元，分别同比增长 51.06%和6.67%，在上市期货公司中排名前列。谢谢！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8.目前国资委全力支持央企控股上市公司不断加大增持回购力度，请问公司董事长本次提议回购股份的具体目的和原因是什么？</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答:基于对公司未来发展的信心和对公司价值的认可，为维护全体股东利益，增强投资者信心，公司董事长</w:t>
            </w:r>
            <w:r w:rsidRPr="006D3F94">
              <w:rPr>
                <w:rFonts w:ascii="宋体" w:eastAsia="宋体" w:hAnsi="宋体" w:cs="宋体" w:hint="eastAsia"/>
                <w:sz w:val="24"/>
                <w:szCs w:val="24"/>
              </w:rPr>
              <w:lastRenderedPageBreak/>
              <w:t>黄志明先生提议公司通过集中竞价交易方式回购公司部分股份，以更好地维护公司价值与股东权益。虽然净资本对于金融企业是非常重要的资源，但为体现公司维护市值的决心，公司拟出资0.5亿元-1亿元回购公司股份，后续用于注销，直接提升每股收益与股东回报，向市场传递积极信号。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9.请问如何看待全国首个大宗商品资源配置枢纽落地浙江？</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2024年11月，商务部、浙江省人民政府联合印发的《中国（浙江）自由贸易试验区大宗商品资源配置枢纽建设方案》提出，到2030年，自贸区大宗商品资源配置能力和产业链供应链保障能力显著提升，初步建成功能完备的大宗商品储运、加工、海事服务基地和贸易、交易中心，打造具有区域竞争力和国际影响力的大宗商品资源配置枢纽。</w:t>
            </w:r>
          </w:p>
          <w:p w14:paraId="0E82B47E" w14:textId="77777777" w:rsidR="00B13CD0" w:rsidRPr="006D3F94" w:rsidRDefault="00481437" w:rsidP="00CC71C9">
            <w:pPr>
              <w:pStyle w:val="TableParagraph"/>
              <w:spacing w:line="360" w:lineRule="auto"/>
              <w:ind w:firstLine="420"/>
              <w:jc w:val="both"/>
              <w:rPr>
                <w:rFonts w:ascii="宋体" w:eastAsia="宋体" w:hAnsi="宋体" w:cs="宋体"/>
                <w:sz w:val="24"/>
                <w:szCs w:val="24"/>
              </w:rPr>
            </w:pPr>
            <w:r w:rsidRPr="006D3F94">
              <w:rPr>
                <w:rFonts w:ascii="宋体" w:eastAsia="宋体" w:hAnsi="宋体" w:cs="宋体" w:hint="eastAsia"/>
                <w:sz w:val="24"/>
                <w:szCs w:val="24"/>
              </w:rPr>
              <w:t>公司是浙江大宗商品资源配置枢纽建设的见证者和积极参与者。早在2003年，公司通过参股设立浙江中邦实业发展有限公司，率先探索风险管理业务，并于2013年全资设立浙江永安资本管理有限公司。多年来，公司整合商品流、资金流、信息流，在全市场持续推动包括基差贸易、合作套保、场外衍生品、贸易商厂库等在内的各项风险管理业务发展。在浙江舟山，公司设立分公司和子公司永安国油，积极参与自贸区油气建设，实现了多项业务突破。公司充分利用上期所燃油期货品种，结合新加坡380燃料油纸货等期货工具，为自贸区企业提供高硫燃料油现货购销服务，打造“海上加油站”。</w:t>
            </w:r>
          </w:p>
          <w:p w14:paraId="29A8C18F" w14:textId="2D57707A" w:rsidR="002274DE" w:rsidRPr="006D3F94" w:rsidRDefault="00481437" w:rsidP="00CC71C9">
            <w:pPr>
              <w:pStyle w:val="TableParagraph"/>
              <w:spacing w:line="360" w:lineRule="auto"/>
              <w:ind w:firstLine="420"/>
              <w:jc w:val="both"/>
              <w:rPr>
                <w:rFonts w:ascii="宋体" w:eastAsia="宋体" w:hAnsi="宋体" w:cs="宋体"/>
                <w:sz w:val="24"/>
                <w:szCs w:val="24"/>
              </w:rPr>
            </w:pPr>
            <w:r w:rsidRPr="006D3F94">
              <w:rPr>
                <w:rFonts w:ascii="宋体" w:eastAsia="宋体" w:hAnsi="宋体" w:cs="宋体" w:hint="eastAsia"/>
                <w:sz w:val="24"/>
                <w:szCs w:val="24"/>
              </w:rPr>
              <w:t>建设大宗商品资源配置枢纽，将提升现货市场活跃度，推动大宗商品现货贸易的规模化、标准化,带动仓储、物流、保税交易等环节的整合，带来上游期货品种及下游</w:t>
            </w:r>
            <w:r w:rsidRPr="006D3F94">
              <w:rPr>
                <w:rFonts w:ascii="宋体" w:eastAsia="宋体" w:hAnsi="宋体" w:cs="宋体" w:hint="eastAsia"/>
                <w:sz w:val="24"/>
                <w:szCs w:val="24"/>
              </w:rPr>
              <w:lastRenderedPageBreak/>
              <w:t>衍生品需求增长，激发企业对套期保值、价格风险管理需求，为公司发展带来多重利好。公司将紧抓枢纽建设契机，依托本地化资源，与地方政府、交易所、产业链企业形成深度合作，积极参与枢纽建设，协助浙江省委省政府打造大宗商品数智化平台，推进大宗商品销售、储备、仓单确权体系等方面的战略举措，力争将相关利好最终转化为公司业绩。 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10.公司在AI上的布局情况如何？</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答:近年来，公司聚焦数智变革和金融科技创新，逐步形成了“永安期货APP”“私募线上化”“监督一张网”“公司一本账”等一系列成果。其中，借助AI大模型力量开发的 “烽燧·监督一张网”项目荣获央行2023年度金融科技发展二等奖。</w:t>
            </w:r>
          </w:p>
          <w:p w14:paraId="7F906723" w14:textId="77777777" w:rsidR="002274DE" w:rsidRPr="006D3F94" w:rsidRDefault="00481437" w:rsidP="00CC71C9">
            <w:pPr>
              <w:pStyle w:val="TableParagraph"/>
              <w:spacing w:line="360" w:lineRule="auto"/>
              <w:ind w:firstLine="420"/>
              <w:jc w:val="both"/>
              <w:rPr>
                <w:rFonts w:ascii="宋体" w:eastAsia="宋体" w:hAnsi="宋体" w:cs="宋体"/>
                <w:sz w:val="24"/>
                <w:szCs w:val="24"/>
              </w:rPr>
            </w:pPr>
            <w:r w:rsidRPr="006D3F94">
              <w:rPr>
                <w:rFonts w:ascii="宋体" w:eastAsia="宋体" w:hAnsi="宋体" w:cs="宋体" w:hint="eastAsia"/>
                <w:sz w:val="24"/>
                <w:szCs w:val="24"/>
              </w:rPr>
              <w:t>AI大模型应用落地的关键在于“模型能力+私有数据+应用场景”的有机结合。公司数字化改革启动早，积累了丰富的数据资产，为AI大模型应用奠定了坚实基础。2024年，公司在产业链投研、智能数据提取及技术开发等领域，接入并测试了包括Deepseek、字节豆包等在内的多个国内外主流大模型，取得了良好的效果。</w:t>
            </w:r>
          </w:p>
          <w:p w14:paraId="020B8D08" w14:textId="584C3B6B" w:rsidR="005D1722" w:rsidRPr="006D3F94" w:rsidRDefault="00481437" w:rsidP="00CC71C9">
            <w:pPr>
              <w:pStyle w:val="TableParagraph"/>
              <w:spacing w:line="360" w:lineRule="auto"/>
              <w:ind w:firstLine="420"/>
              <w:jc w:val="both"/>
              <w:rPr>
                <w:rFonts w:ascii="宋体" w:eastAsia="宋体" w:hAnsi="宋体" w:cs="宋体"/>
                <w:sz w:val="24"/>
                <w:szCs w:val="24"/>
              </w:rPr>
            </w:pPr>
            <w:r w:rsidRPr="006D3F94">
              <w:rPr>
                <w:rFonts w:ascii="宋体" w:eastAsia="宋体" w:hAnsi="宋体" w:cs="宋体" w:hint="eastAsia"/>
                <w:sz w:val="24"/>
                <w:szCs w:val="24"/>
              </w:rPr>
              <w:t>未来，公司计划在服务客户、赋能员工和重塑投研能力三大应用场景上落地。一是整合客户服务能力，提升客户服务水平，以“安仔智答”为抓手，依托大语言模型，以智能客服的方式提供全天候的专业咨询和服务；二是为每个员工配置“安仔智助”，针对各类岗位提供专业AI助手，重构员工的工作方式；三是建立智能研究体系“源点智研”，在现有的研究体系和海量的研究数据基础上，利用AI大模型自动推理构建产业链投资研究体系，赋能公司各项主流业务。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11.请问公司如何践行可持续发展理念，在ESG治理</w:t>
            </w:r>
            <w:r w:rsidRPr="006D3F94">
              <w:rPr>
                <w:rFonts w:ascii="宋体" w:eastAsia="宋体" w:hAnsi="宋体" w:cs="宋体" w:hint="eastAsia"/>
                <w:b/>
                <w:sz w:val="24"/>
                <w:szCs w:val="24"/>
              </w:rPr>
              <w:lastRenderedPageBreak/>
              <w:t>发展上有哪些举措？</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ESG是一项关乎公司高质量、可持续发展的长效工作，体现了公司长期主义的价值取向。近年来，公司积极践行可持续发展理念，从理念、体系和能力三个方面变革重塑。一是重塑ESG发展理念。公司将深化研究，探索制定切合公司实际的可持续发展理念和模型，打造行业领先、独具特色的ESG品牌。二是重塑ESG管理体系。公司升级ESG组织架构，于2025年4月将董事会“战略发展委员会”调整为“战略与可持续发展委员会”，公司将在此基础上持续优化ESG工作机制，完善ESG配套制度，规范ESG治理体系。三是重塑ESG治理能力。ESG信息披露是公司治理能力的外化表现，公司积极参照交易所新规，梳理了可持续发展报告的编制体系，从“治理”“战略”“影响、风险和机遇管理”“指标与目标”4个维度强化可持续发展管理，结合公司特色介绍了稳健经营、绿色创新、服务实体、以人为本和社会民生5个方面的落地实践，并于2025年4月发布公司首个可持续发展报告。谢谢！</w:t>
            </w:r>
            <w:r w:rsidRPr="006D3F94">
              <w:rPr>
                <w:rFonts w:ascii="宋体" w:eastAsia="宋体" w:hAnsi="宋体" w:cs="宋体" w:hint="eastAsia"/>
                <w:sz w:val="24"/>
                <w:szCs w:val="24"/>
              </w:rPr>
              <w:br/>
            </w:r>
            <w:r w:rsidRPr="006D3F94">
              <w:rPr>
                <w:rFonts w:ascii="宋体" w:eastAsia="宋体" w:hAnsi="宋体" w:cs="宋体" w:hint="eastAsia"/>
                <w:b/>
                <w:sz w:val="24"/>
                <w:szCs w:val="24"/>
              </w:rPr>
              <w:t xml:space="preserve">    12.财通证券作为贵公司第一大股东，他的股份质押对贵公司股价有何影响？</w:t>
            </w:r>
            <w:r w:rsidRPr="006D3F94">
              <w:rPr>
                <w:rFonts w:ascii="宋体" w:eastAsia="宋体" w:hAnsi="宋体" w:cs="宋体" w:hint="eastAsia"/>
                <w:b/>
                <w:sz w:val="24"/>
                <w:szCs w:val="24"/>
              </w:rPr>
              <w:br/>
            </w:r>
            <w:r w:rsidRPr="006D3F94">
              <w:rPr>
                <w:rFonts w:ascii="宋体" w:eastAsia="宋体" w:hAnsi="宋体" w:cs="宋体" w:hint="eastAsia"/>
                <w:sz w:val="24"/>
                <w:szCs w:val="24"/>
              </w:rPr>
              <w:t xml:space="preserve">    答:财通证券参与互换便利业务旨在发挥金融机构专业作用，使用互换便利获得的资金进一步增持股票和股票ETF，助力资本市场健康稳定发展。谢谢！</w:t>
            </w:r>
          </w:p>
        </w:tc>
      </w:tr>
    </w:tbl>
    <w:p w14:paraId="2282EF74" w14:textId="77777777" w:rsidR="005D1722" w:rsidRDefault="005D1722">
      <w:pPr>
        <w:rPr>
          <w:rFonts w:ascii="宋体" w:eastAsia="宋体" w:hAnsi="宋体" w:cs="宋体"/>
          <w:sz w:val="28"/>
          <w:szCs w:val="36"/>
        </w:rPr>
      </w:pPr>
    </w:p>
    <w:sectPr w:rsidR="005D1722">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A03C" w14:textId="77777777" w:rsidR="00A3452E" w:rsidRDefault="00A3452E" w:rsidP="00FE3E51">
      <w:r>
        <w:separator/>
      </w:r>
    </w:p>
  </w:endnote>
  <w:endnote w:type="continuationSeparator" w:id="0">
    <w:p w14:paraId="4CA4F9C6" w14:textId="77777777" w:rsidR="00A3452E" w:rsidRDefault="00A3452E" w:rsidP="00FE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C58CC" w14:textId="77777777" w:rsidR="00A3452E" w:rsidRDefault="00A3452E" w:rsidP="00FE3E51">
      <w:r>
        <w:separator/>
      </w:r>
    </w:p>
  </w:footnote>
  <w:footnote w:type="continuationSeparator" w:id="0">
    <w:p w14:paraId="5CB6A2E9" w14:textId="77777777" w:rsidR="00A3452E" w:rsidRDefault="00A3452E" w:rsidP="00FE3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6F4"/>
    <w:rsid w:val="00053CFA"/>
    <w:rsid w:val="000633EC"/>
    <w:rsid w:val="00063804"/>
    <w:rsid w:val="000665A2"/>
    <w:rsid w:val="000877AB"/>
    <w:rsid w:val="000B7C08"/>
    <w:rsid w:val="000D12CF"/>
    <w:rsid w:val="000D2D88"/>
    <w:rsid w:val="000E062A"/>
    <w:rsid w:val="000E4B20"/>
    <w:rsid w:val="0011418F"/>
    <w:rsid w:val="00172C24"/>
    <w:rsid w:val="00173124"/>
    <w:rsid w:val="001E59D1"/>
    <w:rsid w:val="001E5EA4"/>
    <w:rsid w:val="002042A7"/>
    <w:rsid w:val="00205911"/>
    <w:rsid w:val="002146AD"/>
    <w:rsid w:val="002274DE"/>
    <w:rsid w:val="00247C20"/>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81437"/>
    <w:rsid w:val="004925E7"/>
    <w:rsid w:val="00495B11"/>
    <w:rsid w:val="004F6FF3"/>
    <w:rsid w:val="00571B49"/>
    <w:rsid w:val="005743AE"/>
    <w:rsid w:val="005D1722"/>
    <w:rsid w:val="005D64CA"/>
    <w:rsid w:val="005E5717"/>
    <w:rsid w:val="005E6DB2"/>
    <w:rsid w:val="0061433E"/>
    <w:rsid w:val="0062751D"/>
    <w:rsid w:val="006354AA"/>
    <w:rsid w:val="00641FFF"/>
    <w:rsid w:val="00661AFA"/>
    <w:rsid w:val="006726BF"/>
    <w:rsid w:val="00677B77"/>
    <w:rsid w:val="0068718A"/>
    <w:rsid w:val="006A2739"/>
    <w:rsid w:val="006B5C95"/>
    <w:rsid w:val="006D3F94"/>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3452E"/>
    <w:rsid w:val="00A527AA"/>
    <w:rsid w:val="00A5684D"/>
    <w:rsid w:val="00A75C61"/>
    <w:rsid w:val="00A9601B"/>
    <w:rsid w:val="00AD100E"/>
    <w:rsid w:val="00AE1E36"/>
    <w:rsid w:val="00AF74AA"/>
    <w:rsid w:val="00B03C2F"/>
    <w:rsid w:val="00B13CD0"/>
    <w:rsid w:val="00B15064"/>
    <w:rsid w:val="00B340A3"/>
    <w:rsid w:val="00B410F5"/>
    <w:rsid w:val="00B6280C"/>
    <w:rsid w:val="00B671A4"/>
    <w:rsid w:val="00B72CD4"/>
    <w:rsid w:val="00B85B00"/>
    <w:rsid w:val="00BF132F"/>
    <w:rsid w:val="00C13878"/>
    <w:rsid w:val="00CA1705"/>
    <w:rsid w:val="00CC71C9"/>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E3E51"/>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4FA54772"/>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AC32B"/>
  <w15:docId w15:val="{E1270E0F-3E2F-4792-AACA-25D95D7F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401C-104A-472D-A10B-A3E02189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syw</cp:lastModifiedBy>
  <cp:revision>10</cp:revision>
  <dcterms:created xsi:type="dcterms:W3CDTF">2022-04-12T06:10:00Z</dcterms:created>
  <dcterms:modified xsi:type="dcterms:W3CDTF">2025-05-15T07:58:00Z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eyJoZGlkIjoiODRlYzcyYjBhYjdiNDQ2NjdiODY5YmM2NjQ0YWRiYTUiLCJ1c2VySWQiOiIzNzg0MjgzNjQifQ==</vt:lpwstr>
  </property>
</Properties>
</file>