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D07" w:rsidRDefault="00F33FF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证券代码：</w:t>
      </w:r>
      <w:r>
        <w:rPr>
          <w:rFonts w:hint="eastAsia"/>
          <w:sz w:val="24"/>
          <w:szCs w:val="24"/>
        </w:rPr>
        <w:t xml:space="preserve">601375                                  </w:t>
      </w:r>
      <w:r>
        <w:rPr>
          <w:rFonts w:hint="eastAsia"/>
          <w:sz w:val="24"/>
          <w:szCs w:val="24"/>
        </w:rPr>
        <w:t>证券简称：中原证券</w:t>
      </w:r>
    </w:p>
    <w:p w:rsidR="00015D07" w:rsidRDefault="00015D07">
      <w:pPr>
        <w:jc w:val="left"/>
        <w:rPr>
          <w:sz w:val="24"/>
          <w:szCs w:val="24"/>
        </w:rPr>
      </w:pPr>
    </w:p>
    <w:p w:rsidR="00015D07" w:rsidRDefault="00F33FFB">
      <w:pPr>
        <w:jc w:val="center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中原证券股份有限公司</w:t>
      </w:r>
      <w:r>
        <w:rPr>
          <w:rFonts w:ascii="黑体" w:eastAsia="黑体" w:hAnsi="黑体" w:hint="eastAsia"/>
          <w:bCs/>
          <w:sz w:val="36"/>
          <w:szCs w:val="36"/>
        </w:rPr>
        <w:t>接待机构调研记录</w:t>
      </w:r>
    </w:p>
    <w:p w:rsidR="00015D07" w:rsidRDefault="00F33FFB">
      <w:pPr>
        <w:jc w:val="center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 xml:space="preserve">                                                          </w:t>
      </w:r>
    </w:p>
    <w:p w:rsidR="00015D07" w:rsidRDefault="00F33FFB">
      <w:pPr>
        <w:spacing w:line="360" w:lineRule="auto"/>
        <w:ind w:rightChars="-162" w:right="-340"/>
        <w:jc w:val="center"/>
        <w:rPr>
          <w:rFonts w:ascii="黑体" w:eastAsia="黑体" w:hAnsi="黑体"/>
          <w:sz w:val="11"/>
          <w:szCs w:val="11"/>
        </w:rPr>
      </w:pPr>
      <w:r>
        <w:rPr>
          <w:rFonts w:ascii="黑体" w:eastAsia="黑体" w:hAnsi="黑体" w:hint="eastAsia"/>
          <w:szCs w:val="21"/>
        </w:rPr>
        <w:t xml:space="preserve">                                                          编号：</w:t>
      </w:r>
    </w:p>
    <w:tbl>
      <w:tblPr>
        <w:tblStyle w:val="a5"/>
        <w:tblW w:w="9039" w:type="dxa"/>
        <w:jc w:val="center"/>
        <w:tblLook w:val="04A0" w:firstRow="1" w:lastRow="0" w:firstColumn="1" w:lastColumn="0" w:noHBand="0" w:noVBand="1"/>
      </w:tblPr>
      <w:tblGrid>
        <w:gridCol w:w="1951"/>
        <w:gridCol w:w="7088"/>
      </w:tblGrid>
      <w:tr w:rsidR="00015D07">
        <w:trPr>
          <w:jc w:val="center"/>
        </w:trPr>
        <w:tc>
          <w:tcPr>
            <w:tcW w:w="1951" w:type="dxa"/>
            <w:vAlign w:val="center"/>
          </w:tcPr>
          <w:p w:rsidR="00015D07" w:rsidRDefault="00F33FFB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调研形式</w:t>
            </w:r>
          </w:p>
        </w:tc>
        <w:tc>
          <w:tcPr>
            <w:tcW w:w="7088" w:type="dxa"/>
          </w:tcPr>
          <w:p w:rsidR="00015D07" w:rsidRDefault="00F33FFB">
            <w:pPr>
              <w:spacing w:before="100" w:beforeAutospacing="1" w:after="100" w:afterAutospacing="1"/>
              <w:ind w:left="-60"/>
              <w:jc w:val="left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eastAsia="宋体" w:hAnsi="宋体" w:cs="宋体"/>
                <w:kern w:val="0"/>
                <w:szCs w:val="21"/>
              </w:rPr>
              <w:t>公司现场接待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257175" cy="209550"/>
                  <wp:effectExtent l="0" t="0" r="952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宋体"/>
                <w:kern w:val="0"/>
                <w:szCs w:val="21"/>
              </w:rPr>
              <w:t>电话接待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257175" cy="209550"/>
                  <wp:effectExtent l="0" t="0" r="952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宋体"/>
                <w:kern w:val="0"/>
                <w:szCs w:val="21"/>
              </w:rPr>
              <w:t>公开说明会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257175" cy="209550"/>
                  <wp:effectExtent l="0" t="0" r="9525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宋体"/>
                <w:kern w:val="0"/>
                <w:szCs w:val="21"/>
              </w:rPr>
              <w:t>定期报告说明会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257175" cy="209550"/>
                  <wp:effectExtent l="0" t="0" r="9525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宋体"/>
                <w:kern w:val="0"/>
                <w:szCs w:val="21"/>
              </w:rPr>
              <w:t>重要公告说明会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257175" cy="209550"/>
                  <wp:effectExtent l="0" t="0" r="9525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宋体"/>
                <w:kern w:val="0"/>
                <w:szCs w:val="21"/>
              </w:rPr>
              <w:t>其它场所接待</w:t>
            </w:r>
            <w:r>
              <w:rPr>
                <w:rFonts w:ascii="宋体" w:eastAsia="宋体" w:hAnsi="宋体" w:cs="宋体" w:hint="eastAsia"/>
                <w:kern w:val="0"/>
                <w:szCs w:val="21"/>
                <w:u w:val="single"/>
              </w:rPr>
              <w:t xml:space="preserve">                          </w:t>
            </w:r>
          </w:p>
        </w:tc>
      </w:tr>
      <w:tr w:rsidR="00015D07">
        <w:trPr>
          <w:jc w:val="center"/>
        </w:trPr>
        <w:tc>
          <w:tcPr>
            <w:tcW w:w="1951" w:type="dxa"/>
          </w:tcPr>
          <w:p w:rsidR="00015D07" w:rsidRDefault="00F33FFB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来访人员姓名及其所在单位</w:t>
            </w:r>
          </w:p>
        </w:tc>
        <w:tc>
          <w:tcPr>
            <w:tcW w:w="7088" w:type="dxa"/>
          </w:tcPr>
          <w:p w:rsidR="00015D07" w:rsidRDefault="00F33FFB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陆昊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中信证券股份有限</w:t>
            </w:r>
            <w:r>
              <w:rPr>
                <w:sz w:val="28"/>
                <w:szCs w:val="28"/>
              </w:rPr>
              <w:t>公司</w:t>
            </w:r>
          </w:p>
          <w:p w:rsidR="00015D07" w:rsidRDefault="00F33FFB">
            <w:pPr>
              <w:jc w:val="left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李檐</w:t>
            </w:r>
            <w:proofErr w:type="gramEnd"/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康曼德资本</w:t>
            </w:r>
          </w:p>
          <w:p w:rsidR="00B74852" w:rsidRDefault="00B74852">
            <w:pPr>
              <w:jc w:val="left"/>
              <w:rPr>
                <w:sz w:val="28"/>
                <w:szCs w:val="28"/>
              </w:rPr>
            </w:pPr>
            <w:r w:rsidRPr="00B74852">
              <w:rPr>
                <w:rFonts w:hint="eastAsia"/>
                <w:sz w:val="28"/>
                <w:szCs w:val="28"/>
              </w:rPr>
              <w:t>李俊峰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B74852">
              <w:rPr>
                <w:rFonts w:hint="eastAsia"/>
                <w:sz w:val="28"/>
                <w:szCs w:val="28"/>
              </w:rPr>
              <w:t>深圳市</w:t>
            </w:r>
            <w:proofErr w:type="gramStart"/>
            <w:r w:rsidRPr="00B74852">
              <w:rPr>
                <w:rFonts w:hint="eastAsia"/>
                <w:sz w:val="28"/>
                <w:szCs w:val="28"/>
              </w:rPr>
              <w:t>前海兆鸿私募</w:t>
            </w:r>
            <w:proofErr w:type="gramEnd"/>
            <w:r w:rsidRPr="00B74852">
              <w:rPr>
                <w:rFonts w:hint="eastAsia"/>
                <w:sz w:val="28"/>
                <w:szCs w:val="28"/>
              </w:rPr>
              <w:t>证券投资基金管理有限公司</w:t>
            </w:r>
          </w:p>
          <w:p w:rsidR="00B74852" w:rsidRDefault="00B74852">
            <w:pPr>
              <w:jc w:val="left"/>
              <w:rPr>
                <w:rFonts w:hint="eastAsia"/>
                <w:sz w:val="28"/>
                <w:szCs w:val="28"/>
              </w:rPr>
            </w:pPr>
            <w:r w:rsidRPr="00B74852">
              <w:rPr>
                <w:rFonts w:hint="eastAsia"/>
                <w:sz w:val="28"/>
                <w:szCs w:val="28"/>
              </w:rPr>
              <w:t>贾元宏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B74852">
              <w:rPr>
                <w:rFonts w:hint="eastAsia"/>
                <w:sz w:val="28"/>
                <w:szCs w:val="28"/>
              </w:rPr>
              <w:t>河南三纪私募基金管理有限公司</w:t>
            </w:r>
            <w:bookmarkStart w:id="0" w:name="_GoBack"/>
            <w:bookmarkEnd w:id="0"/>
          </w:p>
        </w:tc>
      </w:tr>
      <w:tr w:rsidR="00015D07">
        <w:trPr>
          <w:jc w:val="center"/>
        </w:trPr>
        <w:tc>
          <w:tcPr>
            <w:tcW w:w="1951" w:type="dxa"/>
          </w:tcPr>
          <w:p w:rsidR="00015D07" w:rsidRDefault="00F33FFB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日期、时间</w:t>
            </w:r>
          </w:p>
        </w:tc>
        <w:tc>
          <w:tcPr>
            <w:tcW w:w="7088" w:type="dxa"/>
          </w:tcPr>
          <w:p w:rsidR="00015D07" w:rsidRDefault="00F33FFB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16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015D07">
        <w:trPr>
          <w:jc w:val="center"/>
        </w:trPr>
        <w:tc>
          <w:tcPr>
            <w:tcW w:w="1951" w:type="dxa"/>
          </w:tcPr>
          <w:p w:rsidR="00015D07" w:rsidRDefault="00F33FFB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来访地址</w:t>
            </w:r>
          </w:p>
        </w:tc>
        <w:tc>
          <w:tcPr>
            <w:tcW w:w="7088" w:type="dxa"/>
          </w:tcPr>
          <w:p w:rsidR="00015D07" w:rsidRDefault="00F33FFB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河南省</w:t>
            </w:r>
            <w:r>
              <w:rPr>
                <w:sz w:val="28"/>
                <w:szCs w:val="28"/>
              </w:rPr>
              <w:t>郑州市中原广发大厦</w:t>
            </w:r>
          </w:p>
        </w:tc>
      </w:tr>
      <w:tr w:rsidR="00015D07">
        <w:trPr>
          <w:jc w:val="center"/>
        </w:trPr>
        <w:tc>
          <w:tcPr>
            <w:tcW w:w="1951" w:type="dxa"/>
          </w:tcPr>
          <w:p w:rsidR="00015D07" w:rsidRDefault="00F33FFB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接待人员姓名及其职务</w:t>
            </w:r>
          </w:p>
        </w:tc>
        <w:tc>
          <w:tcPr>
            <w:tcW w:w="7088" w:type="dxa"/>
          </w:tcPr>
          <w:p w:rsidR="00015D07" w:rsidRDefault="00F33FFB">
            <w:pPr>
              <w:jc w:val="left"/>
              <w:rPr>
                <w:sz w:val="28"/>
                <w:szCs w:val="28"/>
              </w:rPr>
            </w:pPr>
            <w:r w:rsidRPr="00BC3BA7">
              <w:rPr>
                <w:rFonts w:hint="eastAsia"/>
                <w:sz w:val="28"/>
                <w:szCs w:val="28"/>
              </w:rPr>
              <w:t>董事会秘书郭良勇、</w:t>
            </w:r>
            <w:r w:rsidR="009508C8">
              <w:rPr>
                <w:rFonts w:hint="eastAsia"/>
                <w:sz w:val="28"/>
                <w:szCs w:val="28"/>
              </w:rPr>
              <w:t>办公室（</w:t>
            </w:r>
            <w:r w:rsidRPr="00BC3BA7">
              <w:rPr>
                <w:rFonts w:hint="eastAsia"/>
                <w:sz w:val="28"/>
                <w:szCs w:val="28"/>
              </w:rPr>
              <w:t>董</w:t>
            </w:r>
            <w:r w:rsidR="009508C8">
              <w:rPr>
                <w:rFonts w:hint="eastAsia"/>
                <w:sz w:val="28"/>
                <w:szCs w:val="28"/>
              </w:rPr>
              <w:t>监</w:t>
            </w:r>
            <w:r w:rsidRPr="00BC3BA7">
              <w:rPr>
                <w:rFonts w:hint="eastAsia"/>
                <w:sz w:val="28"/>
                <w:szCs w:val="28"/>
              </w:rPr>
              <w:t>事会办公室</w:t>
            </w:r>
            <w:r w:rsidR="009508C8">
              <w:rPr>
                <w:rFonts w:hint="eastAsia"/>
                <w:sz w:val="28"/>
                <w:szCs w:val="28"/>
              </w:rPr>
              <w:t>）</w:t>
            </w:r>
            <w:r w:rsidRPr="00BC3BA7">
              <w:rPr>
                <w:rFonts w:hint="eastAsia"/>
                <w:sz w:val="28"/>
                <w:szCs w:val="28"/>
              </w:rPr>
              <w:t>主任栾小龙、证券事务代表赵锦琦及相关部门业务骨干。</w:t>
            </w:r>
          </w:p>
        </w:tc>
      </w:tr>
      <w:tr w:rsidR="00015D07">
        <w:trPr>
          <w:trHeight w:val="5122"/>
          <w:jc w:val="center"/>
        </w:trPr>
        <w:tc>
          <w:tcPr>
            <w:tcW w:w="9039" w:type="dxa"/>
            <w:gridSpan w:val="2"/>
          </w:tcPr>
          <w:p w:rsidR="00015D07" w:rsidRDefault="00F33FFB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主要内容：</w:t>
            </w:r>
          </w:p>
          <w:p w:rsidR="00015D07" w:rsidRDefault="00F33FFB">
            <w:pPr>
              <w:pStyle w:val="a6"/>
              <w:spacing w:line="360" w:lineRule="auto"/>
              <w:ind w:firstLine="482"/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问题1：公司近期有哪些新变化？管理层、战略和经营思路等。</w:t>
            </w:r>
          </w:p>
          <w:p w:rsidR="00015D07" w:rsidRDefault="00F33FFB">
            <w:pPr>
              <w:pStyle w:val="a6"/>
              <w:spacing w:line="360" w:lineRule="auto"/>
              <w:ind w:firstLine="482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公司回复：</w:t>
            </w:r>
            <w:r>
              <w:rPr>
                <w:rFonts w:ascii="宋体" w:hAnsi="宋体" w:hint="eastAsia"/>
                <w:sz w:val="24"/>
                <w:szCs w:val="21"/>
              </w:rPr>
              <w:t>根据中央对新征程上金融业的发展作出全面部署，去年国务院出台新“国九条”以及中国证监会出台“1+N”系列政策，对证券行业未来发展方向、目标提出明确的要求，证券行业发展进入新的阶段。</w:t>
            </w:r>
          </w:p>
          <w:p w:rsidR="00015D07" w:rsidRDefault="00F33FFB">
            <w:pPr>
              <w:pStyle w:val="a6"/>
              <w:spacing w:line="360" w:lineRule="auto"/>
              <w:ind w:firstLine="480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今年公司</w:t>
            </w:r>
            <w:r w:rsidR="006E18F2">
              <w:rPr>
                <w:rFonts w:ascii="宋体" w:hAnsi="宋体" w:hint="eastAsia"/>
                <w:sz w:val="24"/>
                <w:szCs w:val="21"/>
              </w:rPr>
              <w:t>新党委书记、董事长</w:t>
            </w:r>
            <w:r>
              <w:rPr>
                <w:rFonts w:ascii="宋体" w:hAnsi="宋体" w:hint="eastAsia"/>
                <w:sz w:val="24"/>
                <w:szCs w:val="21"/>
              </w:rPr>
              <w:t>就任后，积极贯彻落实国家关于证券行业政策导向，着力发挥金融国企的职责使命，推进全面深化改革，密集开展内外部调研，初步实施若干发展举措。一是优化提升公司市场化运营机制。以公司“二次创业”为牵引，团结公司上下，学习借鉴先进经验，系统优化公司市场化运营机制，全面激发干部员工干事创业的活力动力。二是推进对标管理。推进各部门合理选择对标目标，完善对标工作制度，强化对标措施管理，做实对标先进工作成效。三是推进全面深化改革。在</w:t>
            </w:r>
            <w:r>
              <w:rPr>
                <w:rFonts w:ascii="宋体" w:hAnsi="宋体" w:hint="eastAsia"/>
                <w:sz w:val="24"/>
                <w:szCs w:val="21"/>
              </w:rPr>
              <w:lastRenderedPageBreak/>
              <w:t>深入调研的基础上，启动以充分激发活力为目标的深化改革试点，取得经验后推广。四是加强文化引领。根据建设中国特色金融文化要求，完善公司核心文化要素，加强文化建设对公司发展的底层支撑。五是启动编制公司“十五五”规划工作。加强宏观政策研究，跟踪国家及河南省“十五五”规划编制动态，加强行业分析，以战略规划为牵引，立足实际系统谋划未来发展举措。</w:t>
            </w:r>
          </w:p>
          <w:p w:rsidR="00015D07" w:rsidRDefault="00015D07">
            <w:pPr>
              <w:pStyle w:val="a6"/>
              <w:spacing w:line="360" w:lineRule="auto"/>
              <w:ind w:firstLine="480"/>
              <w:rPr>
                <w:rFonts w:ascii="宋体" w:hAnsi="宋体"/>
                <w:sz w:val="24"/>
                <w:szCs w:val="21"/>
              </w:rPr>
            </w:pPr>
          </w:p>
          <w:p w:rsidR="00015D07" w:rsidRDefault="00F33FFB">
            <w:pPr>
              <w:pStyle w:val="a6"/>
              <w:spacing w:line="360" w:lineRule="auto"/>
              <w:ind w:firstLine="482"/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问题2：公司目前面临的区域竞争压力怎么样？经纪业务、信用业务、资管业务、投行业务等方面。在区域上，有哪些资源协同和优势协同？</w:t>
            </w:r>
          </w:p>
          <w:p w:rsidR="00015D07" w:rsidRDefault="00F33FFB">
            <w:pPr>
              <w:pStyle w:val="a6"/>
              <w:spacing w:line="360" w:lineRule="auto"/>
              <w:ind w:firstLine="482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公司回复：</w:t>
            </w:r>
            <w:r>
              <w:rPr>
                <w:rFonts w:ascii="宋体" w:hAnsi="宋体" w:hint="eastAsia"/>
                <w:sz w:val="24"/>
                <w:szCs w:val="21"/>
              </w:rPr>
              <w:t>公司面临</w:t>
            </w:r>
            <w:r w:rsidR="005C48F8">
              <w:rPr>
                <w:rFonts w:ascii="宋体" w:hAnsi="宋体" w:hint="eastAsia"/>
                <w:sz w:val="24"/>
                <w:szCs w:val="21"/>
              </w:rPr>
              <w:t>的</w:t>
            </w:r>
            <w:r>
              <w:rPr>
                <w:rFonts w:ascii="宋体" w:hAnsi="宋体" w:hint="eastAsia"/>
                <w:sz w:val="24"/>
                <w:szCs w:val="21"/>
              </w:rPr>
              <w:t>竞争压力主要体现在以下几点：一是行业集中度提高的趋势正在进一步强化，中小券商面临竞争压力持续增加。二是券商收费类业务的费率呈现逐年下降趋势，对中小券商的综合服务能力提出新的要求，特色化差异化发展仍处于实践探索过程中。三是与大券商相比，中小券商在战略能力、资本实力、专业能力等方面存在一定的不足，应对行业转型的压力不断增加等。</w:t>
            </w:r>
          </w:p>
          <w:p w:rsidR="00015D07" w:rsidRDefault="00F33FFB">
            <w:pPr>
              <w:pStyle w:val="a6"/>
              <w:spacing w:line="360" w:lineRule="auto"/>
              <w:ind w:firstLine="480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公司财富管理业务（包括经纪业务、信用业务等）依托“深耕河南、辐射全国”的区位布局战略，持续巩固省内优势，实现河南省地市及重点县域全覆盖。一是在资源协同方面。公司在河南省内设分支机构81家（含18家分公司、63家营业部），可以充分发挥区域优势，为客户提供贴身一站式综合金融服务；依托分支机构网点优势建立统一的市场端，利用子公司中原期货发展IB业务</w:t>
            </w:r>
            <w:r w:rsidR="00B776B0">
              <w:rPr>
                <w:rFonts w:ascii="宋体" w:hAnsi="宋体" w:hint="eastAsia"/>
                <w:sz w:val="24"/>
                <w:szCs w:val="21"/>
              </w:rPr>
              <w:t>（即</w:t>
            </w:r>
            <w:r w:rsidR="00B776B0" w:rsidRPr="00B776B0">
              <w:rPr>
                <w:rFonts w:ascii="宋体" w:hAnsi="宋体" w:hint="eastAsia"/>
                <w:sz w:val="24"/>
                <w:szCs w:val="21"/>
              </w:rPr>
              <w:t>期货公司拓展介绍经纪商相关业务</w:t>
            </w:r>
            <w:r w:rsidR="00B776B0">
              <w:rPr>
                <w:rFonts w:ascii="宋体" w:hAnsi="宋体" w:hint="eastAsia"/>
                <w:sz w:val="24"/>
                <w:szCs w:val="21"/>
              </w:rPr>
              <w:t>）</w:t>
            </w:r>
            <w:r>
              <w:rPr>
                <w:rFonts w:ascii="宋体" w:hAnsi="宋体" w:hint="eastAsia"/>
                <w:sz w:val="24"/>
                <w:szCs w:val="21"/>
              </w:rPr>
              <w:t>，做深产业服务，围绕河南省重点产业链扩大产业机构规模，服务区域实体经济发展。二是在业务协同方面。协助推荐客户参与区域股权业务，积累一批优质企业客户，为公司财富、资管、投行等业务奠定客户基础；利用子公司中州国际搭建豫企境外上市通道，重点服务大型省管企业、优秀民营企业等赴港上市融资。</w:t>
            </w:r>
          </w:p>
          <w:p w:rsidR="00015D07" w:rsidRDefault="00F33FFB">
            <w:pPr>
              <w:pStyle w:val="a6"/>
              <w:spacing w:line="360" w:lineRule="auto"/>
              <w:ind w:firstLine="480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公司资产管理业务强化与财富条线、投行条线及子公司协同发展，提升客户综合服务能力，大力推进业务互补。一是提升经纪业务服务能力。通过公司营业网络、在线服务等渠道，加强对零售客户一站式投资咨询专业服务，为不同需求的客户推荐针对性的资管产品，不断深化、丰富客户服务功能，增强客户粘性。二是提升机构客户服务能力。以投行、研究业务为先导，资管业务发挥固收投资的专业优势，积极对接机构客户，加强资管产品适配客户需求的力度，拓展机构客户业务。</w:t>
            </w:r>
          </w:p>
          <w:p w:rsidR="00015D07" w:rsidRDefault="00F33FFB">
            <w:pPr>
              <w:pStyle w:val="a6"/>
              <w:spacing w:line="360" w:lineRule="auto"/>
              <w:ind w:firstLine="480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公司投资银行业务在河南省区域内不断加大市场开拓力度，尤其是省内上市公</w:t>
            </w:r>
            <w:r>
              <w:rPr>
                <w:rFonts w:ascii="宋体" w:hAnsi="宋体" w:hint="eastAsia"/>
                <w:sz w:val="24"/>
                <w:szCs w:val="21"/>
              </w:rPr>
              <w:lastRenderedPageBreak/>
              <w:t>司、高新技术及“专精特新”等企业、省属和地市平台公司、“7+28+N”产业联盟链内核心企业以及国家级高新区/开发区等五类客户全覆盖，为客户提供一体化专业服务。一是充分发挥公司企业融资委员会作用，持续优化公司“N位一体”综合金融服务机制，一方面从产业视角出发，强化投行各业务团队之间以及投行条线与研究、投资、财富、四板和香港子公司等各业务条线之间的协同与联动，探索“产业研究+产业投资+产业投行+综合财富管理”的投行服务产品化展业模式；另一方面从客户需求出发，着手筹建机构客户服务团队，搭建机构客户集中统一管理、分类分级服务的运营平台，为客户提供全方位、全生命周期的资本市场服务。二是推动“投行+研究”协同合作，近年来</w:t>
            </w:r>
            <w:r w:rsidR="00C532EB">
              <w:rPr>
                <w:rFonts w:ascii="宋体" w:hAnsi="宋体" w:hint="eastAsia"/>
                <w:sz w:val="24"/>
                <w:szCs w:val="21"/>
              </w:rPr>
              <w:t>公司投资银行条线</w:t>
            </w:r>
            <w:r>
              <w:rPr>
                <w:rFonts w:ascii="宋体" w:hAnsi="宋体" w:hint="eastAsia"/>
                <w:sz w:val="24"/>
                <w:szCs w:val="21"/>
              </w:rPr>
              <w:t>与研究所</w:t>
            </w:r>
            <w:r w:rsidR="00C532EB">
              <w:rPr>
                <w:rFonts w:ascii="宋体" w:hAnsi="宋体" w:hint="eastAsia"/>
                <w:sz w:val="24"/>
                <w:szCs w:val="21"/>
              </w:rPr>
              <w:t>开展深入</w:t>
            </w:r>
            <w:r>
              <w:rPr>
                <w:rFonts w:ascii="宋体" w:hAnsi="宋体" w:hint="eastAsia"/>
                <w:sz w:val="24"/>
                <w:szCs w:val="21"/>
              </w:rPr>
              <w:t>交流</w:t>
            </w:r>
            <w:r w:rsidR="0081299B">
              <w:rPr>
                <w:rFonts w:ascii="宋体" w:hAnsi="宋体" w:hint="eastAsia"/>
                <w:sz w:val="24"/>
                <w:szCs w:val="21"/>
              </w:rPr>
              <w:t>合作</w:t>
            </w:r>
            <w:r>
              <w:rPr>
                <w:rFonts w:ascii="宋体" w:hAnsi="宋体" w:hint="eastAsia"/>
                <w:sz w:val="24"/>
                <w:szCs w:val="21"/>
              </w:rPr>
              <w:t>，组织“汇智·共行”之河南省重点产业群链系列专题交流活动，涵盖了河南省7个产业联盟、14条产业链</w:t>
            </w:r>
            <w:r w:rsidR="00370771">
              <w:rPr>
                <w:rFonts w:ascii="宋体" w:hAnsi="宋体" w:hint="eastAsia"/>
                <w:sz w:val="24"/>
                <w:szCs w:val="21"/>
              </w:rPr>
              <w:t>，</w:t>
            </w:r>
            <w:r>
              <w:rPr>
                <w:rFonts w:ascii="宋体" w:hAnsi="宋体" w:hint="eastAsia"/>
                <w:sz w:val="24"/>
                <w:szCs w:val="21"/>
              </w:rPr>
              <w:t>共同服务好联盟企业。</w:t>
            </w:r>
          </w:p>
          <w:p w:rsidR="00015D07" w:rsidRPr="00BC3BA7" w:rsidRDefault="00015D07">
            <w:pPr>
              <w:pStyle w:val="a6"/>
              <w:spacing w:line="360" w:lineRule="auto"/>
              <w:ind w:firstLine="480"/>
              <w:rPr>
                <w:rFonts w:ascii="宋体" w:hAnsi="宋体"/>
                <w:sz w:val="24"/>
                <w:szCs w:val="21"/>
              </w:rPr>
            </w:pPr>
          </w:p>
          <w:p w:rsidR="00015D07" w:rsidRDefault="00F33FFB">
            <w:pPr>
              <w:pStyle w:val="a6"/>
              <w:spacing w:line="360" w:lineRule="auto"/>
              <w:ind w:firstLine="482"/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ascii="宋体" w:hAnsi="宋体"/>
                <w:b/>
                <w:sz w:val="24"/>
                <w:szCs w:val="21"/>
              </w:rPr>
              <w:t>问题</w:t>
            </w:r>
            <w:r>
              <w:rPr>
                <w:rFonts w:ascii="宋体" w:hAnsi="宋体" w:hint="eastAsia"/>
                <w:b/>
                <w:sz w:val="24"/>
                <w:szCs w:val="21"/>
              </w:rPr>
              <w:t>3：公司资管业务开展思路是？</w:t>
            </w:r>
          </w:p>
          <w:p w:rsidR="00015D07" w:rsidRDefault="00F33FFB">
            <w:pPr>
              <w:pStyle w:val="a6"/>
              <w:spacing w:line="360" w:lineRule="auto"/>
              <w:ind w:firstLine="482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公司回复：</w:t>
            </w:r>
            <w:r>
              <w:rPr>
                <w:rFonts w:ascii="宋体" w:hAnsi="宋体" w:hint="eastAsia"/>
                <w:sz w:val="24"/>
                <w:szCs w:val="21"/>
              </w:rPr>
              <w:t>公司资产管理业务以满足客户资产管理需求为中心，结合行业发展趋势和公司资源禀赋，加快构建“‘固收+’业务为基底、固收和投顾业务双轮驱动”的产品布局，提高客户体验，提升资管业务发展质量。</w:t>
            </w:r>
          </w:p>
          <w:p w:rsidR="00015D07" w:rsidRDefault="00F33FFB">
            <w:pPr>
              <w:pStyle w:val="a6"/>
              <w:spacing w:line="360" w:lineRule="auto"/>
              <w:ind w:firstLine="480"/>
            </w:pPr>
            <w:r>
              <w:rPr>
                <w:rFonts w:ascii="宋体" w:hAnsi="宋体" w:hint="eastAsia"/>
                <w:sz w:val="24"/>
                <w:szCs w:val="21"/>
              </w:rPr>
              <w:t>未来，公司资产管理业务将持续提升产品创设力、细化投资策略、巩固拓展代销渠道、优化服务模式，致力于为更广泛的客户群体提供多样性理财产品，服务客户财富管理。一是大力推进专业化投研团队建设，提升投研团队的专业能力，不断厚植业务发展基础。二是稳固“固收+”基本盘，以此为基础，</w:t>
            </w:r>
            <w:r w:rsidRPr="00BC3BA7">
              <w:rPr>
                <w:rFonts w:ascii="宋体" w:hAnsi="宋体" w:hint="eastAsia"/>
                <w:sz w:val="24"/>
                <w:szCs w:val="21"/>
              </w:rPr>
              <w:t>积极拓展</w:t>
            </w:r>
            <w:r w:rsidRPr="00BC3BA7">
              <w:rPr>
                <w:rFonts w:ascii="宋体" w:hAnsi="宋体"/>
                <w:sz w:val="24"/>
                <w:szCs w:val="21"/>
              </w:rPr>
              <w:t>ETF、公募基金</w:t>
            </w:r>
            <w:r w:rsidRPr="00BC3BA7">
              <w:rPr>
                <w:rFonts w:ascii="宋体" w:hAnsi="宋体" w:hint="eastAsia"/>
                <w:sz w:val="24"/>
                <w:szCs w:val="21"/>
              </w:rPr>
              <w:t>组合等收益增强类业务。</w:t>
            </w:r>
            <w:r>
              <w:rPr>
                <w:rFonts w:ascii="宋体" w:hAnsi="宋体" w:hint="eastAsia"/>
                <w:sz w:val="24"/>
                <w:szCs w:val="21"/>
              </w:rPr>
              <w:t>三是采用差异化策略，走精品特色之路，强化公司一体化协同战略，加强业务协同，发挥销售渠道优势，巩固拓展营销渠道，推动资管业务稳健发展，推进公司财富管理业务深化转型。</w:t>
            </w:r>
          </w:p>
          <w:p w:rsidR="00015D07" w:rsidRPr="005D0359" w:rsidRDefault="00015D07">
            <w:pPr>
              <w:jc w:val="left"/>
              <w:rPr>
                <w:sz w:val="28"/>
                <w:szCs w:val="28"/>
              </w:rPr>
            </w:pPr>
          </w:p>
        </w:tc>
      </w:tr>
      <w:tr w:rsidR="00015D07">
        <w:trPr>
          <w:jc w:val="center"/>
        </w:trPr>
        <w:tc>
          <w:tcPr>
            <w:tcW w:w="1951" w:type="dxa"/>
          </w:tcPr>
          <w:p w:rsidR="00015D07" w:rsidRDefault="00F33FFB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附件清单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7088" w:type="dxa"/>
          </w:tcPr>
          <w:p w:rsidR="00015D07" w:rsidRDefault="00F33FFB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无</w:t>
            </w:r>
          </w:p>
        </w:tc>
      </w:tr>
      <w:tr w:rsidR="00015D07">
        <w:trPr>
          <w:jc w:val="center"/>
        </w:trPr>
        <w:tc>
          <w:tcPr>
            <w:tcW w:w="1951" w:type="dxa"/>
          </w:tcPr>
          <w:p w:rsidR="00015D07" w:rsidRDefault="00F33FFB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7088" w:type="dxa"/>
          </w:tcPr>
          <w:p w:rsidR="00015D07" w:rsidRDefault="00F33FFB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16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015D07" w:rsidRDefault="00015D07">
      <w:pPr>
        <w:jc w:val="center"/>
        <w:rPr>
          <w:rFonts w:ascii="黑体" w:eastAsia="黑体" w:hAnsi="黑体"/>
          <w:szCs w:val="21"/>
        </w:rPr>
      </w:pPr>
    </w:p>
    <w:p w:rsidR="00015D07" w:rsidRDefault="00F33FFB">
      <w:r>
        <w:rPr>
          <w:rFonts w:hint="eastAsia"/>
        </w:rPr>
        <w:t>注：公司严格遵守信息披露相关规则与投资者进行交流，如涉及公司战略规划等意向性目标，不能视为公司或管理层对公司业绩的保证或承诺，敬请广大投资者注意投资风险。</w:t>
      </w:r>
    </w:p>
    <w:p w:rsidR="00015D07" w:rsidRPr="00C95109" w:rsidRDefault="00015D07">
      <w:pPr>
        <w:widowControl/>
        <w:jc w:val="left"/>
      </w:pPr>
    </w:p>
    <w:sectPr w:rsidR="00015D07" w:rsidRPr="00C95109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06C" w:rsidRDefault="003C506C" w:rsidP="00370771">
      <w:r>
        <w:separator/>
      </w:r>
    </w:p>
  </w:endnote>
  <w:endnote w:type="continuationSeparator" w:id="0">
    <w:p w:rsidR="003C506C" w:rsidRDefault="003C506C" w:rsidP="00370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7323797"/>
      <w:docPartObj>
        <w:docPartGallery w:val="Page Numbers (Bottom of Page)"/>
        <w:docPartUnique/>
      </w:docPartObj>
    </w:sdtPr>
    <w:sdtEndPr/>
    <w:sdtContent>
      <w:p w:rsidR="00821899" w:rsidRDefault="008218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852" w:rsidRPr="00B74852">
          <w:rPr>
            <w:noProof/>
            <w:lang w:val="zh-CN"/>
          </w:rPr>
          <w:t>2</w:t>
        </w:r>
        <w:r>
          <w:fldChar w:fldCharType="end"/>
        </w:r>
      </w:p>
    </w:sdtContent>
  </w:sdt>
  <w:p w:rsidR="00821899" w:rsidRDefault="0082189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06C" w:rsidRDefault="003C506C" w:rsidP="00370771">
      <w:r>
        <w:separator/>
      </w:r>
    </w:p>
  </w:footnote>
  <w:footnote w:type="continuationSeparator" w:id="0">
    <w:p w:rsidR="003C506C" w:rsidRDefault="003C506C" w:rsidP="00370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250"/>
    <w:rsid w:val="00011260"/>
    <w:rsid w:val="00015D07"/>
    <w:rsid w:val="000B3250"/>
    <w:rsid w:val="000C2527"/>
    <w:rsid w:val="001461FF"/>
    <w:rsid w:val="001B51C8"/>
    <w:rsid w:val="001D757F"/>
    <w:rsid w:val="00251151"/>
    <w:rsid w:val="00256367"/>
    <w:rsid w:val="002B1590"/>
    <w:rsid w:val="00354032"/>
    <w:rsid w:val="00355799"/>
    <w:rsid w:val="00370771"/>
    <w:rsid w:val="0037347A"/>
    <w:rsid w:val="003C506C"/>
    <w:rsid w:val="003D49C6"/>
    <w:rsid w:val="00404CDF"/>
    <w:rsid w:val="004432FD"/>
    <w:rsid w:val="004575AE"/>
    <w:rsid w:val="00467116"/>
    <w:rsid w:val="004F775B"/>
    <w:rsid w:val="005011C5"/>
    <w:rsid w:val="00512F60"/>
    <w:rsid w:val="00551DDC"/>
    <w:rsid w:val="005C48F8"/>
    <w:rsid w:val="005C7478"/>
    <w:rsid w:val="005D0359"/>
    <w:rsid w:val="005D5701"/>
    <w:rsid w:val="006E18F2"/>
    <w:rsid w:val="00751F64"/>
    <w:rsid w:val="007872FB"/>
    <w:rsid w:val="007B5F13"/>
    <w:rsid w:val="0081299B"/>
    <w:rsid w:val="00821899"/>
    <w:rsid w:val="008226F0"/>
    <w:rsid w:val="00862411"/>
    <w:rsid w:val="00884514"/>
    <w:rsid w:val="008C1ADD"/>
    <w:rsid w:val="008D1AC3"/>
    <w:rsid w:val="008F38AE"/>
    <w:rsid w:val="00904D38"/>
    <w:rsid w:val="0092535D"/>
    <w:rsid w:val="009508C8"/>
    <w:rsid w:val="009902FE"/>
    <w:rsid w:val="009B782E"/>
    <w:rsid w:val="009D0A63"/>
    <w:rsid w:val="00A3139D"/>
    <w:rsid w:val="00A35C21"/>
    <w:rsid w:val="00A57C62"/>
    <w:rsid w:val="00A77A8D"/>
    <w:rsid w:val="00B01E49"/>
    <w:rsid w:val="00B073E3"/>
    <w:rsid w:val="00B47256"/>
    <w:rsid w:val="00B74852"/>
    <w:rsid w:val="00B7732A"/>
    <w:rsid w:val="00B776B0"/>
    <w:rsid w:val="00B86195"/>
    <w:rsid w:val="00BC3BA7"/>
    <w:rsid w:val="00C17DF4"/>
    <w:rsid w:val="00C34A6E"/>
    <w:rsid w:val="00C532EB"/>
    <w:rsid w:val="00C95109"/>
    <w:rsid w:val="00D57589"/>
    <w:rsid w:val="00D61810"/>
    <w:rsid w:val="00D619AA"/>
    <w:rsid w:val="00DA3505"/>
    <w:rsid w:val="00DD79FC"/>
    <w:rsid w:val="00E54CD5"/>
    <w:rsid w:val="00E74200"/>
    <w:rsid w:val="00E831EB"/>
    <w:rsid w:val="00E97491"/>
    <w:rsid w:val="00ED23B8"/>
    <w:rsid w:val="00F33FFB"/>
    <w:rsid w:val="00F341F7"/>
    <w:rsid w:val="00F47545"/>
    <w:rsid w:val="00F506BF"/>
    <w:rsid w:val="00F7138F"/>
    <w:rsid w:val="00F97515"/>
    <w:rsid w:val="235B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94B448-37C9-4487-A788-19B18BEC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F33FF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33FF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ECEA43-7DB9-4975-B96A-4CB7C6320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394</Words>
  <Characters>2248</Characters>
  <Application>Microsoft Office Word</Application>
  <DocSecurity>0</DocSecurity>
  <Lines>18</Lines>
  <Paragraphs>5</Paragraphs>
  <ScaleCrop>false</ScaleCrop>
  <Company>Microsoft</Company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陈滢</dc:creator>
  <cp:lastModifiedBy>郝亮</cp:lastModifiedBy>
  <cp:revision>30</cp:revision>
  <cp:lastPrinted>2025-05-15T06:44:00Z</cp:lastPrinted>
  <dcterms:created xsi:type="dcterms:W3CDTF">2023-09-08T07:13:00Z</dcterms:created>
  <dcterms:modified xsi:type="dcterms:W3CDTF">2025-05-16T05:14:00Z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