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952E4">
      <w:pPr>
        <w:spacing w:before="156" w:beforeLines="50" w:after="156" w:afterLines="50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600717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天津港</w:t>
      </w:r>
    </w:p>
    <w:p w14:paraId="6F90E495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天津港股份有限公司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309D6358">
      <w:pPr>
        <w:spacing w:line="400" w:lineRule="exact"/>
        <w:rPr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Style w:val="7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847"/>
      </w:tblGrid>
      <w:tr w14:paraId="28B47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2EF2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61ADC4DF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10AD8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 w:ascii="MS Mincho" w:hAnsi="MS Mincho" w:cs="MS Mincho"/>
                <w:bCs/>
                <w:iCs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37A8AF23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6D5D292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4876B2F8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17C50647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r>
              <w:rPr>
                <w:rFonts w:hAnsi="宋体"/>
                <w:kern w:val="0"/>
                <w:sz w:val="24"/>
                <w:u w:val="single"/>
              </w:rPr>
              <w:t>请文字说明其他活动内容）</w:t>
            </w:r>
          </w:p>
        </w:tc>
      </w:tr>
      <w:tr w14:paraId="39F9C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25F8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4DB83">
            <w:pPr>
              <w:spacing w:line="46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5</w:t>
            </w:r>
            <w:r>
              <w:rPr>
                <w:rFonts w:asciiTheme="minorEastAsia" w:hAnsiTheme="minorEastAsia" w:eastAsiaTheme="minorEastAsia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5</w:t>
            </w:r>
            <w:r>
              <w:rPr>
                <w:rFonts w:asciiTheme="minorEastAsia" w:hAnsiTheme="minorEastAsia" w:eastAsia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14</w:t>
            </w:r>
            <w:r>
              <w:rPr>
                <w:rFonts w:asciiTheme="minorEastAsia" w:hAnsiTheme="minorEastAsia" w:eastAsiaTheme="minorEastAsia"/>
                <w:sz w:val="24"/>
              </w:rPr>
              <w:t>日 (周</w:t>
            </w:r>
            <w:r>
              <w:rPr>
                <w:rFonts w:hint="eastAsia" w:asciiTheme="minorEastAsia" w:hAnsiTheme="minorEastAsia" w:eastAsiaTheme="minorEastAsia"/>
                <w:sz w:val="24"/>
              </w:rPr>
              <w:t>三</w:t>
            </w:r>
            <w:r>
              <w:rPr>
                <w:rFonts w:asciiTheme="minorEastAsia" w:hAnsiTheme="minorEastAsia" w:eastAsiaTheme="minorEastAsia"/>
                <w:sz w:val="24"/>
              </w:rPr>
              <w:t>) 1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0</w:t>
            </w:r>
            <w:r>
              <w:rPr>
                <w:rFonts w:asciiTheme="minorEastAsia" w:hAnsiTheme="minorEastAsia" w:eastAsiaTheme="minorEastAsia"/>
                <w:sz w:val="24"/>
              </w:rPr>
              <w:t>:00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-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1</w:t>
            </w:r>
            <w:r>
              <w:rPr>
                <w:rFonts w:asciiTheme="minorEastAsia" w:hAnsiTheme="minorEastAsia" w:eastAsiaTheme="minorEastAsia"/>
                <w:sz w:val="24"/>
              </w:rPr>
              <w:t>:30</w:t>
            </w:r>
          </w:p>
          <w:p w14:paraId="1CE52651">
            <w:pPr>
              <w:spacing w:line="460" w:lineRule="exact"/>
              <w:rPr>
                <w:rFonts w:hint="default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default" w:eastAsia="宋体"/>
                <w:bCs/>
                <w:iCs/>
                <w:color w:val="000000"/>
                <w:sz w:val="24"/>
                <w:lang w:val="en-US" w:eastAsia="zh-CN"/>
              </w:rPr>
              <w:t>信达证券 万颖 王鑫 高岩</w:t>
            </w:r>
          </w:p>
          <w:p w14:paraId="775C2530">
            <w:pPr>
              <w:spacing w:line="460" w:lineRule="exact"/>
              <w:rPr>
                <w:rFonts w:hint="default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default" w:eastAsia="宋体"/>
                <w:bCs/>
                <w:iCs/>
                <w:color w:val="000000"/>
                <w:sz w:val="24"/>
                <w:lang w:val="en-US" w:eastAsia="zh-CN"/>
              </w:rPr>
              <w:t>信达香港 程牧歌</w:t>
            </w:r>
          </w:p>
        </w:tc>
      </w:tr>
      <w:tr w14:paraId="77B94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E2AE8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719F7">
            <w:pPr>
              <w:spacing w:before="156" w:beforeLines="50" w:after="156" w:afterLines="50" w:line="420" w:lineRule="exact"/>
              <w:rPr>
                <w:rFonts w:hint="eastAsia" w:eastAsia="宋体"/>
                <w:bCs/>
                <w:iCs/>
                <w:color w:val="000000"/>
                <w:sz w:val="24"/>
                <w:lang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eastAsia="zh-CN"/>
              </w:rPr>
              <w:t>线上会议</w:t>
            </w:r>
          </w:p>
        </w:tc>
      </w:tr>
      <w:tr w14:paraId="06F15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87004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1177E">
            <w:pPr>
              <w:spacing w:line="46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1、董事会秘书：郭小薇</w:t>
            </w:r>
          </w:p>
          <w:p w14:paraId="18E5B120">
            <w:pPr>
              <w:spacing w:line="46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2、资本运作管理经理：张伟</w:t>
            </w:r>
          </w:p>
        </w:tc>
      </w:tr>
      <w:tr w14:paraId="61F13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C635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7803228A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28077">
            <w:pPr>
              <w:spacing w:before="156" w:beforeLines="50" w:line="460" w:lineRule="exact"/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机构</w:t>
            </w: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 w14:paraId="4A5D1495">
            <w:pPr>
              <w:spacing w:line="46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</w:rPr>
              <w:t>.公司的</w:t>
            </w:r>
            <w:r>
              <w:rPr>
                <w:rFonts w:asciiTheme="minorEastAsia" w:hAnsiTheme="minorEastAsia" w:eastAsiaTheme="minorEastAsia"/>
                <w:sz w:val="24"/>
              </w:rPr>
              <w:t>主要</w:t>
            </w:r>
            <w:r>
              <w:rPr>
                <w:rFonts w:hint="eastAsia" w:asciiTheme="minorEastAsia" w:hAnsiTheme="minorEastAsia" w:eastAsiaTheme="minorEastAsia"/>
                <w:sz w:val="24"/>
              </w:rPr>
              <w:t>货类</w:t>
            </w:r>
            <w:r>
              <w:rPr>
                <w:rFonts w:asciiTheme="minorEastAsia" w:hAnsiTheme="minorEastAsia" w:eastAsiaTheme="minorEastAsia"/>
                <w:sz w:val="24"/>
              </w:rPr>
              <w:t>及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吞吐量情况</w:t>
            </w:r>
          </w:p>
          <w:p w14:paraId="4C7FD4D8">
            <w:pPr>
              <w:pStyle w:val="9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公司货类分为集装箱、干散货、液体散货、滚装汽车、件杂货等等。</w:t>
            </w:r>
          </w:p>
          <w:p w14:paraId="4D2D9B34">
            <w:pPr>
              <w:pStyle w:val="9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年</w:t>
            </w:r>
            <w:r>
              <w:t>度公司完成货物吞吐量</w:t>
            </w:r>
            <w:r>
              <w:rPr>
                <w:rFonts w:hint="eastAsia"/>
              </w:rPr>
              <w:t>4.</w:t>
            </w:r>
            <w:r>
              <w:rPr>
                <w:rFonts w:hint="eastAsia"/>
                <w:lang w:val="en-US" w:eastAsia="zh-CN"/>
              </w:rPr>
              <w:t>53</w:t>
            </w:r>
            <w:r>
              <w:rPr>
                <w:rFonts w:hint="eastAsia"/>
              </w:rPr>
              <w:t>亿吨，较同期增长 1.80%，完成年度计划 4.48亿吨的 101.12%。其中：集装箱吞吐量 2047 万 TEU，较同期增长 2.25%，完成年度计划 2066 万 TEU 的 99.08%。按照</w:t>
            </w:r>
            <w:r>
              <w:t>年度</w:t>
            </w:r>
            <w:r>
              <w:rPr>
                <w:rFonts w:hint="eastAsia"/>
              </w:rPr>
              <w:t>计划，202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年度预计完成货物吞吐量4.</w:t>
            </w:r>
            <w:r>
              <w:rPr>
                <w:rFonts w:hint="eastAsia"/>
                <w:lang w:val="en-US" w:eastAsia="zh-CN"/>
              </w:rPr>
              <w:t>56</w:t>
            </w:r>
            <w:r>
              <w:rPr>
                <w:rFonts w:hint="eastAsia"/>
              </w:rPr>
              <w:t>亿吨，其中集装箱吞吐量20</w:t>
            </w:r>
            <w:r>
              <w:rPr>
                <w:rFonts w:hint="eastAsia"/>
                <w:lang w:val="en-US" w:eastAsia="zh-CN"/>
              </w:rPr>
              <w:t>77</w:t>
            </w:r>
            <w:r>
              <w:rPr>
                <w:rFonts w:hint="eastAsia"/>
              </w:rPr>
              <w:t>万TEU。集装箱</w:t>
            </w:r>
            <w:r>
              <w:t>、</w:t>
            </w:r>
            <w:r>
              <w:rPr>
                <w:rFonts w:hint="eastAsia"/>
              </w:rPr>
              <w:t>铁矿石、有色矿、煤炭、焦炭、钢材、铝矾土</w:t>
            </w:r>
            <w:r>
              <w:t>等优势货类保持良好发展势头。</w:t>
            </w:r>
          </w:p>
          <w:p w14:paraId="24987C81">
            <w:pPr>
              <w:pStyle w:val="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2.公司</w:t>
            </w:r>
            <w:r>
              <w:rPr>
                <w:rFonts w:hint="eastAsia"/>
                <w:lang w:val="en-US" w:eastAsia="zh-CN"/>
              </w:rPr>
              <w:t>2024年</w:t>
            </w:r>
            <w:r>
              <w:t>度</w:t>
            </w:r>
            <w:r>
              <w:rPr>
                <w:rFonts w:hint="eastAsia"/>
                <w:lang w:eastAsia="zh-CN"/>
              </w:rPr>
              <w:t>经营情况</w:t>
            </w:r>
          </w:p>
          <w:p w14:paraId="4077AA14">
            <w:pPr>
              <w:pStyle w:val="9"/>
            </w:pPr>
            <w:r>
              <w:rPr>
                <w:rFonts w:hint="eastAsia"/>
              </w:rPr>
              <w:t>2024年度，公司实现营业收入89.82亿元，收入实现 120.70 亿元，较同期增长 3.13%，完成年度预算110 亿元的 109.73%；利润总额 19.10 亿元，较同期增长 8.49%，完成年度预算 17.80亿元的 107.31%；实现归属于上市公司股东的净利润 9.94 亿元，较同期增长 1.22%。</w:t>
            </w:r>
          </w:p>
          <w:p w14:paraId="101A38B0">
            <w:pPr>
              <w:pStyle w:val="9"/>
              <w:numPr>
                <w:ilvl w:val="0"/>
                <w:numId w:val="0"/>
              </w:numPr>
              <w:ind w:firstLine="480" w:firstLineChars="200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3.集装箱、干散杂货和液体散货公司的利润情况</w:t>
            </w:r>
          </w:p>
          <w:p w14:paraId="6E9B31F9">
            <w:pPr>
              <w:pStyle w:val="9"/>
              <w:numPr>
                <w:ilvl w:val="0"/>
                <w:numId w:val="0"/>
              </w:numPr>
              <w:rPr>
                <w:rFonts w:hint="eastAsia" w:eastAsia="宋体" w:asciiTheme="minorEastAsia" w:hAnsi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公司以集装箱为主要货类的所属公司有</w:t>
            </w:r>
            <w:r>
              <w:rPr>
                <w:rFonts w:hint="eastAsia"/>
              </w:rPr>
              <w:t>天津港太平洋国际集装箱码头有限公司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天津港欧亚国际集装箱码头有限公司</w:t>
            </w:r>
            <w:r>
              <w:rPr>
                <w:rFonts w:hint="eastAsia"/>
                <w:lang w:eastAsia="zh-CN"/>
              </w:rPr>
              <w:t>和</w:t>
            </w:r>
            <w:r>
              <w:rPr>
                <w:rFonts w:hint="eastAsia"/>
              </w:rPr>
              <w:t>天津港联盟国际集装箱码头有限公司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2024年度实现净利润4.34亿元；</w:t>
            </w:r>
            <w:r>
              <w:rPr>
                <w:rFonts w:hint="eastAsia"/>
                <w:lang w:eastAsia="zh-CN"/>
              </w:rPr>
              <w:t>以干散杂货</w:t>
            </w:r>
            <w:r>
              <w:rPr>
                <w:rFonts w:hint="eastAsia"/>
                <w:lang w:val="en-US" w:eastAsia="zh-CN"/>
              </w:rPr>
              <w:t>为主要货类的所属公司有</w:t>
            </w:r>
            <w:r>
              <w:rPr>
                <w:rFonts w:hint="eastAsia"/>
              </w:rPr>
              <w:t>天津港中煤华能煤码头有限公司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天津港焦炭码头有限公司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天津港远航国际矿石码头有限公司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2024年度实现净利润4.86亿元；</w:t>
            </w:r>
            <w:r>
              <w:rPr>
                <w:rFonts w:hint="eastAsia"/>
                <w:lang w:eastAsia="zh-CN"/>
              </w:rPr>
              <w:t>以</w:t>
            </w:r>
            <w:r>
              <w:rPr>
                <w:rFonts w:hint="eastAsia"/>
                <w:lang w:val="en-US" w:eastAsia="zh-CN"/>
              </w:rPr>
              <w:t>液体散货为主要货类的所属公司为</w:t>
            </w:r>
            <w:r>
              <w:rPr>
                <w:rFonts w:hint="eastAsia"/>
              </w:rPr>
              <w:t>天津港石油化工码头有限公司</w:t>
            </w:r>
            <w:r>
              <w:rPr>
                <w:rFonts w:hint="eastAsia"/>
                <w:lang w:eastAsia="zh-CN"/>
              </w:rPr>
              <w:t>和</w:t>
            </w:r>
            <w:r>
              <w:rPr>
                <w:rFonts w:hint="eastAsia"/>
              </w:rPr>
              <w:t>天津港中航油码头有限公司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2024年度实现净利润0.38亿元。</w:t>
            </w:r>
          </w:p>
          <w:p w14:paraId="1BE8A065">
            <w:pPr>
              <w:pStyle w:val="9"/>
              <w:numPr>
                <w:ilvl w:val="0"/>
                <w:numId w:val="0"/>
              </w:numPr>
              <w:ind w:firstLine="480" w:firstLineChars="200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4.散杂货与集装箱业务的成本结构差异？</w:t>
            </w:r>
          </w:p>
          <w:p w14:paraId="13865927">
            <w:pPr>
              <w:pStyle w:val="9"/>
              <w:numPr>
                <w:ilvl w:val="0"/>
                <w:numId w:val="0"/>
              </w:numPr>
              <w:ind w:firstLine="480" w:firstLineChars="200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散杂货公司与集装箱公司由于货类结构、作业工艺流程不同，因此在生产成本上存在差异，散杂货主业的公司与集装箱公司相比，由于件杂货、干散货的运输需要更多人工参与，因此倒运费、其他装卸及辅助作业费用要高于集装箱公司；石化码头这类的液体散货公司，有专门的运输管道，因此没有倒运费、仓储保管费、其他装卸及辅助作业费。</w:t>
            </w:r>
          </w:p>
          <w:p w14:paraId="048306AF">
            <w:pPr>
              <w:pStyle w:val="9"/>
              <w:rPr>
                <w:rFonts w:hint="eastAsia" w:ascii="新宋体" w:hAnsi="新宋体" w:eastAsia="新宋体" w:cs="新宋体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5.</w:t>
            </w:r>
            <w:r>
              <w:rPr>
                <w:rFonts w:hint="eastAsia" w:ascii="新宋体" w:hAnsi="新宋体" w:eastAsia="新宋体" w:cs="新宋体"/>
              </w:rPr>
              <w:t>2024年</w:t>
            </w:r>
            <w:r>
              <w:rPr>
                <w:rFonts w:hint="eastAsia" w:ascii="新宋体" w:hAnsi="新宋体" w:eastAsia="新宋体" w:cs="新宋体"/>
                <w:lang w:eastAsia="zh-CN"/>
              </w:rPr>
              <w:t>资本</w:t>
            </w:r>
            <w:r>
              <w:rPr>
                <w:rFonts w:hint="eastAsia" w:ascii="新宋体" w:hAnsi="新宋体" w:eastAsia="新宋体" w:cs="新宋体"/>
              </w:rPr>
              <w:t>开支</w:t>
            </w:r>
            <w:r>
              <w:rPr>
                <w:rFonts w:hint="eastAsia" w:ascii="新宋体" w:hAnsi="新宋体" w:eastAsia="新宋体" w:cs="新宋体"/>
                <w:lang w:eastAsia="zh-CN"/>
              </w:rPr>
              <w:t>的实际情况，</w:t>
            </w:r>
            <w:r>
              <w:rPr>
                <w:rFonts w:hint="eastAsia" w:ascii="新宋体" w:hAnsi="新宋体" w:eastAsia="新宋体" w:cs="新宋体"/>
              </w:rPr>
              <w:t>2025年资本开支计划？</w:t>
            </w:r>
          </w:p>
          <w:p w14:paraId="2957F1AB">
            <w:pPr>
              <w:pStyle w:val="9"/>
              <w:rPr>
                <w:rFonts w:hint="eastAsia"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>2024年公司计划投资额为14</w:t>
            </w:r>
            <w:r>
              <w:rPr>
                <w:rFonts w:hint="eastAsia" w:ascii="新宋体" w:hAnsi="新宋体" w:eastAsia="新宋体" w:cs="新宋体"/>
                <w:lang w:val="en-US" w:eastAsia="zh-CN"/>
              </w:rPr>
              <w:t>.</w:t>
            </w:r>
            <w:r>
              <w:rPr>
                <w:rFonts w:hint="eastAsia" w:ascii="新宋体" w:hAnsi="新宋体" w:eastAsia="新宋体" w:cs="新宋体"/>
              </w:rPr>
              <w:t>54</w:t>
            </w:r>
            <w:r>
              <w:rPr>
                <w:rFonts w:hint="eastAsia" w:ascii="新宋体" w:hAnsi="新宋体" w:eastAsia="新宋体" w:cs="新宋体"/>
                <w:lang w:eastAsia="zh-CN"/>
              </w:rPr>
              <w:t>亿</w:t>
            </w:r>
            <w:r>
              <w:rPr>
                <w:rFonts w:hint="eastAsia" w:ascii="新宋体" w:hAnsi="新宋体" w:eastAsia="新宋体" w:cs="新宋体"/>
              </w:rPr>
              <w:t>元，</w:t>
            </w:r>
            <w:r>
              <w:rPr>
                <w:rFonts w:hint="eastAsia" w:ascii="新宋体" w:hAnsi="新宋体" w:eastAsia="新宋体" w:cs="新宋体"/>
                <w:lang w:eastAsia="zh-CN"/>
              </w:rPr>
              <w:t>实际</w:t>
            </w:r>
            <w:r>
              <w:rPr>
                <w:rFonts w:hint="eastAsia" w:ascii="新宋体" w:hAnsi="新宋体" w:eastAsia="新宋体" w:cs="新宋体"/>
              </w:rPr>
              <w:t>完成投资比例76.23%。2025年预计完成固定资产投资23.74亿元。主要包括基本建设项目18.22亿元，设备投资3.66亿元，数字化建设项目1.86亿元。基本建设项目主要为</w:t>
            </w:r>
            <w:r>
              <w:rPr>
                <w:rFonts w:hint="eastAsia" w:ascii="新宋体" w:hAnsi="新宋体" w:eastAsia="新宋体" w:cs="新宋体"/>
                <w:lang w:eastAsia="zh-CN"/>
              </w:rPr>
              <w:t>所属公司</w:t>
            </w:r>
            <w:r>
              <w:rPr>
                <w:rFonts w:hint="eastAsia" w:ascii="新宋体" w:hAnsi="新宋体" w:eastAsia="新宋体" w:cs="新宋体"/>
              </w:rPr>
              <w:t>堆场</w:t>
            </w:r>
            <w:r>
              <w:rPr>
                <w:rFonts w:hint="eastAsia" w:ascii="新宋体" w:hAnsi="新宋体" w:eastAsia="新宋体" w:cs="新宋体"/>
                <w:lang w:eastAsia="zh-CN"/>
              </w:rPr>
              <w:t>扩建</w:t>
            </w:r>
            <w:r>
              <w:rPr>
                <w:rFonts w:hint="eastAsia" w:ascii="新宋体" w:hAnsi="新宋体" w:eastAsia="新宋体" w:cs="新宋体"/>
              </w:rPr>
              <w:t>、码头改造等项目。</w:t>
            </w:r>
          </w:p>
          <w:p w14:paraId="60FDFB03">
            <w:pPr>
              <w:pStyle w:val="9"/>
              <w:numPr>
                <w:ilvl w:val="0"/>
                <w:numId w:val="0"/>
              </w:numPr>
              <w:ind w:firstLine="480" w:firstLineChars="200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6.港口智慧化建设情况</w:t>
            </w:r>
          </w:p>
          <w:p w14:paraId="57A0E3B7">
            <w:pPr>
              <w:pStyle w:val="9"/>
              <w:numPr>
                <w:ilvl w:val="0"/>
                <w:numId w:val="0"/>
              </w:numPr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    公司2024年度持续推进智慧港口建设，以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科创引领数智提升，世界一流智慧港口建设取得新成效。一是新质生产力加速培育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科创投入不断加大，自主技术不断突破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AI场桥平均航运综合效率增幅达20%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/>
                <w:sz w:val="24"/>
              </w:rPr>
              <w:t>二是设备自动化加速推广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门机自动化改造取得突破，传统集装箱码头全流程自动化商业化运行取得突破，集装箱大型设备自动化升级改造取得突破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/>
                <w:sz w:val="24"/>
              </w:rPr>
              <w:t>三是运营数字化加速转型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设备一体化系统三期全面上线，实现科信工程管理一体化管控。</w:t>
            </w:r>
          </w:p>
          <w:p w14:paraId="2082492E">
            <w:pPr>
              <w:pStyle w:val="9"/>
              <w:numPr>
                <w:ilvl w:val="0"/>
                <w:numId w:val="0"/>
              </w:numPr>
              <w:ind w:firstLine="480" w:firstLineChars="200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  <w:t>7.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公司主要客户情况</w:t>
            </w:r>
          </w:p>
          <w:p w14:paraId="6ED5C3CD">
            <w:pPr>
              <w:pStyle w:val="9"/>
              <w:numPr>
                <w:ilvl w:val="0"/>
                <w:numId w:val="0"/>
              </w:numPr>
              <w:ind w:firstLine="480" w:firstLineChars="200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公司</w:t>
            </w:r>
            <w:r>
              <w:rPr>
                <w:rFonts w:hint="eastAsia"/>
                <w:sz w:val="24"/>
              </w:rPr>
              <w:t>前五名客户销售额</w:t>
            </w:r>
            <w:sdt>
              <w:sdtPr>
                <w:rPr>
                  <w:rFonts w:hint="eastAsia"/>
                  <w:sz w:val="24"/>
                </w:rPr>
                <w:alias w:val="前五名客户销售额"/>
                <w:tag w:val="_GBC_e497000fdfbc4e548555b7f8ddf9780c"/>
                <w:id w:val="147481779"/>
                <w:placeholder>
                  <w:docPart w:val="{25c0b201-45ad-4773-a954-9424808644d3}"/>
                </w:placeholder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/>
                    <w:sz w:val="24"/>
                  </w:rPr>
                  <w:t>262,140.32</w:t>
                </w:r>
              </w:sdtContent>
            </w:sdt>
            <w:sdt>
              <w:sdtPr>
                <w:rPr>
                  <w:rFonts w:hint="eastAsia"/>
                  <w:sz w:val="24"/>
                </w:rPr>
                <w:alias w:val="单位：前五名客户销售额"/>
                <w:tag w:val="_GBC_4bd6620b209a4bae8dc3404e8b89ea35"/>
                <w:id w:val="147461980"/>
                <w:placeholder>
                  <w:docPart w:val="{25c0b201-45ad-4773-a954-9424808644d3}"/>
                </w:placeholder>
                <w:comboBox>
                  <w:listItem w:displayText="元" w:value="1"/>
                  <w:listItem w:displayText="千元" w:value="1000"/>
                  <w:listItem w:displayText="万元" w:value="10000"/>
                  <w:listItem w:displayText="百万元" w:value="1000000"/>
                  <w:listItem w:displayText="亿元" w:value="100000000"/>
                </w:combo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/>
                    <w:sz w:val="24"/>
                  </w:rPr>
                  <w:t>万元</w:t>
                </w:r>
              </w:sdtContent>
            </w:sdt>
            <w:r>
              <w:rPr>
                <w:sz w:val="24"/>
              </w:rPr>
              <w:t>，占年度销售总</w:t>
            </w:r>
            <w:r>
              <w:rPr>
                <w:rFonts w:hint="eastAsia"/>
                <w:sz w:val="24"/>
                <w:lang w:eastAsia="zh-CN"/>
              </w:rPr>
              <w:t>额</w:t>
            </w:r>
            <w:r>
              <w:rPr>
                <w:rFonts w:hint="eastAsia"/>
                <w:sz w:val="24"/>
                <w:lang w:val="en-US" w:eastAsia="zh-CN"/>
              </w:rPr>
              <w:t>39.73%</w:t>
            </w:r>
            <w:r>
              <w:rPr>
                <w:rFonts w:hint="eastAsia" w:cs="Times New Roman"/>
                <w:sz w:val="24"/>
                <w:lang w:val="en-US" w:eastAsia="zh-CN"/>
              </w:rPr>
              <w:t>，五大客户</w:t>
            </w:r>
            <w:bookmarkStart w:id="0" w:name="_GoBack"/>
            <w:bookmarkEnd w:id="0"/>
            <w:r>
              <w:rPr>
                <w:rFonts w:hint="eastAsia" w:cs="Times New Roman"/>
                <w:sz w:val="24"/>
                <w:lang w:val="en-US" w:eastAsia="zh-CN"/>
              </w:rPr>
              <w:t>主要是煤炭贸易业务。</w:t>
            </w:r>
          </w:p>
          <w:p w14:paraId="4E135B31">
            <w:pPr>
              <w:pStyle w:val="9"/>
              <w:numPr>
                <w:ilvl w:val="0"/>
                <w:numId w:val="0"/>
              </w:numPr>
              <w:ind w:firstLine="480" w:firstLineChars="200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8.公司费率定价依据</w:t>
            </w:r>
          </w:p>
          <w:p w14:paraId="425E64DD">
            <w:pPr>
              <w:pStyle w:val="9"/>
              <w:numPr>
                <w:ilvl w:val="0"/>
                <w:numId w:val="0"/>
              </w:numPr>
              <w:ind w:firstLine="480" w:firstLineChars="200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公司严格遵循交通运输部下发的《港口计费收费办法》，实施清单化收费模式，并对所有收费价格进行公示，</w:t>
            </w:r>
            <w:r>
              <w:rPr>
                <w:rFonts w:hint="default" w:asciiTheme="minorEastAsia" w:hAnsiTheme="minorEastAsia" w:eastAsiaTheme="minorEastAsia"/>
                <w:lang w:val="en-US" w:eastAsia="zh-CN"/>
              </w:rPr>
              <w:t>确保收费依法合规、公开透明。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公司制定了完善的商务价格体系，</w:t>
            </w:r>
            <w:r>
              <w:rPr>
                <w:rFonts w:hint="default" w:asciiTheme="minorEastAsia" w:hAnsiTheme="minorEastAsia" w:eastAsiaTheme="minorEastAsia"/>
                <w:lang w:val="en-US" w:eastAsia="zh-CN"/>
              </w:rPr>
              <w:t>根据货类、内外贸、作业工艺及环节实施差异化定价策略，同时结合客户对公司航线及吞吐量的贡献度给予相应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优惠，</w:t>
            </w:r>
            <w:r>
              <w:rPr>
                <w:rFonts w:hint="default" w:asciiTheme="minorEastAsia" w:hAnsiTheme="minorEastAsia" w:eastAsiaTheme="minorEastAsia"/>
                <w:lang w:val="en-US" w:eastAsia="zh-CN"/>
              </w:rPr>
              <w:t>保证收费合理性，增强市场竞争力。</w:t>
            </w:r>
          </w:p>
          <w:p w14:paraId="2EB06E0F">
            <w:pPr>
              <w:pStyle w:val="9"/>
              <w:numPr>
                <w:ilvl w:val="0"/>
                <w:numId w:val="0"/>
              </w:numPr>
              <w:ind w:firstLine="480" w:firstLineChars="200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  <w:t>9.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中美贸易摩擦及全球供应链重构对公司货类结构的影响</w:t>
            </w:r>
          </w:p>
          <w:p w14:paraId="25E9936B">
            <w:pPr>
              <w:pStyle w:val="9"/>
              <w:numPr>
                <w:ilvl w:val="0"/>
                <w:numId w:val="0"/>
              </w:numPr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    公司</w:t>
            </w:r>
            <w:r>
              <w:rPr>
                <w:rFonts w:hint="default" w:asciiTheme="minorEastAsia" w:hAnsiTheme="minorEastAsia" w:eastAsiaTheme="minorEastAsia"/>
                <w:lang w:val="en-US" w:eastAsia="zh-CN"/>
              </w:rPr>
              <w:t>散杂货与美国港口往来货物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在</w:t>
            </w:r>
            <w:r>
              <w:rPr>
                <w:rFonts w:hint="default" w:asciiTheme="minorEastAsia" w:hAnsiTheme="minorEastAsia" w:eastAsiaTheme="minorEastAsia"/>
                <w:lang w:val="en-US" w:eastAsia="zh-CN"/>
              </w:rPr>
              <w:t>散杂货整体货源量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的占比较低</w:t>
            </w:r>
            <w:r>
              <w:rPr>
                <w:rFonts w:hint="default" w:asciiTheme="minorEastAsia" w:hAnsiTheme="minorEastAsia" w:eastAsiaTheme="minorEastAsia"/>
                <w:lang w:val="en-US" w:eastAsia="zh-CN"/>
              </w:rPr>
              <w:t>，集装箱航线在外贸箱量的占比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不高</w:t>
            </w:r>
            <w:r>
              <w:rPr>
                <w:rFonts w:hint="default" w:asciiTheme="minorEastAsia" w:hAnsiTheme="minorEastAsia" w:eastAsiaTheme="minorEastAsia"/>
                <w:lang w:val="en-US" w:eastAsia="zh-CN"/>
              </w:rPr>
              <w:t>。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相关</w:t>
            </w:r>
            <w:r>
              <w:rPr>
                <w:rFonts w:hint="default" w:asciiTheme="minorEastAsia" w:hAnsiTheme="minorEastAsia" w:eastAsiaTheme="minorEastAsia"/>
                <w:lang w:val="en-US" w:eastAsia="zh-CN"/>
              </w:rPr>
              <w:t>影响将通过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“</w:t>
            </w:r>
            <w:r>
              <w:rPr>
                <w:rFonts w:hint="default" w:asciiTheme="minorEastAsia" w:hAnsiTheme="minorEastAsia" w:eastAsiaTheme="minorEastAsia"/>
                <w:lang w:val="en-US" w:eastAsia="zh-CN"/>
              </w:rPr>
              <w:t>制造业-航运业-港口业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”</w:t>
            </w:r>
            <w:r>
              <w:rPr>
                <w:rFonts w:hint="default" w:asciiTheme="minorEastAsia" w:hAnsiTheme="minorEastAsia" w:eastAsiaTheme="minorEastAsia"/>
                <w:lang w:val="en-US" w:eastAsia="zh-CN"/>
              </w:rPr>
              <w:t>链条逐步传导显现，公司将持续关注后续发展，并积极提升服务效率、拓展重点航线、深挖货源潜力、强化营销推介、深化口岸协同等应对措施。</w:t>
            </w:r>
          </w:p>
          <w:p w14:paraId="2DBF1E95">
            <w:pPr>
              <w:pStyle w:val="9"/>
              <w:numPr>
                <w:ilvl w:val="0"/>
                <w:numId w:val="0"/>
              </w:numPr>
              <w:ind w:firstLine="480" w:firstLineChars="20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  <w:t>10.</w:t>
            </w:r>
            <w:r>
              <w:rPr>
                <w:rFonts w:hint="eastAsia" w:asciiTheme="minorEastAsia" w:hAnsiTheme="minorEastAsia" w:eastAsiaTheme="minorEastAsia"/>
              </w:rPr>
              <w:t>现金分红安排</w:t>
            </w:r>
          </w:p>
          <w:p w14:paraId="56BD47C5">
            <w:pPr>
              <w:pStyle w:val="9"/>
              <w:numPr>
                <w:ilvl w:val="0"/>
                <w:numId w:val="0"/>
              </w:numPr>
              <w:ind w:firstLine="480" w:firstLineChars="20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公司目前严格按照中国证监会《上市公司监管指引第3号——上市公司现金分红》、《上海证券交易所上市公司自律监管指引第1号——规范运作》等相关监管规则及《公司章程》要求，开展公司现金分红的相关工作。《公司章程》作为公司开展利润分配的制度保障，明确了利润分配的基本原则、具体政策、审议程序及实施等内容。公司自1996年上市以来始终坚持回馈投资者，在公司上市的2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/>
              </w:rPr>
              <w:t>年里，累计完成现金分红25次，分红金额达到48亿元，近五年通过现金和送股方式分红，实施的分红金额达到了同期归母净利润的52%。2024年向全体股东每10股派发现金红利1.04元人民币（含税），现金分红金额合计3.01亿元。</w:t>
            </w:r>
          </w:p>
          <w:p w14:paraId="241A7389">
            <w:pPr>
              <w:pStyle w:val="9"/>
              <w:numPr>
                <w:ilvl w:val="0"/>
                <w:numId w:val="0"/>
              </w:numPr>
              <w:ind w:firstLine="480" w:firstLineChars="200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</w:rPr>
              <w:t>公司未来将按照监管规则及《公司章程》要求，持续开展利润分配相关工作。</w:t>
            </w:r>
          </w:p>
          <w:p w14:paraId="102A2293">
            <w:pPr>
              <w:pStyle w:val="9"/>
              <w:rPr>
                <w:rFonts w:hint="default" w:asciiTheme="minorEastAsia" w:hAnsiTheme="minorEastAsia" w:eastAsiaTheme="minorEastAsia"/>
                <w:lang w:val="en-US" w:eastAsia="zh-CN"/>
              </w:rPr>
            </w:pPr>
          </w:p>
          <w:p w14:paraId="515DD949">
            <w:pPr>
              <w:pStyle w:val="9"/>
              <w:rPr>
                <w:rFonts w:asciiTheme="minorEastAsia" w:hAnsiTheme="minorEastAsia" w:eastAsiaTheme="minorEastAsia"/>
              </w:rPr>
            </w:pPr>
          </w:p>
          <w:p w14:paraId="1A4D81EB">
            <w:pPr>
              <w:pStyle w:val="9"/>
              <w:rPr>
                <w:rFonts w:asciiTheme="minorEastAsia" w:hAnsiTheme="minorEastAsia" w:eastAsiaTheme="minorEastAsia"/>
              </w:rPr>
            </w:pPr>
          </w:p>
          <w:p w14:paraId="756C4D16">
            <w:pPr>
              <w:pStyle w:val="9"/>
              <w:rPr>
                <w:rFonts w:asciiTheme="minorEastAsia" w:hAnsiTheme="minorEastAsia" w:eastAsiaTheme="minorEastAsia"/>
              </w:rPr>
            </w:pPr>
          </w:p>
          <w:p w14:paraId="7DE46F76">
            <w:pPr>
              <w:pStyle w:val="9"/>
              <w:rPr>
                <w:rFonts w:asciiTheme="minorEastAsia" w:hAnsiTheme="minorEastAsia" w:eastAsiaTheme="minorEastAsia"/>
              </w:rPr>
            </w:pPr>
          </w:p>
          <w:p w14:paraId="4CAFA788">
            <w:pPr>
              <w:pStyle w:val="9"/>
              <w:rPr>
                <w:rFonts w:asciiTheme="minorEastAsia" w:hAnsiTheme="minorEastAsia" w:eastAsiaTheme="minorEastAsia"/>
              </w:rPr>
            </w:pPr>
          </w:p>
          <w:p w14:paraId="4725B0A8">
            <w:pPr>
              <w:pStyle w:val="9"/>
              <w:rPr>
                <w:rFonts w:asciiTheme="minorEastAsia" w:hAnsiTheme="minorEastAsia" w:eastAsiaTheme="minorEastAsia"/>
              </w:rPr>
            </w:pPr>
          </w:p>
          <w:p w14:paraId="42D11D3F">
            <w:pPr>
              <w:pStyle w:val="9"/>
              <w:rPr>
                <w:rFonts w:asciiTheme="minorEastAsia" w:hAnsiTheme="minorEastAsia" w:eastAsiaTheme="minorEastAsia"/>
              </w:rPr>
            </w:pPr>
          </w:p>
          <w:p w14:paraId="1CBB0C15">
            <w:pPr>
              <w:pStyle w:val="9"/>
              <w:rPr>
                <w:rFonts w:asciiTheme="minorEastAsia" w:hAnsiTheme="minorEastAsia" w:eastAsiaTheme="minorEastAsia"/>
              </w:rPr>
            </w:pPr>
          </w:p>
          <w:p w14:paraId="6B7598A9">
            <w:pPr>
              <w:pStyle w:val="9"/>
              <w:rPr>
                <w:rFonts w:asciiTheme="minorEastAsia" w:hAnsiTheme="minorEastAsia" w:eastAsiaTheme="minorEastAsia"/>
              </w:rPr>
            </w:pPr>
          </w:p>
          <w:p w14:paraId="72488667">
            <w:pPr>
              <w:pStyle w:val="9"/>
              <w:rPr>
                <w:rFonts w:asciiTheme="minorEastAsia" w:hAnsiTheme="minorEastAsia" w:eastAsiaTheme="minorEastAsia"/>
              </w:rPr>
            </w:pPr>
          </w:p>
          <w:p w14:paraId="004957AA">
            <w:pPr>
              <w:pStyle w:val="9"/>
              <w:rPr>
                <w:rFonts w:asciiTheme="minorEastAsia" w:hAnsiTheme="minorEastAsia" w:eastAsiaTheme="minorEastAsia"/>
              </w:rPr>
            </w:pPr>
          </w:p>
          <w:p w14:paraId="75A4669E">
            <w:pPr>
              <w:pStyle w:val="9"/>
              <w:rPr>
                <w:rFonts w:asciiTheme="minorEastAsia" w:hAnsiTheme="minorEastAsia" w:eastAsiaTheme="minorEastAsia"/>
              </w:rPr>
            </w:pPr>
          </w:p>
          <w:p w14:paraId="020DFC9B">
            <w:pPr>
              <w:pStyle w:val="9"/>
              <w:rPr>
                <w:rFonts w:asciiTheme="minorEastAsia" w:hAnsiTheme="minorEastAsia" w:eastAsiaTheme="minorEastAsia"/>
              </w:rPr>
            </w:pPr>
          </w:p>
          <w:p w14:paraId="35788A67">
            <w:pPr>
              <w:pStyle w:val="9"/>
              <w:rPr>
                <w:rFonts w:asciiTheme="minorEastAsia" w:hAnsiTheme="minorEastAsia" w:eastAsiaTheme="minorEastAsia"/>
              </w:rPr>
            </w:pPr>
          </w:p>
          <w:p w14:paraId="1A3306BC">
            <w:pPr>
              <w:pStyle w:val="9"/>
              <w:rPr>
                <w:rFonts w:asciiTheme="minorEastAsia" w:hAnsiTheme="minorEastAsia" w:eastAsiaTheme="minorEastAsia"/>
              </w:rPr>
            </w:pPr>
          </w:p>
          <w:p w14:paraId="56E7D53C">
            <w:pPr>
              <w:pStyle w:val="9"/>
              <w:rPr>
                <w:rFonts w:asciiTheme="minorEastAsia" w:hAnsiTheme="minorEastAsia" w:eastAsiaTheme="minorEastAsia"/>
              </w:rPr>
            </w:pPr>
          </w:p>
          <w:p w14:paraId="1029E8CE">
            <w:pPr>
              <w:pStyle w:val="9"/>
              <w:rPr>
                <w:rFonts w:asciiTheme="minorEastAsia" w:hAnsiTheme="minorEastAsia" w:eastAsiaTheme="minorEastAsia"/>
              </w:rPr>
            </w:pPr>
          </w:p>
          <w:p w14:paraId="5928F134">
            <w:pPr>
              <w:pStyle w:val="9"/>
              <w:rPr>
                <w:rFonts w:asciiTheme="minorEastAsia" w:hAnsiTheme="minorEastAsia" w:eastAsiaTheme="minorEastAsia"/>
              </w:rPr>
            </w:pPr>
          </w:p>
          <w:p w14:paraId="2C7005CE">
            <w:pPr>
              <w:pStyle w:val="9"/>
              <w:rPr>
                <w:rFonts w:asciiTheme="minorEastAsia" w:hAnsiTheme="minorEastAsia" w:eastAsiaTheme="minorEastAsia"/>
              </w:rPr>
            </w:pPr>
          </w:p>
          <w:p w14:paraId="3800F065">
            <w:pPr>
              <w:pStyle w:val="9"/>
              <w:rPr>
                <w:rFonts w:hint="eastAsia" w:asciiTheme="minorEastAsia" w:hAnsiTheme="minorEastAsia" w:eastAsiaTheme="minorEastAsia"/>
              </w:rPr>
            </w:pPr>
          </w:p>
          <w:p w14:paraId="084C77B9">
            <w:pPr>
              <w:pStyle w:val="9"/>
              <w:rPr>
                <w:rFonts w:asciiTheme="minorEastAsia" w:hAnsiTheme="minorEastAsia" w:eastAsiaTheme="minorEastAsia"/>
              </w:rPr>
            </w:pPr>
          </w:p>
          <w:p w14:paraId="528ABD70">
            <w:pPr>
              <w:pStyle w:val="9"/>
              <w:rPr>
                <w:rFonts w:asciiTheme="minorEastAsia" w:hAnsiTheme="minorEastAsia" w:eastAsiaTheme="minorEastAsia"/>
              </w:rPr>
            </w:pPr>
          </w:p>
          <w:p w14:paraId="334378C0">
            <w:pPr>
              <w:pStyle w:val="9"/>
              <w:ind w:firstLine="0" w:firstLineChars="0"/>
              <w:rPr>
                <w:rFonts w:asciiTheme="minorEastAsia" w:hAnsiTheme="minorEastAsia" w:eastAsiaTheme="minorEastAsia"/>
              </w:rPr>
            </w:pPr>
          </w:p>
          <w:p w14:paraId="4CD5DE30">
            <w:pPr>
              <w:pStyle w:val="9"/>
              <w:ind w:firstLine="0" w:firstLineChars="0"/>
              <w:rPr>
                <w:rFonts w:asciiTheme="minorEastAsia" w:hAnsiTheme="minorEastAsia" w:eastAsiaTheme="minorEastAsia"/>
              </w:rPr>
            </w:pPr>
          </w:p>
        </w:tc>
      </w:tr>
    </w:tbl>
    <w:p w14:paraId="50580E8D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1460C">
    <w:pPr>
      <w:pStyle w:val="5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1NzQzMzBiM2IyN2YxMjM0NjFkY2UzMzNiZDMzMjEifQ=="/>
  </w:docVars>
  <w:rsids>
    <w:rsidRoot w:val="006861C7"/>
    <w:rsid w:val="0000695E"/>
    <w:rsid w:val="000268C0"/>
    <w:rsid w:val="00026A12"/>
    <w:rsid w:val="000363B5"/>
    <w:rsid w:val="00036D9D"/>
    <w:rsid w:val="000375D7"/>
    <w:rsid w:val="00043015"/>
    <w:rsid w:val="00044B01"/>
    <w:rsid w:val="00046DDE"/>
    <w:rsid w:val="000479D0"/>
    <w:rsid w:val="00047EB9"/>
    <w:rsid w:val="00053546"/>
    <w:rsid w:val="00060A74"/>
    <w:rsid w:val="00067110"/>
    <w:rsid w:val="00090C36"/>
    <w:rsid w:val="0009298A"/>
    <w:rsid w:val="000A2808"/>
    <w:rsid w:val="000A3707"/>
    <w:rsid w:val="000A3BAC"/>
    <w:rsid w:val="000C26FD"/>
    <w:rsid w:val="000C2D85"/>
    <w:rsid w:val="000C6E35"/>
    <w:rsid w:val="000D09A0"/>
    <w:rsid w:val="000E4C6C"/>
    <w:rsid w:val="000E5700"/>
    <w:rsid w:val="000F0C4B"/>
    <w:rsid w:val="000F0E22"/>
    <w:rsid w:val="000F179D"/>
    <w:rsid w:val="00105A04"/>
    <w:rsid w:val="00111E72"/>
    <w:rsid w:val="001169A9"/>
    <w:rsid w:val="00125EB2"/>
    <w:rsid w:val="00126315"/>
    <w:rsid w:val="0012749D"/>
    <w:rsid w:val="0013054E"/>
    <w:rsid w:val="00132DAF"/>
    <w:rsid w:val="00142A4C"/>
    <w:rsid w:val="00144279"/>
    <w:rsid w:val="001452FF"/>
    <w:rsid w:val="001526E8"/>
    <w:rsid w:val="0015477A"/>
    <w:rsid w:val="00154EA0"/>
    <w:rsid w:val="00161916"/>
    <w:rsid w:val="0016530E"/>
    <w:rsid w:val="0016617A"/>
    <w:rsid w:val="00167E99"/>
    <w:rsid w:val="00176B4E"/>
    <w:rsid w:val="0019658A"/>
    <w:rsid w:val="001975AB"/>
    <w:rsid w:val="001A00F5"/>
    <w:rsid w:val="001A1F65"/>
    <w:rsid w:val="001A5CE9"/>
    <w:rsid w:val="001C33DC"/>
    <w:rsid w:val="001C50AD"/>
    <w:rsid w:val="001D198C"/>
    <w:rsid w:val="001D22EE"/>
    <w:rsid w:val="001D4C89"/>
    <w:rsid w:val="001E1838"/>
    <w:rsid w:val="001E3145"/>
    <w:rsid w:val="001E6509"/>
    <w:rsid w:val="001E71FF"/>
    <w:rsid w:val="001E7968"/>
    <w:rsid w:val="001F60CA"/>
    <w:rsid w:val="00220790"/>
    <w:rsid w:val="0022180A"/>
    <w:rsid w:val="00223ABC"/>
    <w:rsid w:val="002241B9"/>
    <w:rsid w:val="002264E0"/>
    <w:rsid w:val="002274D9"/>
    <w:rsid w:val="0023455A"/>
    <w:rsid w:val="00237994"/>
    <w:rsid w:val="0024470D"/>
    <w:rsid w:val="0024713E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3F50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2497"/>
    <w:rsid w:val="003030BF"/>
    <w:rsid w:val="00304F89"/>
    <w:rsid w:val="00306023"/>
    <w:rsid w:val="00311823"/>
    <w:rsid w:val="003226FD"/>
    <w:rsid w:val="00327D5D"/>
    <w:rsid w:val="00340039"/>
    <w:rsid w:val="0034372F"/>
    <w:rsid w:val="00344914"/>
    <w:rsid w:val="00345B51"/>
    <w:rsid w:val="00346917"/>
    <w:rsid w:val="0035084D"/>
    <w:rsid w:val="00354A7B"/>
    <w:rsid w:val="00360FDA"/>
    <w:rsid w:val="00363075"/>
    <w:rsid w:val="0036329C"/>
    <w:rsid w:val="00365BD1"/>
    <w:rsid w:val="00367D18"/>
    <w:rsid w:val="00372A1C"/>
    <w:rsid w:val="0037435A"/>
    <w:rsid w:val="00376CE5"/>
    <w:rsid w:val="00377D8F"/>
    <w:rsid w:val="00383679"/>
    <w:rsid w:val="003A1E68"/>
    <w:rsid w:val="003B0122"/>
    <w:rsid w:val="003B0BE5"/>
    <w:rsid w:val="003B4F6E"/>
    <w:rsid w:val="003C2D53"/>
    <w:rsid w:val="003C6E6E"/>
    <w:rsid w:val="003D18F1"/>
    <w:rsid w:val="003D205A"/>
    <w:rsid w:val="003E001E"/>
    <w:rsid w:val="003E1C22"/>
    <w:rsid w:val="003F0DEA"/>
    <w:rsid w:val="003F297A"/>
    <w:rsid w:val="003F7C4D"/>
    <w:rsid w:val="0040075F"/>
    <w:rsid w:val="00403300"/>
    <w:rsid w:val="0041012E"/>
    <w:rsid w:val="004118C0"/>
    <w:rsid w:val="00417A31"/>
    <w:rsid w:val="0042004B"/>
    <w:rsid w:val="00433384"/>
    <w:rsid w:val="0043777D"/>
    <w:rsid w:val="00441F3B"/>
    <w:rsid w:val="00441FD0"/>
    <w:rsid w:val="00444828"/>
    <w:rsid w:val="00455AC4"/>
    <w:rsid w:val="0045767F"/>
    <w:rsid w:val="00463E9B"/>
    <w:rsid w:val="00464924"/>
    <w:rsid w:val="00467414"/>
    <w:rsid w:val="00473F30"/>
    <w:rsid w:val="0048591A"/>
    <w:rsid w:val="00486D86"/>
    <w:rsid w:val="004871BB"/>
    <w:rsid w:val="0048721A"/>
    <w:rsid w:val="0049352F"/>
    <w:rsid w:val="004A0BD5"/>
    <w:rsid w:val="004A1BBF"/>
    <w:rsid w:val="004A73E5"/>
    <w:rsid w:val="004A7EAE"/>
    <w:rsid w:val="004C19BF"/>
    <w:rsid w:val="004D1001"/>
    <w:rsid w:val="004D7640"/>
    <w:rsid w:val="004E1A9B"/>
    <w:rsid w:val="004E1BB3"/>
    <w:rsid w:val="004E7CCE"/>
    <w:rsid w:val="004F0E07"/>
    <w:rsid w:val="004F1E7A"/>
    <w:rsid w:val="00500AB6"/>
    <w:rsid w:val="005155FB"/>
    <w:rsid w:val="0052077F"/>
    <w:rsid w:val="00522763"/>
    <w:rsid w:val="005228A2"/>
    <w:rsid w:val="00523907"/>
    <w:rsid w:val="00535D86"/>
    <w:rsid w:val="00537C53"/>
    <w:rsid w:val="00540787"/>
    <w:rsid w:val="005438F5"/>
    <w:rsid w:val="00544901"/>
    <w:rsid w:val="00544AF0"/>
    <w:rsid w:val="005474D3"/>
    <w:rsid w:val="00550737"/>
    <w:rsid w:val="00555DD2"/>
    <w:rsid w:val="00556D03"/>
    <w:rsid w:val="00565ED9"/>
    <w:rsid w:val="005760C6"/>
    <w:rsid w:val="00585A1B"/>
    <w:rsid w:val="00587AC2"/>
    <w:rsid w:val="00591260"/>
    <w:rsid w:val="00591314"/>
    <w:rsid w:val="00593727"/>
    <w:rsid w:val="00593D40"/>
    <w:rsid w:val="00595187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5F344E"/>
    <w:rsid w:val="005F6CCF"/>
    <w:rsid w:val="006039E2"/>
    <w:rsid w:val="00607734"/>
    <w:rsid w:val="0060779A"/>
    <w:rsid w:val="00610534"/>
    <w:rsid w:val="00622F13"/>
    <w:rsid w:val="00623396"/>
    <w:rsid w:val="00625503"/>
    <w:rsid w:val="0062662D"/>
    <w:rsid w:val="00632E78"/>
    <w:rsid w:val="006344F1"/>
    <w:rsid w:val="00637186"/>
    <w:rsid w:val="0064616F"/>
    <w:rsid w:val="00646DF4"/>
    <w:rsid w:val="00651DE6"/>
    <w:rsid w:val="006523BB"/>
    <w:rsid w:val="0065347E"/>
    <w:rsid w:val="00654B49"/>
    <w:rsid w:val="00662505"/>
    <w:rsid w:val="0066433C"/>
    <w:rsid w:val="0066674C"/>
    <w:rsid w:val="00674B14"/>
    <w:rsid w:val="006760F7"/>
    <w:rsid w:val="006861C7"/>
    <w:rsid w:val="00686DDF"/>
    <w:rsid w:val="00697B12"/>
    <w:rsid w:val="006A55BB"/>
    <w:rsid w:val="006A7613"/>
    <w:rsid w:val="006B0CC1"/>
    <w:rsid w:val="006B278E"/>
    <w:rsid w:val="006B661A"/>
    <w:rsid w:val="006B7CE7"/>
    <w:rsid w:val="006B7D00"/>
    <w:rsid w:val="006C6BC5"/>
    <w:rsid w:val="006D0C68"/>
    <w:rsid w:val="006D61A2"/>
    <w:rsid w:val="006E128B"/>
    <w:rsid w:val="006E1DB4"/>
    <w:rsid w:val="00712CE1"/>
    <w:rsid w:val="007167C5"/>
    <w:rsid w:val="0075113D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7F19CC"/>
    <w:rsid w:val="0080525B"/>
    <w:rsid w:val="00805F53"/>
    <w:rsid w:val="008062C5"/>
    <w:rsid w:val="00806B50"/>
    <w:rsid w:val="0080741A"/>
    <w:rsid w:val="00812E79"/>
    <w:rsid w:val="00814B5B"/>
    <w:rsid w:val="008175E6"/>
    <w:rsid w:val="00821D8F"/>
    <w:rsid w:val="00836F34"/>
    <w:rsid w:val="00843E73"/>
    <w:rsid w:val="00844EBF"/>
    <w:rsid w:val="00852842"/>
    <w:rsid w:val="00853C20"/>
    <w:rsid w:val="00854F61"/>
    <w:rsid w:val="00864202"/>
    <w:rsid w:val="00870637"/>
    <w:rsid w:val="00873B59"/>
    <w:rsid w:val="00876DC1"/>
    <w:rsid w:val="0087701F"/>
    <w:rsid w:val="0089283D"/>
    <w:rsid w:val="008949D9"/>
    <w:rsid w:val="0089627C"/>
    <w:rsid w:val="008A0ADC"/>
    <w:rsid w:val="008A1BAB"/>
    <w:rsid w:val="008A255F"/>
    <w:rsid w:val="008A30E1"/>
    <w:rsid w:val="008B38B7"/>
    <w:rsid w:val="008B458E"/>
    <w:rsid w:val="008C4D4A"/>
    <w:rsid w:val="008E0A0F"/>
    <w:rsid w:val="008E11AE"/>
    <w:rsid w:val="008E1708"/>
    <w:rsid w:val="008E4844"/>
    <w:rsid w:val="008F427C"/>
    <w:rsid w:val="00904492"/>
    <w:rsid w:val="00904DFB"/>
    <w:rsid w:val="00910774"/>
    <w:rsid w:val="00912D2B"/>
    <w:rsid w:val="0091457B"/>
    <w:rsid w:val="00923763"/>
    <w:rsid w:val="00924A4B"/>
    <w:rsid w:val="00930ED6"/>
    <w:rsid w:val="0093293F"/>
    <w:rsid w:val="00933105"/>
    <w:rsid w:val="00936C19"/>
    <w:rsid w:val="009410F5"/>
    <w:rsid w:val="00946BB5"/>
    <w:rsid w:val="009474EF"/>
    <w:rsid w:val="00951C24"/>
    <w:rsid w:val="00962626"/>
    <w:rsid w:val="00975A2C"/>
    <w:rsid w:val="009767DD"/>
    <w:rsid w:val="00977AF2"/>
    <w:rsid w:val="00981759"/>
    <w:rsid w:val="00985FC5"/>
    <w:rsid w:val="00993BDD"/>
    <w:rsid w:val="00993D05"/>
    <w:rsid w:val="009A6DFB"/>
    <w:rsid w:val="009B3036"/>
    <w:rsid w:val="009B6EC0"/>
    <w:rsid w:val="009C7FAF"/>
    <w:rsid w:val="009D4199"/>
    <w:rsid w:val="009E5E6A"/>
    <w:rsid w:val="009F01A2"/>
    <w:rsid w:val="009F0DD5"/>
    <w:rsid w:val="009F1B95"/>
    <w:rsid w:val="009F6C05"/>
    <w:rsid w:val="00A13CB6"/>
    <w:rsid w:val="00A14A1A"/>
    <w:rsid w:val="00A22CDD"/>
    <w:rsid w:val="00A253AB"/>
    <w:rsid w:val="00A25AEE"/>
    <w:rsid w:val="00A31EB1"/>
    <w:rsid w:val="00A33AEA"/>
    <w:rsid w:val="00A353F9"/>
    <w:rsid w:val="00A408EF"/>
    <w:rsid w:val="00A461CD"/>
    <w:rsid w:val="00A469C5"/>
    <w:rsid w:val="00A5317D"/>
    <w:rsid w:val="00A6284E"/>
    <w:rsid w:val="00A63E81"/>
    <w:rsid w:val="00A6692E"/>
    <w:rsid w:val="00A8094C"/>
    <w:rsid w:val="00A8172A"/>
    <w:rsid w:val="00A856AB"/>
    <w:rsid w:val="00A8775A"/>
    <w:rsid w:val="00A9184E"/>
    <w:rsid w:val="00A92D96"/>
    <w:rsid w:val="00AA5998"/>
    <w:rsid w:val="00AB07E7"/>
    <w:rsid w:val="00AD1BA8"/>
    <w:rsid w:val="00AD61A3"/>
    <w:rsid w:val="00AE4078"/>
    <w:rsid w:val="00AF7C89"/>
    <w:rsid w:val="00B02A29"/>
    <w:rsid w:val="00B03522"/>
    <w:rsid w:val="00B04AD6"/>
    <w:rsid w:val="00B14CAA"/>
    <w:rsid w:val="00B228F1"/>
    <w:rsid w:val="00B257CE"/>
    <w:rsid w:val="00B350AD"/>
    <w:rsid w:val="00B350CC"/>
    <w:rsid w:val="00B4746C"/>
    <w:rsid w:val="00B54527"/>
    <w:rsid w:val="00B6265E"/>
    <w:rsid w:val="00B65354"/>
    <w:rsid w:val="00B71A0E"/>
    <w:rsid w:val="00B76D61"/>
    <w:rsid w:val="00B81765"/>
    <w:rsid w:val="00B832F5"/>
    <w:rsid w:val="00B91A0A"/>
    <w:rsid w:val="00BA1895"/>
    <w:rsid w:val="00BA1A55"/>
    <w:rsid w:val="00BA2FAB"/>
    <w:rsid w:val="00BB5E28"/>
    <w:rsid w:val="00BD15F3"/>
    <w:rsid w:val="00BD53EF"/>
    <w:rsid w:val="00BD7986"/>
    <w:rsid w:val="00BD79D3"/>
    <w:rsid w:val="00BF5884"/>
    <w:rsid w:val="00C04F82"/>
    <w:rsid w:val="00C15AC0"/>
    <w:rsid w:val="00C17277"/>
    <w:rsid w:val="00C23847"/>
    <w:rsid w:val="00C26030"/>
    <w:rsid w:val="00C40681"/>
    <w:rsid w:val="00C41091"/>
    <w:rsid w:val="00C4401B"/>
    <w:rsid w:val="00C51D58"/>
    <w:rsid w:val="00C63056"/>
    <w:rsid w:val="00C661D1"/>
    <w:rsid w:val="00C71D51"/>
    <w:rsid w:val="00C7553C"/>
    <w:rsid w:val="00C775BA"/>
    <w:rsid w:val="00C85331"/>
    <w:rsid w:val="00C85500"/>
    <w:rsid w:val="00C85A50"/>
    <w:rsid w:val="00C92DFE"/>
    <w:rsid w:val="00C94D46"/>
    <w:rsid w:val="00CA1A9A"/>
    <w:rsid w:val="00CA443A"/>
    <w:rsid w:val="00CB2461"/>
    <w:rsid w:val="00CB37FD"/>
    <w:rsid w:val="00CC4D65"/>
    <w:rsid w:val="00CC61E7"/>
    <w:rsid w:val="00CD25AD"/>
    <w:rsid w:val="00CD3FFC"/>
    <w:rsid w:val="00CE61BF"/>
    <w:rsid w:val="00CF011B"/>
    <w:rsid w:val="00CF0129"/>
    <w:rsid w:val="00CF565C"/>
    <w:rsid w:val="00D016A3"/>
    <w:rsid w:val="00D0314C"/>
    <w:rsid w:val="00D14E74"/>
    <w:rsid w:val="00D251AA"/>
    <w:rsid w:val="00D512E3"/>
    <w:rsid w:val="00D525F9"/>
    <w:rsid w:val="00D573C1"/>
    <w:rsid w:val="00D602C9"/>
    <w:rsid w:val="00D807DA"/>
    <w:rsid w:val="00DA26A9"/>
    <w:rsid w:val="00DA433D"/>
    <w:rsid w:val="00DB01FF"/>
    <w:rsid w:val="00DB5AA6"/>
    <w:rsid w:val="00DC261A"/>
    <w:rsid w:val="00DC7778"/>
    <w:rsid w:val="00DD366B"/>
    <w:rsid w:val="00DE7391"/>
    <w:rsid w:val="00DF2DB5"/>
    <w:rsid w:val="00DF6560"/>
    <w:rsid w:val="00E04CC0"/>
    <w:rsid w:val="00E136FF"/>
    <w:rsid w:val="00E32528"/>
    <w:rsid w:val="00E35F26"/>
    <w:rsid w:val="00E53165"/>
    <w:rsid w:val="00E557B1"/>
    <w:rsid w:val="00E61EF7"/>
    <w:rsid w:val="00E663B4"/>
    <w:rsid w:val="00E71759"/>
    <w:rsid w:val="00E73C19"/>
    <w:rsid w:val="00E80CEB"/>
    <w:rsid w:val="00E816ED"/>
    <w:rsid w:val="00EA5103"/>
    <w:rsid w:val="00EA6FB9"/>
    <w:rsid w:val="00EB2E28"/>
    <w:rsid w:val="00EB5E6A"/>
    <w:rsid w:val="00EC2AD7"/>
    <w:rsid w:val="00ED7DE0"/>
    <w:rsid w:val="00ED7F01"/>
    <w:rsid w:val="00EE171D"/>
    <w:rsid w:val="00EE7891"/>
    <w:rsid w:val="00EF49FE"/>
    <w:rsid w:val="00EF5341"/>
    <w:rsid w:val="00EF5E71"/>
    <w:rsid w:val="00EF7950"/>
    <w:rsid w:val="00F01D38"/>
    <w:rsid w:val="00F022C1"/>
    <w:rsid w:val="00F04908"/>
    <w:rsid w:val="00F07C21"/>
    <w:rsid w:val="00F12EF6"/>
    <w:rsid w:val="00F21065"/>
    <w:rsid w:val="00F225A5"/>
    <w:rsid w:val="00F24CB4"/>
    <w:rsid w:val="00F27847"/>
    <w:rsid w:val="00F31E44"/>
    <w:rsid w:val="00F355EF"/>
    <w:rsid w:val="00F43465"/>
    <w:rsid w:val="00F45475"/>
    <w:rsid w:val="00F64E72"/>
    <w:rsid w:val="00F65424"/>
    <w:rsid w:val="00F70C7D"/>
    <w:rsid w:val="00F72042"/>
    <w:rsid w:val="00F9272E"/>
    <w:rsid w:val="00F97743"/>
    <w:rsid w:val="00FA6DAF"/>
    <w:rsid w:val="00FB56E9"/>
    <w:rsid w:val="00FC6884"/>
    <w:rsid w:val="00FE566B"/>
    <w:rsid w:val="00FE62F3"/>
    <w:rsid w:val="00FF71D2"/>
    <w:rsid w:val="02B81FC4"/>
    <w:rsid w:val="02DF39F5"/>
    <w:rsid w:val="05A351AD"/>
    <w:rsid w:val="05C0366A"/>
    <w:rsid w:val="05C14C3D"/>
    <w:rsid w:val="06D870D9"/>
    <w:rsid w:val="08B410DE"/>
    <w:rsid w:val="09293304"/>
    <w:rsid w:val="0CEE4F60"/>
    <w:rsid w:val="0DB43078"/>
    <w:rsid w:val="13877630"/>
    <w:rsid w:val="140C1569"/>
    <w:rsid w:val="189F1804"/>
    <w:rsid w:val="19040FC4"/>
    <w:rsid w:val="19196E74"/>
    <w:rsid w:val="1B2418A5"/>
    <w:rsid w:val="1B750E0A"/>
    <w:rsid w:val="1CDD28FB"/>
    <w:rsid w:val="1D0640F7"/>
    <w:rsid w:val="1DB63878"/>
    <w:rsid w:val="1F9000F9"/>
    <w:rsid w:val="1FBFC074"/>
    <w:rsid w:val="20243BCC"/>
    <w:rsid w:val="21283172"/>
    <w:rsid w:val="255F2A47"/>
    <w:rsid w:val="25652EDE"/>
    <w:rsid w:val="2A0616E3"/>
    <w:rsid w:val="31014425"/>
    <w:rsid w:val="335E60EC"/>
    <w:rsid w:val="33645A78"/>
    <w:rsid w:val="33B14BC3"/>
    <w:rsid w:val="35902FA2"/>
    <w:rsid w:val="36743E79"/>
    <w:rsid w:val="36C720A4"/>
    <w:rsid w:val="36FB9E1F"/>
    <w:rsid w:val="381946E1"/>
    <w:rsid w:val="39B003B6"/>
    <w:rsid w:val="3A50345B"/>
    <w:rsid w:val="3AE27603"/>
    <w:rsid w:val="3B9D79CE"/>
    <w:rsid w:val="3BFA3B96"/>
    <w:rsid w:val="3CEF3472"/>
    <w:rsid w:val="3E120292"/>
    <w:rsid w:val="3EFF16E9"/>
    <w:rsid w:val="40E57E4D"/>
    <w:rsid w:val="420E5181"/>
    <w:rsid w:val="434A043B"/>
    <w:rsid w:val="47FA75D9"/>
    <w:rsid w:val="48594C7C"/>
    <w:rsid w:val="4A8232F8"/>
    <w:rsid w:val="4AB663B6"/>
    <w:rsid w:val="4E2D2E33"/>
    <w:rsid w:val="4EA71B98"/>
    <w:rsid w:val="519A07DF"/>
    <w:rsid w:val="52BB6C5F"/>
    <w:rsid w:val="546649A9"/>
    <w:rsid w:val="548D79E3"/>
    <w:rsid w:val="567D5022"/>
    <w:rsid w:val="5A0C5FF2"/>
    <w:rsid w:val="5A7B6CD4"/>
    <w:rsid w:val="5B242EC8"/>
    <w:rsid w:val="5B7F07AB"/>
    <w:rsid w:val="5DA14CA4"/>
    <w:rsid w:val="620D46B6"/>
    <w:rsid w:val="62255EA3"/>
    <w:rsid w:val="63100A20"/>
    <w:rsid w:val="644A563F"/>
    <w:rsid w:val="64AA4AE5"/>
    <w:rsid w:val="665C20B0"/>
    <w:rsid w:val="67F02A95"/>
    <w:rsid w:val="6910200B"/>
    <w:rsid w:val="6E8757F0"/>
    <w:rsid w:val="707B6D5D"/>
    <w:rsid w:val="715776FB"/>
    <w:rsid w:val="71954707"/>
    <w:rsid w:val="7206621D"/>
    <w:rsid w:val="73AF2A42"/>
    <w:rsid w:val="76676633"/>
    <w:rsid w:val="77CF73AC"/>
    <w:rsid w:val="78FF0116"/>
    <w:rsid w:val="7B915F00"/>
    <w:rsid w:val="B7DDD54D"/>
    <w:rsid w:val="E3FFE6ED"/>
    <w:rsid w:val="F5DB8A63"/>
    <w:rsid w:val="F797912E"/>
    <w:rsid w:val="FE7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spacing w:before="50" w:beforeLines="50"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3"/>
      <w:lang w:val="en-US" w:eastAsia="zh-CN" w:bidi="ar-SA"/>
    </w:rPr>
  </w:style>
  <w:style w:type="paragraph" w:styleId="3">
    <w:name w:val="Balloon Text"/>
    <w:basedOn w:val="1"/>
    <w:link w:val="17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6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customStyle="1" w:styleId="9">
    <w:name w:val="_Style 6"/>
    <w:basedOn w:val="1"/>
    <w:autoRedefine/>
    <w:qFormat/>
    <w:uiPriority w:val="34"/>
    <w:pPr>
      <w:spacing w:line="460" w:lineRule="exact"/>
      <w:ind w:firstLine="480" w:firstLineChars="200"/>
    </w:pPr>
    <w:rPr>
      <w:rFonts w:ascii="宋体" w:hAnsi="宋体"/>
      <w:sz w:val="24"/>
    </w:rPr>
  </w:style>
  <w:style w:type="paragraph" w:customStyle="1" w:styleId="10">
    <w:name w:val="Char Char Char"/>
    <w:basedOn w:val="1"/>
    <w:autoRedefine/>
    <w:qFormat/>
    <w:uiPriority w:val="0"/>
    <w:rPr>
      <w:szCs w:val="21"/>
    </w:rPr>
  </w:style>
  <w:style w:type="paragraph" w:customStyle="1" w:styleId="11">
    <w:name w:val="Char Char Char Char Char Char Char Char Char Char Char Char Char Char Char Char"/>
    <w:basedOn w:val="1"/>
    <w:autoRedefine/>
    <w:qFormat/>
    <w:uiPriority w:val="0"/>
  </w:style>
  <w:style w:type="paragraph" w:customStyle="1" w:styleId="12">
    <w:name w:val="Char Char Char1"/>
    <w:basedOn w:val="1"/>
    <w:autoRedefine/>
    <w:qFormat/>
    <w:uiPriority w:val="0"/>
  </w:style>
  <w:style w:type="character" w:customStyle="1" w:styleId="13">
    <w:name w:val="页脚 Char"/>
    <w:basedOn w:val="8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眉 Char"/>
    <w:basedOn w:val="8"/>
    <w:link w:val="5"/>
    <w:qFormat/>
    <w:uiPriority w:val="0"/>
    <w:rPr>
      <w:kern w:val="2"/>
      <w:sz w:val="18"/>
      <w:szCs w:val="18"/>
    </w:rPr>
  </w:style>
  <w:style w:type="paragraph" w:styleId="15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6">
    <w:name w:val="HTML 预设格式 Char"/>
    <w:basedOn w:val="8"/>
    <w:link w:val="6"/>
    <w:autoRedefine/>
    <w:qFormat/>
    <w:uiPriority w:val="99"/>
    <w:rPr>
      <w:rFonts w:ascii="宋体" w:hAnsi="宋体"/>
      <w:sz w:val="24"/>
      <w:szCs w:val="24"/>
    </w:rPr>
  </w:style>
  <w:style w:type="character" w:customStyle="1" w:styleId="17">
    <w:name w:val="批注框文本 Char"/>
    <w:basedOn w:val="8"/>
    <w:link w:val="3"/>
    <w:semiHidden/>
    <w:qFormat/>
    <w:uiPriority w:val="0"/>
    <w:rPr>
      <w:kern w:val="2"/>
      <w:sz w:val="18"/>
      <w:szCs w:val="18"/>
    </w:rPr>
  </w:style>
  <w:style w:type="character" w:styleId="18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25c0b201-45ad-4773-a954-9424808644d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5c0b201-45ad-4773-a954-9424808644d3}"/>
      </w:docPartPr>
      <w:docPartBody>
        <w:p w14:paraId="6F17F852">
          <w:pPr>
            <w:rPr>
              <w:rFonts w:hint="eastAsia"/>
            </w:rPr>
          </w:pPr>
          <w:r>
            <w:rPr>
              <w:rStyle w:val="3"/>
              <w:rFonts w:hint="eastAsia"/>
              <w:color w:val="333399"/>
              <w:u w:val="single"/>
            </w:rPr>
            <w:t>　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5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character" w:styleId="3">
    <w:name w:val="Placeholder Text"/>
    <w:basedOn w:val="2"/>
    <w:semiHidden/>
    <w:qFormat/>
    <w:uiPriority w:val="99"/>
    <w:rPr>
      <w:color w:val="808080"/>
    </w:rPr>
  </w:style>
</w:style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6B2591-143A-4414-A0D5-F569163E81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1700</Words>
  <Characters>1957</Characters>
  <Lines>12</Lines>
  <Paragraphs>3</Paragraphs>
  <TotalTime>0</TotalTime>
  <ScaleCrop>false</ScaleCrop>
  <LinksUpToDate>false</LinksUpToDate>
  <CharactersWithSpaces>2127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2024-12-25T08:28:00Z</dcterms:created>
  <dc:creator>微软用户</dc:creator>
  <cp:lastModifiedBy>张伟</cp:lastModifiedBy>
  <cp:lastPrinted>2025-05-20T02:35:25Z</cp:lastPrinted>
  <dcterms:modified xsi:type="dcterms:W3CDTF">2025-05-20T03:04:13Z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D9F077A2C80D4012A84C52BEC91464B4_13</vt:lpwstr>
  </property>
  <property fmtid="{D5CDD505-2E9C-101B-9397-08002B2CF9AE}" pid="4" name="KSOTemplateDocerSaveRecord">
    <vt:lpwstr>eyJoZGlkIjoiYjdhMjkxOGFmN2JlZWJiMzE0YjBmYmI0MDdkNjBhNjIiLCJ1c2VySWQiOiIxNjc1NTU1Mjc4In0=</vt:lpwstr>
  </property>
</Properties>
</file>