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239A" w14:textId="77777777" w:rsidR="00FB4C66" w:rsidRDefault="00FB4C66">
      <w:pPr>
        <w:spacing w:line="258" w:lineRule="auto"/>
      </w:pPr>
    </w:p>
    <w:p w14:paraId="3A13C408" w14:textId="77777777" w:rsidR="00FB4C66" w:rsidRDefault="00000000">
      <w:pPr>
        <w:spacing w:before="78" w:line="220" w:lineRule="auto"/>
        <w:ind w:left="224"/>
        <w:rPr>
          <w:rFonts w:ascii="宋体" w:eastAsia="宋体" w:hAnsi="宋体" w:cs="宋体" w:hint="eastAsia"/>
          <w:sz w:val="24"/>
          <w:szCs w:val="24"/>
          <w:lang w:eastAsia="zh-CN"/>
        </w:rPr>
      </w:pPr>
      <w:r>
        <w:rPr>
          <w:rFonts w:ascii="宋体" w:eastAsia="宋体" w:hAnsi="宋体" w:cs="宋体"/>
          <w:spacing w:val="1"/>
          <w:sz w:val="24"/>
          <w:szCs w:val="24"/>
          <w:lang w:eastAsia="zh-CN"/>
        </w:rPr>
        <w:t>证券代码：</w:t>
      </w:r>
      <w:r>
        <w:rPr>
          <w:rFonts w:ascii="Times New Roman" w:eastAsia="Times New Roman" w:hAnsi="Times New Roman" w:cs="Times New Roman"/>
          <w:spacing w:val="1"/>
          <w:sz w:val="24"/>
          <w:szCs w:val="24"/>
          <w:lang w:eastAsia="zh-CN"/>
        </w:rPr>
        <w:t xml:space="preserve">603619 </w:t>
      </w:r>
      <w:r>
        <w:rPr>
          <w:rFonts w:ascii="Times New Roman" w:eastAsia="宋体" w:hAnsi="Times New Roman" w:cs="Times New Roman" w:hint="eastAsia"/>
          <w:spacing w:val="1"/>
          <w:sz w:val="24"/>
          <w:szCs w:val="24"/>
          <w:lang w:eastAsia="zh-CN"/>
        </w:rPr>
        <w:t xml:space="preserve">                                    </w:t>
      </w:r>
      <w:r>
        <w:rPr>
          <w:rFonts w:ascii="宋体" w:eastAsia="宋体" w:hAnsi="宋体" w:cs="宋体"/>
          <w:sz w:val="24"/>
          <w:szCs w:val="24"/>
          <w:lang w:eastAsia="zh-CN"/>
        </w:rPr>
        <w:t>股票简称：中</w:t>
      </w:r>
      <w:proofErr w:type="gramStart"/>
      <w:r>
        <w:rPr>
          <w:rFonts w:ascii="宋体" w:eastAsia="宋体" w:hAnsi="宋体" w:cs="宋体"/>
          <w:sz w:val="24"/>
          <w:szCs w:val="24"/>
          <w:lang w:eastAsia="zh-CN"/>
        </w:rPr>
        <w:t>曼</w:t>
      </w:r>
      <w:proofErr w:type="gramEnd"/>
      <w:r>
        <w:rPr>
          <w:rFonts w:ascii="宋体" w:eastAsia="宋体" w:hAnsi="宋体" w:cs="宋体"/>
          <w:sz w:val="24"/>
          <w:szCs w:val="24"/>
          <w:lang w:eastAsia="zh-CN"/>
        </w:rPr>
        <w:t>石油</w:t>
      </w:r>
      <w:r>
        <w:rPr>
          <w:rFonts w:ascii="Times New Roman" w:eastAsia="Times New Roman" w:hAnsi="Times New Roman" w:cs="Times New Roman"/>
          <w:spacing w:val="1"/>
          <w:sz w:val="24"/>
          <w:szCs w:val="24"/>
          <w:lang w:eastAsia="zh-CN"/>
        </w:rPr>
        <w:t xml:space="preserve">                           </w:t>
      </w:r>
      <w:r>
        <w:rPr>
          <w:rFonts w:ascii="Times New Roman" w:eastAsia="Times New Roman" w:hAnsi="Times New Roman" w:cs="Times New Roman"/>
          <w:sz w:val="24"/>
          <w:szCs w:val="24"/>
          <w:lang w:eastAsia="zh-CN"/>
        </w:rPr>
        <w:t xml:space="preserve">                                </w:t>
      </w:r>
    </w:p>
    <w:p w14:paraId="23542EC4" w14:textId="77777777" w:rsidR="00FB4C66" w:rsidRDefault="00FB4C66">
      <w:pPr>
        <w:spacing w:line="268" w:lineRule="auto"/>
        <w:rPr>
          <w:lang w:eastAsia="zh-CN"/>
        </w:rPr>
      </w:pPr>
    </w:p>
    <w:p w14:paraId="6F92D018" w14:textId="77777777" w:rsidR="00FB4C66" w:rsidRDefault="00000000">
      <w:pPr>
        <w:spacing w:before="104" w:line="336" w:lineRule="auto"/>
        <w:ind w:left="2898" w:right="2264" w:hanging="776"/>
        <w:outlineLvl w:val="0"/>
        <w:rPr>
          <w:rFonts w:ascii="宋体" w:eastAsia="宋体" w:hAnsi="宋体" w:cs="宋体" w:hint="eastAsia"/>
          <w:b/>
          <w:bCs/>
          <w:spacing w:val="-4"/>
          <w:sz w:val="32"/>
          <w:szCs w:val="32"/>
          <w:lang w:eastAsia="zh-CN"/>
        </w:rPr>
      </w:pPr>
      <w:r>
        <w:rPr>
          <w:rFonts w:ascii="宋体" w:eastAsia="宋体" w:hAnsi="宋体" w:cs="宋体"/>
          <w:b/>
          <w:bCs/>
          <w:spacing w:val="-5"/>
          <w:sz w:val="32"/>
          <w:szCs w:val="32"/>
          <w:lang w:eastAsia="zh-CN"/>
        </w:rPr>
        <w:t>中</w:t>
      </w:r>
      <w:proofErr w:type="gramStart"/>
      <w:r>
        <w:rPr>
          <w:rFonts w:ascii="宋体" w:eastAsia="宋体" w:hAnsi="宋体" w:cs="宋体"/>
          <w:b/>
          <w:bCs/>
          <w:spacing w:val="-5"/>
          <w:sz w:val="32"/>
          <w:szCs w:val="32"/>
          <w:lang w:eastAsia="zh-CN"/>
        </w:rPr>
        <w:t>曼</w:t>
      </w:r>
      <w:proofErr w:type="gramEnd"/>
      <w:r>
        <w:rPr>
          <w:rFonts w:ascii="宋体" w:eastAsia="宋体" w:hAnsi="宋体" w:cs="宋体"/>
          <w:b/>
          <w:bCs/>
          <w:spacing w:val="-5"/>
          <w:sz w:val="32"/>
          <w:szCs w:val="32"/>
          <w:lang w:eastAsia="zh-CN"/>
        </w:rPr>
        <w:t>石油天然气集团股份有限公司</w:t>
      </w:r>
      <w:r>
        <w:rPr>
          <w:rFonts w:ascii="宋体" w:eastAsia="宋体" w:hAnsi="宋体" w:cs="宋体"/>
          <w:sz w:val="32"/>
          <w:szCs w:val="32"/>
          <w:lang w:eastAsia="zh-CN"/>
        </w:rPr>
        <w:t xml:space="preserve"> </w:t>
      </w:r>
      <w:r>
        <w:rPr>
          <w:rFonts w:ascii="宋体" w:eastAsia="宋体" w:hAnsi="宋体" w:cs="宋体"/>
          <w:b/>
          <w:bCs/>
          <w:spacing w:val="-4"/>
          <w:sz w:val="32"/>
          <w:szCs w:val="32"/>
          <w:lang w:eastAsia="zh-CN"/>
        </w:rPr>
        <w:t>投资者关系活动记录表</w:t>
      </w:r>
    </w:p>
    <w:p w14:paraId="1F8FA060" w14:textId="77777777" w:rsidR="00FB4C66" w:rsidRDefault="00000000">
      <w:pPr>
        <w:rPr>
          <w:highlight w:val="yellow"/>
        </w:rPr>
      </w:pPr>
      <w:r>
        <w:rPr>
          <w:rFonts w:hint="eastAsia"/>
          <w:lang w:eastAsia="zh-CN"/>
        </w:rPr>
        <w:t xml:space="preserve">                                                        </w:t>
      </w:r>
      <w:r>
        <w:rPr>
          <w:rFonts w:eastAsiaTheme="minorEastAsia" w:hint="eastAsia"/>
          <w:lang w:eastAsia="zh-CN"/>
        </w:rPr>
        <w:t xml:space="preserve">           </w:t>
      </w:r>
      <w:r>
        <w:rPr>
          <w:rFonts w:ascii="宋体" w:eastAsia="宋体" w:hAnsi="宋体" w:cs="宋体" w:hint="eastAsia"/>
        </w:rPr>
        <w:t>编号</w:t>
      </w:r>
      <w:r w:rsidRPr="00B843B3">
        <w:rPr>
          <w:rFonts w:ascii="宋体" w:eastAsia="宋体" w:hAnsi="宋体" w:cs="宋体" w:hint="eastAsia"/>
        </w:rPr>
        <w:t>：</w:t>
      </w:r>
      <w:r w:rsidRPr="00B843B3">
        <w:rPr>
          <w:rFonts w:hint="eastAsia"/>
        </w:rPr>
        <w:t>2025-001</w:t>
      </w:r>
    </w:p>
    <w:p w14:paraId="06C2FB06" w14:textId="77777777" w:rsidR="00FB4C66" w:rsidRDefault="00FB4C66">
      <w:pPr>
        <w:spacing w:line="67" w:lineRule="exact"/>
        <w:rPr>
          <w:lang w:eastAsia="zh-CN"/>
        </w:rPr>
      </w:pPr>
    </w:p>
    <w:tbl>
      <w:tblPr>
        <w:tblStyle w:val="TableNormal"/>
        <w:tblW w:w="9033" w:type="dxa"/>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24"/>
        <w:gridCol w:w="2872"/>
        <w:gridCol w:w="1162"/>
        <w:gridCol w:w="2975"/>
      </w:tblGrid>
      <w:tr w:rsidR="00FB4C66" w14:paraId="4CE32112" w14:textId="77777777">
        <w:trPr>
          <w:trHeight w:val="2098"/>
        </w:trPr>
        <w:tc>
          <w:tcPr>
            <w:tcW w:w="2024" w:type="dxa"/>
            <w:vAlign w:val="center"/>
          </w:tcPr>
          <w:p w14:paraId="0124BA0C" w14:textId="77777777" w:rsidR="00FB4C66" w:rsidRDefault="00000000">
            <w:pPr>
              <w:spacing w:line="220" w:lineRule="auto"/>
              <w:jc w:val="center"/>
              <w:rPr>
                <w:rFonts w:ascii="宋体" w:eastAsia="宋体" w:hAnsi="宋体" w:cs="宋体" w:hint="eastAsia"/>
                <w:spacing w:val="-2"/>
                <w:sz w:val="24"/>
                <w:szCs w:val="24"/>
              </w:rPr>
            </w:pPr>
            <w:proofErr w:type="spellStart"/>
            <w:r>
              <w:rPr>
                <w:rFonts w:ascii="宋体" w:eastAsia="宋体" w:hAnsi="宋体" w:cs="宋体"/>
                <w:spacing w:val="-2"/>
                <w:sz w:val="24"/>
                <w:szCs w:val="24"/>
              </w:rPr>
              <w:t>投资者关系活动</w:t>
            </w:r>
            <w:proofErr w:type="spellEnd"/>
          </w:p>
          <w:p w14:paraId="79021FEB" w14:textId="77777777" w:rsidR="00FB4C66" w:rsidRDefault="00000000">
            <w:pPr>
              <w:spacing w:line="220" w:lineRule="auto"/>
              <w:jc w:val="center"/>
              <w:rPr>
                <w:rFonts w:ascii="宋体" w:eastAsia="宋体" w:hAnsi="宋体" w:cs="宋体" w:hint="eastAsia"/>
                <w:sz w:val="24"/>
                <w:szCs w:val="24"/>
              </w:rPr>
            </w:pPr>
            <w:proofErr w:type="spellStart"/>
            <w:r>
              <w:rPr>
                <w:rFonts w:ascii="宋体" w:eastAsia="宋体" w:hAnsi="宋体" w:cs="宋体"/>
                <w:spacing w:val="-2"/>
                <w:sz w:val="24"/>
                <w:szCs w:val="24"/>
              </w:rPr>
              <w:t>类别</w:t>
            </w:r>
            <w:proofErr w:type="spellEnd"/>
          </w:p>
        </w:tc>
        <w:tc>
          <w:tcPr>
            <w:tcW w:w="7009" w:type="dxa"/>
            <w:gridSpan w:val="3"/>
          </w:tcPr>
          <w:p w14:paraId="57FF5AE1" w14:textId="4F4766F1" w:rsidR="00FB4C66" w:rsidRDefault="00000000" w:rsidP="00D27B75">
            <w:pPr>
              <w:spacing w:before="78" w:line="360" w:lineRule="auto"/>
              <w:ind w:right="427" w:firstLineChars="100" w:firstLine="230"/>
              <w:rPr>
                <w:lang w:eastAsia="zh-CN"/>
              </w:rPr>
            </w:pPr>
            <w:r>
              <w:rPr>
                <w:rFonts w:ascii="宋体" w:eastAsia="宋体" w:hAnsi="宋体" w:cs="宋体"/>
                <w:spacing w:val="-5"/>
                <w:sz w:val="24"/>
                <w:szCs w:val="24"/>
                <w:lang w:eastAsia="zh-CN"/>
              </w:rPr>
              <w:t>□</w:t>
            </w:r>
            <w:r w:rsidR="00D27B75">
              <w:rPr>
                <w:rFonts w:ascii="宋体" w:eastAsia="宋体" w:hAnsi="宋体" w:cs="宋体" w:hint="eastAsia"/>
                <w:spacing w:val="-5"/>
                <w:sz w:val="24"/>
                <w:szCs w:val="24"/>
                <w:lang w:eastAsia="zh-CN"/>
              </w:rPr>
              <w:t>特定对象调研</w:t>
            </w:r>
            <w:r>
              <w:rPr>
                <w:rFonts w:ascii="宋体" w:eastAsia="宋体" w:hAnsi="宋体" w:cs="宋体" w:hint="eastAsia"/>
                <w:spacing w:val="-5"/>
                <w:sz w:val="24"/>
                <w:szCs w:val="24"/>
                <w:lang w:eastAsia="zh-CN"/>
              </w:rPr>
              <w:t xml:space="preserve">           </w:t>
            </w:r>
            <w:r>
              <w:rPr>
                <w:rFonts w:ascii="宋体" w:eastAsia="宋体" w:hAnsi="宋体" w:cs="宋体" w:hint="eastAsia"/>
                <w:spacing w:val="-6"/>
                <w:sz w:val="24"/>
                <w:szCs w:val="24"/>
                <w:lang w:eastAsia="zh-CN"/>
              </w:rPr>
              <w:t>□</w:t>
            </w:r>
            <w:r w:rsidR="00D27B75">
              <w:rPr>
                <w:rFonts w:ascii="宋体" w:eastAsia="宋体" w:hAnsi="宋体" w:cs="宋体" w:hint="eastAsia"/>
                <w:spacing w:val="-6"/>
                <w:sz w:val="24"/>
                <w:szCs w:val="24"/>
                <w:lang w:eastAsia="zh-CN"/>
              </w:rPr>
              <w:t>分析师会议</w:t>
            </w:r>
          </w:p>
          <w:p w14:paraId="7A4E56FB" w14:textId="096FC098" w:rsidR="00FB4C66" w:rsidRDefault="00000000" w:rsidP="00D27B75">
            <w:pPr>
              <w:spacing w:before="78" w:line="360" w:lineRule="auto"/>
              <w:ind w:firstLineChars="100" w:firstLine="230"/>
              <w:rPr>
                <w:rFonts w:ascii="宋体" w:eastAsia="宋体" w:hAnsi="宋体" w:cs="宋体" w:hint="eastAsia"/>
                <w:sz w:val="24"/>
                <w:szCs w:val="24"/>
                <w:lang w:eastAsia="zh-CN"/>
              </w:rPr>
            </w:pPr>
            <w:r>
              <w:rPr>
                <w:rFonts w:ascii="宋体" w:eastAsia="宋体" w:hAnsi="宋体" w:cs="宋体"/>
                <w:spacing w:val="-5"/>
                <w:sz w:val="24"/>
                <w:szCs w:val="24"/>
                <w:lang w:eastAsia="zh-CN"/>
              </w:rPr>
              <w:t>□</w:t>
            </w:r>
            <w:r w:rsidR="00D27B75">
              <w:rPr>
                <w:rFonts w:ascii="宋体" w:eastAsia="宋体" w:hAnsi="宋体" w:cs="宋体" w:hint="eastAsia"/>
                <w:spacing w:val="-5"/>
                <w:sz w:val="24"/>
                <w:szCs w:val="24"/>
                <w:lang w:eastAsia="zh-CN"/>
              </w:rPr>
              <w:t>媒体采访</w:t>
            </w:r>
            <w:r>
              <w:rPr>
                <w:rFonts w:ascii="宋体" w:eastAsia="宋体" w:hAnsi="宋体" w:cs="宋体" w:hint="eastAsia"/>
                <w:spacing w:val="-5"/>
                <w:sz w:val="24"/>
                <w:szCs w:val="24"/>
                <w:lang w:eastAsia="zh-CN"/>
              </w:rPr>
              <w:t xml:space="preserve">           </w:t>
            </w:r>
            <w:r w:rsidR="00D27B75">
              <w:rPr>
                <w:rFonts w:ascii="宋体" w:eastAsia="宋体" w:hAnsi="宋体" w:cs="宋体" w:hint="eastAsia"/>
                <w:spacing w:val="-5"/>
                <w:sz w:val="24"/>
                <w:szCs w:val="24"/>
                <w:lang w:eastAsia="zh-CN"/>
              </w:rPr>
              <w:t xml:space="preserve">    </w:t>
            </w:r>
            <w:r>
              <w:rPr>
                <w:rFonts w:ascii="宋体" w:eastAsia="宋体" w:hAnsi="宋体" w:cs="宋体" w:hint="eastAsia"/>
                <w:spacing w:val="-5"/>
                <w:sz w:val="24"/>
                <w:szCs w:val="24"/>
                <w:lang w:eastAsia="zh-CN"/>
              </w:rPr>
              <w:t>□</w:t>
            </w:r>
            <w:r w:rsidR="00D27B75">
              <w:rPr>
                <w:rFonts w:ascii="宋体" w:eastAsia="宋体" w:hAnsi="宋体" w:cs="宋体" w:hint="eastAsia"/>
                <w:spacing w:val="-5"/>
                <w:sz w:val="24"/>
                <w:szCs w:val="24"/>
                <w:lang w:eastAsia="zh-CN"/>
              </w:rPr>
              <w:t>业绩说明会</w:t>
            </w:r>
          </w:p>
          <w:p w14:paraId="05D501D6" w14:textId="3449A830" w:rsidR="00FB4C66" w:rsidRDefault="00000000" w:rsidP="00D27B75">
            <w:pPr>
              <w:spacing w:before="78" w:line="360" w:lineRule="auto"/>
              <w:ind w:left="235" w:right="427"/>
              <w:rPr>
                <w:rFonts w:ascii="宋体" w:eastAsia="宋体" w:hAnsi="宋体" w:cs="宋体" w:hint="eastAsia"/>
                <w:spacing w:val="-4"/>
                <w:sz w:val="24"/>
                <w:szCs w:val="24"/>
                <w:lang w:eastAsia="zh-CN"/>
              </w:rPr>
            </w:pPr>
            <w:r>
              <w:rPr>
                <w:rFonts w:ascii="宋体" w:eastAsia="宋体" w:hAnsi="宋体" w:cs="宋体"/>
                <w:spacing w:val="-5"/>
                <w:sz w:val="24"/>
                <w:szCs w:val="24"/>
                <w:lang w:eastAsia="zh-CN"/>
              </w:rPr>
              <w:t>□</w:t>
            </w:r>
            <w:r w:rsidR="00D27B75">
              <w:rPr>
                <w:rFonts w:ascii="宋体" w:eastAsia="宋体" w:hAnsi="宋体" w:cs="宋体" w:hint="eastAsia"/>
                <w:spacing w:val="-5"/>
                <w:sz w:val="24"/>
                <w:szCs w:val="24"/>
                <w:lang w:eastAsia="zh-CN"/>
              </w:rPr>
              <w:t xml:space="preserve">新闻发布会     </w:t>
            </w:r>
            <w:r>
              <w:rPr>
                <w:rFonts w:ascii="宋体" w:eastAsia="宋体" w:hAnsi="宋体" w:cs="宋体" w:hint="eastAsia"/>
                <w:spacing w:val="-5"/>
                <w:sz w:val="24"/>
                <w:szCs w:val="24"/>
                <w:lang w:eastAsia="zh-CN"/>
              </w:rPr>
              <w:t xml:space="preserve">        </w:t>
            </w:r>
            <w:r>
              <w:rPr>
                <w:rFonts w:ascii="宋体" w:eastAsia="宋体" w:hAnsi="宋体" w:cs="宋体" w:hint="eastAsia"/>
                <w:spacing w:val="-4"/>
                <w:sz w:val="24"/>
                <w:szCs w:val="24"/>
                <w:lang w:eastAsia="zh-CN"/>
              </w:rPr>
              <w:t>□</w:t>
            </w:r>
            <w:r w:rsidR="00D27B75">
              <w:rPr>
                <w:rFonts w:ascii="宋体" w:eastAsia="宋体" w:hAnsi="宋体" w:cs="宋体" w:hint="eastAsia"/>
                <w:spacing w:val="-4"/>
                <w:sz w:val="24"/>
                <w:szCs w:val="24"/>
                <w:lang w:eastAsia="zh-CN"/>
              </w:rPr>
              <w:t>路演活动</w:t>
            </w:r>
          </w:p>
          <w:p w14:paraId="3FCA25C6" w14:textId="5E4F3A42" w:rsidR="00D27B75" w:rsidRDefault="00D27B75" w:rsidP="00D27B75">
            <w:pPr>
              <w:spacing w:before="78" w:line="360" w:lineRule="auto"/>
              <w:ind w:left="235" w:right="427"/>
              <w:rPr>
                <w:rFonts w:ascii="宋体" w:eastAsia="宋体" w:hAnsi="宋体" w:cs="宋体" w:hint="eastAsia"/>
                <w:spacing w:val="-5"/>
                <w:sz w:val="24"/>
                <w:szCs w:val="24"/>
                <w:lang w:eastAsia="zh-CN"/>
              </w:rPr>
            </w:pPr>
            <w:r>
              <w:rPr>
                <w:rFonts w:ascii="宋体" w:eastAsia="宋体" w:hAnsi="宋体" w:cs="宋体" w:hint="eastAsia"/>
                <w:spacing w:val="-4"/>
                <w:sz w:val="24"/>
                <w:szCs w:val="24"/>
                <w:lang w:eastAsia="zh-CN"/>
              </w:rPr>
              <w:t>□现场参观</w:t>
            </w:r>
          </w:p>
          <w:p w14:paraId="56CB35FD" w14:textId="77777777" w:rsidR="00FB4C66" w:rsidRDefault="00000000" w:rsidP="00D27B75">
            <w:pPr>
              <w:spacing w:before="78" w:line="360" w:lineRule="auto"/>
              <w:ind w:left="235" w:right="427"/>
              <w:rPr>
                <w:rFonts w:ascii="宋体" w:eastAsia="宋体" w:hAnsi="宋体" w:cs="宋体" w:hint="eastAsia"/>
                <w:spacing w:val="-17"/>
                <w:sz w:val="24"/>
                <w:szCs w:val="24"/>
                <w:lang w:eastAsia="zh-CN"/>
              </w:rPr>
            </w:pPr>
            <w:r>
              <w:rPr>
                <w:rFonts w:ascii="宋体" w:eastAsia="宋体" w:hAnsi="宋体" w:cs="宋体" w:hint="eastAsia"/>
                <w:spacing w:val="-17"/>
                <w:sz w:val="24"/>
                <w:szCs w:val="24"/>
                <w:lang w:eastAsia="zh-CN"/>
              </w:rPr>
              <w:t>☑</w:t>
            </w:r>
            <w:r>
              <w:rPr>
                <w:rFonts w:ascii="宋体" w:eastAsia="宋体" w:hAnsi="宋体" w:cs="宋体"/>
                <w:spacing w:val="-17"/>
                <w:sz w:val="24"/>
                <w:szCs w:val="24"/>
                <w:lang w:eastAsia="zh-CN"/>
              </w:rPr>
              <w:t>其他</w:t>
            </w:r>
            <w:r>
              <w:rPr>
                <w:rFonts w:ascii="宋体" w:eastAsia="宋体" w:hAnsi="宋体" w:cs="宋体" w:hint="eastAsia"/>
                <w:spacing w:val="-17"/>
                <w:sz w:val="24"/>
                <w:szCs w:val="24"/>
                <w:lang w:eastAsia="zh-CN"/>
              </w:rPr>
              <w:t xml:space="preserve"> </w:t>
            </w:r>
            <w:r>
              <w:rPr>
                <w:rFonts w:ascii="宋体" w:eastAsia="宋体" w:hAnsi="宋体" w:cs="宋体" w:hint="eastAsia"/>
                <w:spacing w:val="-17"/>
                <w:sz w:val="24"/>
                <w:szCs w:val="24"/>
                <w:u w:val="single"/>
                <w:lang w:eastAsia="zh-CN"/>
              </w:rPr>
              <w:t xml:space="preserve"> </w:t>
            </w:r>
            <w:r>
              <w:rPr>
                <w:rFonts w:ascii="宋体" w:eastAsia="宋体" w:hAnsi="宋体" w:cs="宋体"/>
                <w:spacing w:val="-17"/>
                <w:sz w:val="24"/>
                <w:szCs w:val="24"/>
                <w:u w:val="single"/>
                <w:lang w:eastAsia="zh-CN"/>
              </w:rPr>
              <w:t>2025年上海辖区上市公司年报集体业绩说明会</w:t>
            </w:r>
          </w:p>
        </w:tc>
      </w:tr>
      <w:tr w:rsidR="00FB4C66" w14:paraId="55622AC1" w14:textId="77777777">
        <w:trPr>
          <w:trHeight w:val="1088"/>
        </w:trPr>
        <w:tc>
          <w:tcPr>
            <w:tcW w:w="2024" w:type="dxa"/>
            <w:vAlign w:val="center"/>
          </w:tcPr>
          <w:p w14:paraId="40789A89" w14:textId="77777777" w:rsidR="00FB4C66" w:rsidRDefault="00000000">
            <w:pPr>
              <w:spacing w:line="347" w:lineRule="auto"/>
              <w:jc w:val="center"/>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参与单位名称及</w:t>
            </w:r>
          </w:p>
          <w:p w14:paraId="6DCD624B" w14:textId="77777777" w:rsidR="00FB4C66" w:rsidRDefault="00000000">
            <w:pPr>
              <w:spacing w:line="347" w:lineRule="auto"/>
              <w:jc w:val="center"/>
              <w:rPr>
                <w:rFonts w:ascii="宋体" w:eastAsia="宋体" w:hAnsi="宋体" w:cs="宋体" w:hint="eastAsia"/>
                <w:sz w:val="24"/>
                <w:szCs w:val="24"/>
                <w:lang w:eastAsia="zh-CN"/>
              </w:rPr>
            </w:pPr>
            <w:r>
              <w:rPr>
                <w:rFonts w:ascii="宋体" w:eastAsia="宋体" w:hAnsi="宋体" w:cs="宋体"/>
                <w:spacing w:val="-2"/>
                <w:sz w:val="24"/>
                <w:szCs w:val="24"/>
                <w:lang w:eastAsia="zh-CN"/>
              </w:rPr>
              <w:t>人员</w:t>
            </w:r>
            <w:r>
              <w:rPr>
                <w:rFonts w:ascii="宋体" w:eastAsia="宋体" w:hAnsi="宋体" w:cs="宋体"/>
                <w:spacing w:val="-5"/>
                <w:sz w:val="24"/>
                <w:szCs w:val="24"/>
                <w:lang w:eastAsia="zh-CN"/>
              </w:rPr>
              <w:t>姓名</w:t>
            </w:r>
          </w:p>
        </w:tc>
        <w:tc>
          <w:tcPr>
            <w:tcW w:w="7009" w:type="dxa"/>
            <w:gridSpan w:val="3"/>
          </w:tcPr>
          <w:p w14:paraId="6F0607B2" w14:textId="758543C2" w:rsidR="00FB4C66" w:rsidRDefault="0057264F">
            <w:pPr>
              <w:spacing w:beforeLines="20" w:before="48" w:afterLines="20" w:after="48" w:line="360" w:lineRule="auto"/>
              <w:rPr>
                <w:rFonts w:ascii="宋体" w:eastAsia="宋体" w:hAnsi="宋体" w:cs="Times New Roman" w:hint="eastAsia"/>
                <w:sz w:val="24"/>
                <w:szCs w:val="24"/>
                <w:lang w:eastAsia="zh-CN" w:bidi="ar"/>
              </w:rPr>
            </w:pPr>
            <w:r w:rsidRPr="0057264F">
              <w:rPr>
                <w:rFonts w:ascii="宋体" w:eastAsia="宋体" w:hAnsi="宋体" w:cs="Times New Roman" w:hint="eastAsia"/>
                <w:sz w:val="24"/>
                <w:szCs w:val="24"/>
                <w:lang w:eastAsia="zh-CN" w:bidi="ar"/>
              </w:rPr>
              <w:t>线上参与</w:t>
            </w:r>
            <w:r>
              <w:rPr>
                <w:rFonts w:ascii="宋体" w:eastAsia="宋体" w:hAnsi="宋体" w:cs="Times New Roman" w:hint="eastAsia"/>
                <w:sz w:val="24"/>
                <w:szCs w:val="24"/>
                <w:lang w:eastAsia="zh-CN" w:bidi="ar"/>
              </w:rPr>
              <w:t>公司</w:t>
            </w:r>
            <w:r w:rsidRPr="0057264F">
              <w:rPr>
                <w:rFonts w:ascii="宋体" w:eastAsia="宋体" w:hAnsi="宋体" w:cs="Times New Roman"/>
                <w:sz w:val="24"/>
                <w:szCs w:val="24"/>
                <w:lang w:eastAsia="zh-CN" w:bidi="ar"/>
              </w:rPr>
              <w:t>2024</w:t>
            </w:r>
            <w:r>
              <w:rPr>
                <w:rFonts w:ascii="宋体" w:eastAsia="宋体" w:hAnsi="宋体" w:cs="Times New Roman" w:hint="eastAsia"/>
                <w:sz w:val="24"/>
                <w:szCs w:val="24"/>
                <w:lang w:eastAsia="zh-CN" w:bidi="ar"/>
              </w:rPr>
              <w:t>年年报</w:t>
            </w:r>
            <w:r w:rsidRPr="0057264F">
              <w:rPr>
                <w:rFonts w:ascii="宋体" w:eastAsia="宋体" w:hAnsi="宋体" w:cs="Times New Roman" w:hint="eastAsia"/>
                <w:sz w:val="24"/>
                <w:szCs w:val="24"/>
                <w:lang w:eastAsia="zh-CN" w:bidi="ar"/>
              </w:rPr>
              <w:t>业绩说明会的全体投资者</w:t>
            </w:r>
          </w:p>
        </w:tc>
      </w:tr>
      <w:tr w:rsidR="00FB4C66" w14:paraId="634CF8E6" w14:textId="77777777">
        <w:trPr>
          <w:trHeight w:val="1195"/>
        </w:trPr>
        <w:tc>
          <w:tcPr>
            <w:tcW w:w="2024" w:type="dxa"/>
            <w:vAlign w:val="center"/>
          </w:tcPr>
          <w:p w14:paraId="320F07F4" w14:textId="77777777" w:rsidR="00FB4C66" w:rsidRDefault="00000000">
            <w:pPr>
              <w:spacing w:line="222" w:lineRule="auto"/>
              <w:jc w:val="center"/>
              <w:rPr>
                <w:rFonts w:ascii="宋体" w:eastAsia="宋体" w:hAnsi="宋体" w:cs="宋体" w:hint="eastAsia"/>
                <w:sz w:val="24"/>
                <w:szCs w:val="24"/>
              </w:rPr>
            </w:pPr>
            <w:proofErr w:type="spellStart"/>
            <w:r>
              <w:rPr>
                <w:rFonts w:ascii="宋体" w:eastAsia="宋体" w:hAnsi="宋体" w:cs="宋体"/>
                <w:spacing w:val="-6"/>
                <w:sz w:val="24"/>
                <w:szCs w:val="24"/>
              </w:rPr>
              <w:t>时间</w:t>
            </w:r>
            <w:proofErr w:type="spellEnd"/>
          </w:p>
        </w:tc>
        <w:tc>
          <w:tcPr>
            <w:tcW w:w="2872" w:type="dxa"/>
            <w:vAlign w:val="center"/>
          </w:tcPr>
          <w:p w14:paraId="5AE164E8" w14:textId="77777777" w:rsidR="00FB4C66" w:rsidRDefault="00000000">
            <w:pPr>
              <w:pStyle w:val="TableText"/>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2025</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5</w:t>
            </w:r>
            <w:r>
              <w:rPr>
                <w:rFonts w:ascii="Times New Roman" w:eastAsia="宋体" w:hAnsi="Times New Roman" w:cs="Times New Roman"/>
                <w:sz w:val="24"/>
                <w:szCs w:val="24"/>
                <w:lang w:eastAsia="zh-CN"/>
              </w:rPr>
              <w:t>月</w:t>
            </w:r>
            <w:r>
              <w:rPr>
                <w:rFonts w:ascii="Times New Roman" w:eastAsia="宋体" w:hAnsi="Times New Roman" w:cs="Times New Roman"/>
                <w:sz w:val="24"/>
                <w:szCs w:val="24"/>
                <w:lang w:eastAsia="zh-CN"/>
              </w:rPr>
              <w:t>15</w:t>
            </w:r>
            <w:r>
              <w:rPr>
                <w:rFonts w:ascii="Times New Roman" w:eastAsia="宋体" w:hAnsi="Times New Roman" w:cs="Times New Roman"/>
                <w:sz w:val="24"/>
                <w:szCs w:val="24"/>
                <w:lang w:eastAsia="zh-CN"/>
              </w:rPr>
              <w:t>日</w:t>
            </w:r>
          </w:p>
          <w:p w14:paraId="05B0ED51" w14:textId="77777777" w:rsidR="00FB4C66" w:rsidRDefault="00000000">
            <w:pPr>
              <w:pStyle w:val="TableText"/>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15:00 - 16:30</w:t>
            </w:r>
          </w:p>
        </w:tc>
        <w:tc>
          <w:tcPr>
            <w:tcW w:w="1162" w:type="dxa"/>
            <w:vAlign w:val="center"/>
          </w:tcPr>
          <w:p w14:paraId="6F8CEF73" w14:textId="77777777" w:rsidR="00FB4C66" w:rsidRDefault="00000000">
            <w:pPr>
              <w:spacing w:line="360" w:lineRule="auto"/>
              <w:jc w:val="center"/>
              <w:rPr>
                <w:rFonts w:ascii="Times New Roman" w:eastAsia="宋体" w:hAnsi="Times New Roman" w:cs="Times New Roman"/>
                <w:spacing w:val="-6"/>
                <w:sz w:val="24"/>
                <w:szCs w:val="24"/>
              </w:rPr>
            </w:pPr>
            <w:proofErr w:type="spellStart"/>
            <w:r>
              <w:rPr>
                <w:rFonts w:ascii="Times New Roman" w:eastAsia="宋体" w:hAnsi="Times New Roman" w:cs="Times New Roman"/>
                <w:spacing w:val="-6"/>
                <w:sz w:val="24"/>
                <w:szCs w:val="24"/>
              </w:rPr>
              <w:t>地点</w:t>
            </w:r>
            <w:proofErr w:type="spellEnd"/>
          </w:p>
        </w:tc>
        <w:tc>
          <w:tcPr>
            <w:tcW w:w="2975" w:type="dxa"/>
            <w:vAlign w:val="center"/>
          </w:tcPr>
          <w:p w14:paraId="0CCB035F" w14:textId="77777777" w:rsidR="00FB4C66" w:rsidRDefault="00000000">
            <w:pPr>
              <w:spacing w:beforeLines="20" w:before="48" w:afterLines="20" w:after="48" w:line="360" w:lineRule="auto"/>
              <w:rPr>
                <w:rFonts w:ascii="Times New Roman" w:eastAsia="宋体" w:hAnsi="Times New Roman" w:cs="Times New Roman"/>
                <w:spacing w:val="-6"/>
                <w:sz w:val="24"/>
                <w:szCs w:val="24"/>
                <w:lang w:eastAsia="zh-CN"/>
              </w:rPr>
            </w:pPr>
            <w:proofErr w:type="gramStart"/>
            <w:r>
              <w:rPr>
                <w:rFonts w:ascii="Times New Roman" w:eastAsia="宋体" w:hAnsi="Times New Roman" w:cs="Times New Roman"/>
                <w:spacing w:val="-6"/>
                <w:sz w:val="24"/>
                <w:szCs w:val="24"/>
                <w:lang w:eastAsia="zh-CN"/>
              </w:rPr>
              <w:t>上证路演</w:t>
            </w:r>
            <w:proofErr w:type="gramEnd"/>
            <w:r>
              <w:rPr>
                <w:rFonts w:ascii="Times New Roman" w:eastAsia="宋体" w:hAnsi="Times New Roman" w:cs="Times New Roman"/>
                <w:spacing w:val="-6"/>
                <w:sz w:val="24"/>
                <w:szCs w:val="24"/>
                <w:lang w:eastAsia="zh-CN"/>
              </w:rPr>
              <w:t>中心（</w:t>
            </w:r>
            <w:r>
              <w:rPr>
                <w:rFonts w:ascii="Times New Roman" w:eastAsia="宋体" w:hAnsi="Times New Roman" w:cs="Times New Roman"/>
                <w:spacing w:val="-6"/>
                <w:sz w:val="24"/>
                <w:szCs w:val="24"/>
                <w:lang w:eastAsia="zh-CN"/>
              </w:rPr>
              <w:t>https://roadshow.sseinfo.com/</w:t>
            </w:r>
            <w:r>
              <w:rPr>
                <w:rFonts w:ascii="Times New Roman" w:eastAsia="宋体" w:hAnsi="Times New Roman" w:cs="Times New Roman"/>
                <w:spacing w:val="-6"/>
                <w:sz w:val="24"/>
                <w:szCs w:val="24"/>
                <w:lang w:eastAsia="zh-CN"/>
              </w:rPr>
              <w:t>）</w:t>
            </w:r>
          </w:p>
        </w:tc>
      </w:tr>
      <w:tr w:rsidR="00FB4C66" w14:paraId="37E51559" w14:textId="77777777">
        <w:trPr>
          <w:trHeight w:val="1012"/>
        </w:trPr>
        <w:tc>
          <w:tcPr>
            <w:tcW w:w="2024" w:type="dxa"/>
            <w:vAlign w:val="center"/>
          </w:tcPr>
          <w:p w14:paraId="1AF581E6" w14:textId="77777777" w:rsidR="00FB4C66" w:rsidRDefault="00000000">
            <w:pPr>
              <w:spacing w:line="280" w:lineRule="auto"/>
              <w:jc w:val="center"/>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上市公司接待</w:t>
            </w:r>
          </w:p>
          <w:p w14:paraId="57850F13" w14:textId="77777777" w:rsidR="00FB4C66" w:rsidRDefault="00000000">
            <w:pPr>
              <w:spacing w:line="280" w:lineRule="auto"/>
              <w:jc w:val="center"/>
              <w:rPr>
                <w:rFonts w:ascii="宋体" w:eastAsia="宋体" w:hAnsi="宋体" w:cs="宋体" w:hint="eastAsia"/>
                <w:sz w:val="24"/>
                <w:szCs w:val="24"/>
                <w:lang w:eastAsia="zh-CN"/>
              </w:rPr>
            </w:pPr>
            <w:r>
              <w:rPr>
                <w:rFonts w:ascii="宋体" w:eastAsia="宋体" w:hAnsi="宋体" w:cs="宋体"/>
                <w:spacing w:val="-2"/>
                <w:sz w:val="24"/>
                <w:szCs w:val="24"/>
                <w:lang w:eastAsia="zh-CN"/>
              </w:rPr>
              <w:t>人员姓</w:t>
            </w:r>
            <w:r>
              <w:rPr>
                <w:rFonts w:ascii="宋体" w:eastAsia="宋体" w:hAnsi="宋体" w:cs="宋体"/>
                <w:sz w:val="24"/>
                <w:szCs w:val="24"/>
                <w:lang w:eastAsia="zh-CN"/>
              </w:rPr>
              <w:t>名</w:t>
            </w:r>
          </w:p>
        </w:tc>
        <w:tc>
          <w:tcPr>
            <w:tcW w:w="7009" w:type="dxa"/>
            <w:gridSpan w:val="3"/>
          </w:tcPr>
          <w:p w14:paraId="6C5FF273" w14:textId="77777777" w:rsidR="00FB4C66" w:rsidRDefault="00000000">
            <w:pPr>
              <w:pStyle w:val="TableText"/>
              <w:spacing w:beforeLines="20" w:before="48" w:afterLines="20" w:after="48" w:line="360" w:lineRule="auto"/>
              <w:rPr>
                <w:rFonts w:ascii="宋体" w:eastAsia="宋体" w:hAnsi="宋体" w:cs="Times New Roman" w:hint="eastAsia"/>
                <w:sz w:val="24"/>
                <w:szCs w:val="24"/>
                <w:lang w:eastAsia="zh-CN" w:bidi="ar"/>
              </w:rPr>
            </w:pPr>
            <w:r>
              <w:rPr>
                <w:rFonts w:ascii="宋体" w:eastAsia="宋体" w:hAnsi="宋体" w:cs="Times New Roman" w:hint="eastAsia"/>
                <w:sz w:val="24"/>
                <w:szCs w:val="24"/>
                <w:lang w:eastAsia="zh-CN" w:bidi="ar"/>
              </w:rPr>
              <w:t>董事长李春第、总裁李世光、高级副总裁兼财务总监叶吉峰、独立董事杜君、董事会秘书石明鑫</w:t>
            </w:r>
          </w:p>
        </w:tc>
      </w:tr>
      <w:tr w:rsidR="00FB4C66" w14:paraId="54C96F82" w14:textId="77777777">
        <w:trPr>
          <w:trHeight w:val="2659"/>
        </w:trPr>
        <w:tc>
          <w:tcPr>
            <w:tcW w:w="2024" w:type="dxa"/>
            <w:vAlign w:val="center"/>
          </w:tcPr>
          <w:p w14:paraId="6A70BCA3" w14:textId="77777777" w:rsidR="00FB4C66" w:rsidRDefault="00000000">
            <w:pPr>
              <w:spacing w:line="346" w:lineRule="auto"/>
              <w:jc w:val="center"/>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投资者关系活动</w:t>
            </w:r>
          </w:p>
          <w:p w14:paraId="0201BA18" w14:textId="77777777" w:rsidR="00FB4C66" w:rsidRDefault="00000000">
            <w:pPr>
              <w:spacing w:line="346" w:lineRule="auto"/>
              <w:jc w:val="center"/>
              <w:rPr>
                <w:rFonts w:ascii="宋体" w:eastAsia="宋体" w:hAnsi="宋体" w:cs="宋体" w:hint="eastAsia"/>
                <w:sz w:val="24"/>
                <w:szCs w:val="24"/>
                <w:lang w:eastAsia="zh-CN"/>
              </w:rPr>
            </w:pPr>
            <w:r>
              <w:rPr>
                <w:rFonts w:ascii="宋体" w:eastAsia="宋体" w:hAnsi="宋体" w:cs="宋体"/>
                <w:spacing w:val="-2"/>
                <w:sz w:val="24"/>
                <w:szCs w:val="24"/>
                <w:lang w:eastAsia="zh-CN"/>
              </w:rPr>
              <w:t>主要</w:t>
            </w:r>
            <w:r>
              <w:rPr>
                <w:rFonts w:ascii="宋体" w:eastAsia="宋体" w:hAnsi="宋体" w:cs="宋体"/>
                <w:spacing w:val="-12"/>
                <w:sz w:val="24"/>
                <w:szCs w:val="24"/>
                <w:lang w:eastAsia="zh-CN"/>
              </w:rPr>
              <w:t>内容介绍</w:t>
            </w:r>
          </w:p>
        </w:tc>
        <w:tc>
          <w:tcPr>
            <w:tcW w:w="7009" w:type="dxa"/>
            <w:gridSpan w:val="3"/>
          </w:tcPr>
          <w:p w14:paraId="2CF4A8B7" w14:textId="77777777" w:rsidR="00FB4C66" w:rsidRDefault="00000000">
            <w:pPr>
              <w:spacing w:line="360" w:lineRule="auto"/>
              <w:ind w:firstLineChars="200" w:firstLine="562"/>
              <w:jc w:val="center"/>
              <w:rPr>
                <w:rFonts w:ascii="Times New Roman" w:eastAsia="宋体" w:hAnsi="Times New Roman" w:cs="Times New Roman"/>
                <w:b/>
                <w:bCs/>
                <w:sz w:val="28"/>
                <w:szCs w:val="28"/>
                <w:lang w:eastAsia="zh-CN" w:bidi="ar"/>
              </w:rPr>
            </w:pPr>
            <w:r>
              <w:rPr>
                <w:rFonts w:ascii="Times New Roman" w:eastAsia="宋体" w:hAnsi="Times New Roman" w:cs="Times New Roman" w:hint="eastAsia"/>
                <w:b/>
                <w:bCs/>
                <w:sz w:val="28"/>
                <w:szCs w:val="28"/>
                <w:lang w:eastAsia="zh-CN" w:bidi="ar"/>
              </w:rPr>
              <w:t>投资者提出的问题及公司回复情况整理</w:t>
            </w:r>
          </w:p>
          <w:p w14:paraId="76BC7CB6" w14:textId="4413A0D5" w:rsidR="0057264F" w:rsidRDefault="00000000" w:rsidP="0057264F">
            <w:pPr>
              <w:tabs>
                <w:tab w:val="left" w:pos="312"/>
              </w:tabs>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1.</w:t>
            </w:r>
            <w:r w:rsidR="0057264F">
              <w:rPr>
                <w:rFonts w:ascii="Times New Roman" w:eastAsia="宋体" w:hAnsi="Times New Roman" w:cs="Times New Roman" w:hint="eastAsia"/>
                <w:b/>
                <w:bCs/>
                <w:sz w:val="24"/>
                <w:szCs w:val="24"/>
                <w:lang w:eastAsia="zh-CN" w:bidi="ar"/>
              </w:rPr>
              <w:t xml:space="preserve"> </w:t>
            </w:r>
            <w:r w:rsidR="0057264F">
              <w:rPr>
                <w:rFonts w:ascii="Times New Roman" w:eastAsia="宋体" w:hAnsi="Times New Roman" w:cs="Times New Roman" w:hint="eastAsia"/>
                <w:b/>
                <w:bCs/>
                <w:sz w:val="24"/>
                <w:szCs w:val="24"/>
                <w:lang w:eastAsia="zh-CN" w:bidi="ar"/>
              </w:rPr>
              <w:t>问：根据年报披露，公司</w:t>
            </w:r>
            <w:r w:rsidR="0057264F">
              <w:rPr>
                <w:rFonts w:ascii="Times New Roman" w:eastAsia="宋体" w:hAnsi="Times New Roman" w:cs="Times New Roman" w:hint="eastAsia"/>
                <w:b/>
                <w:bCs/>
                <w:sz w:val="24"/>
                <w:szCs w:val="24"/>
                <w:lang w:eastAsia="zh-CN" w:bidi="ar"/>
              </w:rPr>
              <w:t>2024</w:t>
            </w:r>
            <w:r w:rsidR="0057264F">
              <w:rPr>
                <w:rFonts w:ascii="Times New Roman" w:eastAsia="宋体" w:hAnsi="Times New Roman" w:cs="Times New Roman" w:hint="eastAsia"/>
                <w:b/>
                <w:bCs/>
                <w:sz w:val="24"/>
                <w:szCs w:val="24"/>
                <w:lang w:eastAsia="zh-CN" w:bidi="ar"/>
              </w:rPr>
              <w:t>年在国内温宿区块及海外伊拉克项目均取得勘探进展。能否具体说明当前已探明油气储量的同比变化情况？</w:t>
            </w:r>
          </w:p>
          <w:p w14:paraId="1D12D685" w14:textId="400DECDC" w:rsidR="0057264F" w:rsidRDefault="0057264F" w:rsidP="0057264F">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答：您好！公司拥有丰富的油气资源，通过已有区块勘探发现和竞标新区块持续提升资源量，形成有效接替。公司温宿区块、哈萨克斯坦</w:t>
            </w:r>
            <w:proofErr w:type="gramStart"/>
            <w:r>
              <w:rPr>
                <w:rFonts w:ascii="Times New Roman" w:eastAsia="宋体" w:hAnsi="Times New Roman" w:cs="Times New Roman" w:hint="eastAsia"/>
                <w:sz w:val="24"/>
                <w:szCs w:val="24"/>
                <w:lang w:eastAsia="zh-CN" w:bidi="ar"/>
              </w:rPr>
              <w:t>坚</w:t>
            </w:r>
            <w:proofErr w:type="gramEnd"/>
            <w:r>
              <w:rPr>
                <w:rFonts w:ascii="Times New Roman" w:eastAsia="宋体" w:hAnsi="Times New Roman" w:cs="Times New Roman" w:hint="eastAsia"/>
                <w:sz w:val="24"/>
                <w:szCs w:val="24"/>
                <w:lang w:eastAsia="zh-CN" w:bidi="ar"/>
              </w:rPr>
              <w:t>戈油田、岸边油田三个油田，经中哈两国主管部门批复及知名储量评估机构落实的地质储量规模为约</w:t>
            </w:r>
            <w:r>
              <w:rPr>
                <w:rFonts w:ascii="Times New Roman" w:eastAsia="宋体" w:hAnsi="Times New Roman" w:cs="Times New Roman" w:hint="eastAsia"/>
                <w:sz w:val="24"/>
                <w:szCs w:val="24"/>
                <w:lang w:eastAsia="zh-CN" w:bidi="ar"/>
              </w:rPr>
              <w:t>1.33</w:t>
            </w:r>
            <w:r>
              <w:rPr>
                <w:rFonts w:ascii="Times New Roman" w:eastAsia="宋体" w:hAnsi="Times New Roman" w:cs="Times New Roman" w:hint="eastAsia"/>
                <w:sz w:val="24"/>
                <w:szCs w:val="24"/>
                <w:lang w:eastAsia="zh-CN" w:bidi="ar"/>
              </w:rPr>
              <w:t>亿吨，其中温北油田温</w:t>
            </w:r>
            <w:r>
              <w:rPr>
                <w:rFonts w:ascii="Times New Roman" w:eastAsia="宋体" w:hAnsi="Times New Roman" w:cs="Times New Roman" w:hint="eastAsia"/>
                <w:sz w:val="24"/>
                <w:szCs w:val="24"/>
                <w:lang w:eastAsia="zh-CN" w:bidi="ar"/>
              </w:rPr>
              <w:t>7</w:t>
            </w:r>
            <w:r>
              <w:rPr>
                <w:rFonts w:ascii="Times New Roman" w:eastAsia="宋体" w:hAnsi="Times New Roman" w:cs="Times New Roman" w:hint="eastAsia"/>
                <w:sz w:val="24"/>
                <w:szCs w:val="24"/>
                <w:lang w:eastAsia="zh-CN" w:bidi="ar"/>
              </w:rPr>
              <w:t>区块探明石油地质储量</w:t>
            </w:r>
            <w:r>
              <w:rPr>
                <w:rFonts w:ascii="Times New Roman" w:eastAsia="宋体" w:hAnsi="Times New Roman" w:cs="Times New Roman" w:hint="eastAsia"/>
                <w:sz w:val="24"/>
                <w:szCs w:val="24"/>
                <w:lang w:eastAsia="zh-CN" w:bidi="ar"/>
              </w:rPr>
              <w:t>3,011</w:t>
            </w:r>
            <w:r>
              <w:rPr>
                <w:rFonts w:ascii="Times New Roman" w:eastAsia="宋体" w:hAnsi="Times New Roman" w:cs="Times New Roman" w:hint="eastAsia"/>
                <w:sz w:val="24"/>
                <w:szCs w:val="24"/>
                <w:lang w:eastAsia="zh-CN" w:bidi="ar"/>
              </w:rPr>
              <w:t>万吨。柯柯牙油田、红旗坡油田、赛克油田合计新申报探明石油地质储量</w:t>
            </w:r>
            <w:r>
              <w:rPr>
                <w:rFonts w:ascii="Times New Roman" w:eastAsia="宋体" w:hAnsi="Times New Roman" w:cs="Times New Roman" w:hint="eastAsia"/>
                <w:sz w:val="24"/>
                <w:szCs w:val="24"/>
                <w:lang w:eastAsia="zh-CN" w:bidi="ar"/>
              </w:rPr>
              <w:t>1,323.42</w:t>
            </w:r>
            <w:r>
              <w:rPr>
                <w:rFonts w:ascii="Times New Roman" w:eastAsia="宋体" w:hAnsi="Times New Roman" w:cs="Times New Roman" w:hint="eastAsia"/>
                <w:sz w:val="24"/>
                <w:szCs w:val="24"/>
                <w:lang w:eastAsia="zh-CN" w:bidi="ar"/>
              </w:rPr>
              <w:t>万吨，天然气探明储量</w:t>
            </w:r>
            <w:r>
              <w:rPr>
                <w:rFonts w:ascii="Times New Roman" w:eastAsia="宋体" w:hAnsi="Times New Roman" w:cs="Times New Roman" w:hint="eastAsia"/>
                <w:sz w:val="24"/>
                <w:szCs w:val="24"/>
                <w:lang w:eastAsia="zh-CN" w:bidi="ar"/>
              </w:rPr>
              <w:t>14.02</w:t>
            </w:r>
            <w:r>
              <w:rPr>
                <w:rFonts w:ascii="Times New Roman" w:eastAsia="宋体" w:hAnsi="Times New Roman" w:cs="Times New Roman" w:hint="eastAsia"/>
                <w:sz w:val="24"/>
                <w:szCs w:val="24"/>
                <w:lang w:eastAsia="zh-CN" w:bidi="ar"/>
              </w:rPr>
              <w:t>亿方；哈萨克斯坦</w:t>
            </w:r>
            <w:proofErr w:type="gramStart"/>
            <w:r>
              <w:rPr>
                <w:rFonts w:ascii="Times New Roman" w:eastAsia="宋体" w:hAnsi="Times New Roman" w:cs="Times New Roman" w:hint="eastAsia"/>
                <w:sz w:val="24"/>
                <w:szCs w:val="24"/>
                <w:lang w:eastAsia="zh-CN" w:bidi="ar"/>
              </w:rPr>
              <w:t>坚</w:t>
            </w:r>
            <w:proofErr w:type="gramEnd"/>
            <w:r>
              <w:rPr>
                <w:rFonts w:ascii="Times New Roman" w:eastAsia="宋体" w:hAnsi="Times New Roman" w:cs="Times New Roman" w:hint="eastAsia"/>
                <w:sz w:val="24"/>
                <w:szCs w:val="24"/>
                <w:lang w:eastAsia="zh-CN" w:bidi="ar"/>
              </w:rPr>
              <w:t>戈油田合计</w:t>
            </w:r>
            <w:r>
              <w:rPr>
                <w:rFonts w:ascii="Times New Roman" w:eastAsia="宋体" w:hAnsi="Times New Roman" w:cs="Times New Roman" w:hint="eastAsia"/>
                <w:sz w:val="24"/>
                <w:szCs w:val="24"/>
                <w:lang w:eastAsia="zh-CN" w:bidi="ar"/>
              </w:rPr>
              <w:t>C1+C2</w:t>
            </w:r>
            <w:r>
              <w:rPr>
                <w:rFonts w:ascii="Times New Roman" w:eastAsia="宋体" w:hAnsi="Times New Roman" w:cs="Times New Roman" w:hint="eastAsia"/>
                <w:sz w:val="24"/>
                <w:szCs w:val="24"/>
                <w:lang w:eastAsia="zh-CN" w:bidi="ar"/>
              </w:rPr>
              <w:t>地质储量为</w:t>
            </w:r>
            <w:r>
              <w:rPr>
                <w:rFonts w:ascii="Times New Roman" w:eastAsia="宋体" w:hAnsi="Times New Roman" w:cs="Times New Roman" w:hint="eastAsia"/>
                <w:sz w:val="24"/>
                <w:szCs w:val="24"/>
                <w:lang w:eastAsia="zh-CN" w:bidi="ar"/>
              </w:rPr>
              <w:t>7,853.50</w:t>
            </w:r>
            <w:r>
              <w:rPr>
                <w:rFonts w:ascii="Times New Roman" w:eastAsia="宋体" w:hAnsi="Times New Roman" w:cs="Times New Roman" w:hint="eastAsia"/>
                <w:sz w:val="24"/>
                <w:szCs w:val="24"/>
                <w:lang w:eastAsia="zh-CN" w:bidi="ar"/>
              </w:rPr>
              <w:t>万吨；岸边油田储量经评估约</w:t>
            </w:r>
            <w:r>
              <w:rPr>
                <w:rFonts w:ascii="Times New Roman" w:eastAsia="宋体" w:hAnsi="Times New Roman" w:cs="Times New Roman" w:hint="eastAsia"/>
                <w:sz w:val="24"/>
                <w:szCs w:val="24"/>
                <w:lang w:eastAsia="zh-CN" w:bidi="ar"/>
              </w:rPr>
              <w:t>2,523.20</w:t>
            </w:r>
            <w:r>
              <w:rPr>
                <w:rFonts w:ascii="Times New Roman" w:eastAsia="宋体" w:hAnsi="Times New Roman" w:cs="Times New Roman" w:hint="eastAsia"/>
                <w:sz w:val="24"/>
                <w:szCs w:val="24"/>
                <w:lang w:eastAsia="zh-CN" w:bidi="ar"/>
              </w:rPr>
              <w:t>万吨；伊拉克</w:t>
            </w:r>
            <w:r>
              <w:rPr>
                <w:rFonts w:ascii="Times New Roman" w:eastAsia="宋体" w:hAnsi="Times New Roman" w:cs="Times New Roman" w:hint="eastAsia"/>
                <w:sz w:val="24"/>
                <w:szCs w:val="24"/>
                <w:lang w:eastAsia="zh-CN" w:bidi="ar"/>
              </w:rPr>
              <w:t>EBN</w:t>
            </w:r>
            <w:r>
              <w:rPr>
                <w:rFonts w:ascii="Times New Roman" w:eastAsia="宋体" w:hAnsi="Times New Roman" w:cs="Times New Roman" w:hint="eastAsia"/>
                <w:sz w:val="24"/>
                <w:szCs w:val="24"/>
                <w:lang w:eastAsia="zh-CN" w:bidi="ar"/>
              </w:rPr>
              <w:t>区块、伊拉克</w:t>
            </w:r>
            <w:r>
              <w:rPr>
                <w:rFonts w:ascii="Times New Roman" w:eastAsia="宋体" w:hAnsi="Times New Roman" w:cs="Times New Roman" w:hint="eastAsia"/>
                <w:sz w:val="24"/>
                <w:szCs w:val="24"/>
                <w:lang w:eastAsia="zh-CN" w:bidi="ar"/>
              </w:rPr>
              <w:t>MF</w:t>
            </w:r>
            <w:r>
              <w:rPr>
                <w:rFonts w:ascii="Times New Roman" w:eastAsia="宋体" w:hAnsi="Times New Roman" w:cs="Times New Roman" w:hint="eastAsia"/>
                <w:sz w:val="24"/>
                <w:szCs w:val="24"/>
                <w:lang w:eastAsia="zh-CN" w:bidi="ar"/>
              </w:rPr>
              <w:t>区块预测石油地质储量和资源量合计达</w:t>
            </w:r>
            <w:r>
              <w:rPr>
                <w:rFonts w:ascii="Times New Roman" w:eastAsia="宋体" w:hAnsi="Times New Roman" w:cs="Times New Roman" w:hint="eastAsia"/>
                <w:sz w:val="24"/>
                <w:szCs w:val="24"/>
                <w:lang w:eastAsia="zh-CN" w:bidi="ar"/>
              </w:rPr>
              <w:t>18.08</w:t>
            </w:r>
            <w:r>
              <w:rPr>
                <w:rFonts w:ascii="Times New Roman" w:eastAsia="宋体" w:hAnsi="Times New Roman" w:cs="Times New Roman" w:hint="eastAsia"/>
                <w:sz w:val="24"/>
                <w:szCs w:val="24"/>
                <w:lang w:eastAsia="zh-CN" w:bidi="ar"/>
              </w:rPr>
              <w:t>亿吨，预测溶解气储量合计达</w:t>
            </w:r>
            <w:r>
              <w:rPr>
                <w:rFonts w:ascii="Times New Roman" w:eastAsia="宋体" w:hAnsi="Times New Roman" w:cs="Times New Roman" w:hint="eastAsia"/>
                <w:sz w:val="24"/>
                <w:szCs w:val="24"/>
                <w:lang w:eastAsia="zh-CN" w:bidi="ar"/>
              </w:rPr>
              <w:t>2,009</w:t>
            </w:r>
            <w:r>
              <w:rPr>
                <w:rFonts w:ascii="Times New Roman" w:eastAsia="宋体" w:hAnsi="Times New Roman" w:cs="Times New Roman" w:hint="eastAsia"/>
                <w:sz w:val="24"/>
                <w:szCs w:val="24"/>
                <w:lang w:eastAsia="zh-CN" w:bidi="ar"/>
              </w:rPr>
              <w:t>亿立方米。柯柯牙油田、红旗坡油田</w:t>
            </w:r>
            <w:r>
              <w:rPr>
                <w:rFonts w:ascii="Times New Roman" w:eastAsia="宋体" w:hAnsi="Times New Roman" w:cs="Times New Roman" w:hint="eastAsia"/>
                <w:sz w:val="24"/>
                <w:szCs w:val="24"/>
                <w:lang w:eastAsia="zh-CN" w:bidi="ar"/>
              </w:rPr>
              <w:lastRenderedPageBreak/>
              <w:t>、赛克油田新申报储量及伊拉克两个区块预测储量和资源量均为</w:t>
            </w:r>
            <w:r>
              <w:rPr>
                <w:rFonts w:ascii="Times New Roman" w:eastAsia="宋体" w:hAnsi="Times New Roman" w:cs="Times New Roman" w:hint="eastAsia"/>
                <w:sz w:val="24"/>
                <w:szCs w:val="24"/>
                <w:lang w:eastAsia="zh-CN" w:bidi="ar"/>
              </w:rPr>
              <w:t>2024</w:t>
            </w:r>
            <w:r>
              <w:rPr>
                <w:rFonts w:ascii="Times New Roman" w:eastAsia="宋体" w:hAnsi="Times New Roman" w:cs="Times New Roman" w:hint="eastAsia"/>
                <w:sz w:val="24"/>
                <w:szCs w:val="24"/>
                <w:lang w:eastAsia="zh-CN" w:bidi="ar"/>
              </w:rPr>
              <w:t>年新增，感谢您对公司的关注。</w:t>
            </w:r>
          </w:p>
          <w:p w14:paraId="44354753" w14:textId="5BB11C79" w:rsidR="00FB4C66" w:rsidRDefault="001F0D36">
            <w:p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2.</w:t>
            </w:r>
            <w:r>
              <w:rPr>
                <w:rFonts w:ascii="Times New Roman" w:eastAsia="宋体" w:hAnsi="Times New Roman" w:cs="Times New Roman" w:hint="eastAsia"/>
                <w:b/>
                <w:bCs/>
                <w:sz w:val="24"/>
                <w:szCs w:val="24"/>
                <w:lang w:eastAsia="zh-CN" w:bidi="ar"/>
              </w:rPr>
              <w:t>问：今年国际油价下跌幅度很大，势必会对公司的现金流和利润造成一定的影响，如果未来油价长期低迷，公司又该如何应对？</w:t>
            </w:r>
          </w:p>
          <w:p w14:paraId="607760B7" w14:textId="77777777" w:rsidR="00FB4C66" w:rsidRDefault="00000000">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公司针对国际油价波动的风险已制定多项应对措施。首先，依托一体化业务优势及低成本竞争优势，巩固公司持续盈利能力和提升抗风险能力。通过加快上游勘探开发项目的储备布局，强化资源接替能力，为长期发展奠定资源基础。其次，公司正积极拥抱数字化转型，以此作为提升管理效率的新动力。通过引入先进的信息技术和管理软件，优化业务流程，提高运营效率和管理水平。公司将继续聚焦增储上产这一核心任务，确保资源的有效开发和利用，同时加强技术创新，以保障现金流的稳定和持续增长。感谢您对公司的关注。</w:t>
            </w:r>
          </w:p>
          <w:p w14:paraId="3C6113EF" w14:textId="32D9A9BD" w:rsidR="00FB4C66" w:rsidRDefault="001F0D36">
            <w:p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3.</w:t>
            </w:r>
            <w:r>
              <w:rPr>
                <w:rFonts w:ascii="Times New Roman" w:eastAsia="宋体" w:hAnsi="Times New Roman" w:cs="Times New Roman" w:hint="eastAsia"/>
                <w:b/>
                <w:bCs/>
                <w:sz w:val="24"/>
                <w:szCs w:val="24"/>
                <w:lang w:eastAsia="zh-CN" w:bidi="ar"/>
              </w:rPr>
              <w:t>问：您好。请问公司未来的发展方向是以国内油田开发为核心，还是继续以海外油气项目为核心？今年还会继续竞标油气区块吗？</w:t>
            </w:r>
          </w:p>
          <w:p w14:paraId="3F9A2C69" w14:textId="77777777" w:rsidR="00FB4C66" w:rsidRDefault="00000000">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答：您好，公司将继续深化“资源</w:t>
            </w:r>
            <w:r>
              <w:rPr>
                <w:rFonts w:ascii="Times New Roman" w:eastAsia="宋体" w:hAnsi="Times New Roman" w:cs="Times New Roman" w:hint="eastAsia"/>
                <w:sz w:val="24"/>
                <w:szCs w:val="24"/>
                <w:lang w:eastAsia="zh-CN" w:bidi="ar"/>
              </w:rPr>
              <w:t>+</w:t>
            </w:r>
            <w:r>
              <w:rPr>
                <w:rFonts w:ascii="Times New Roman" w:eastAsia="宋体" w:hAnsi="Times New Roman" w:cs="Times New Roman" w:hint="eastAsia"/>
                <w:sz w:val="24"/>
                <w:szCs w:val="24"/>
                <w:lang w:eastAsia="zh-CN" w:bidi="ar"/>
              </w:rPr>
              <w:t>技术”双引擎战略，加速构建“立足国内、辐射海外”的资源储备体系。在海外，公司已布局哈萨克斯坦、伊拉克等“一带一路”国家，并计划加快伊拉克</w:t>
            </w:r>
            <w:r>
              <w:rPr>
                <w:rFonts w:ascii="Times New Roman" w:eastAsia="宋体" w:hAnsi="Times New Roman" w:cs="Times New Roman" w:hint="eastAsia"/>
                <w:sz w:val="24"/>
                <w:szCs w:val="24"/>
                <w:lang w:eastAsia="zh-CN" w:bidi="ar"/>
              </w:rPr>
              <w:t>EBN</w:t>
            </w:r>
            <w:r>
              <w:rPr>
                <w:rFonts w:ascii="Times New Roman" w:eastAsia="宋体" w:hAnsi="Times New Roman" w:cs="Times New Roman" w:hint="eastAsia"/>
                <w:sz w:val="24"/>
                <w:szCs w:val="24"/>
                <w:lang w:eastAsia="zh-CN" w:bidi="ar"/>
              </w:rPr>
              <w:t>区块与</w:t>
            </w:r>
            <w:r>
              <w:rPr>
                <w:rFonts w:ascii="Times New Roman" w:eastAsia="宋体" w:hAnsi="Times New Roman" w:cs="Times New Roman" w:hint="eastAsia"/>
                <w:sz w:val="24"/>
                <w:szCs w:val="24"/>
                <w:lang w:eastAsia="zh-CN" w:bidi="ar"/>
              </w:rPr>
              <w:t>MF</w:t>
            </w:r>
            <w:r>
              <w:rPr>
                <w:rFonts w:ascii="Times New Roman" w:eastAsia="宋体" w:hAnsi="Times New Roman" w:cs="Times New Roman" w:hint="eastAsia"/>
                <w:sz w:val="24"/>
                <w:szCs w:val="24"/>
                <w:lang w:eastAsia="zh-CN" w:bidi="ar"/>
              </w:rPr>
              <w:t>区块的开发步伐，巩固国际化布局；在国内，公司专注于温宿区块的增储上产，同时积极参与国内新油气区块的竞标，以拓展资源版图，为长期可持续发展提供战略保障。公司一直注重国内外区块、业务协同和可持续发展。感谢您对公司的关注。</w:t>
            </w:r>
          </w:p>
          <w:p w14:paraId="45AEE811" w14:textId="77777777" w:rsidR="001F0D36" w:rsidRPr="001F0D36" w:rsidRDefault="001F0D36" w:rsidP="001F0D36">
            <w:pPr>
              <w:spacing w:line="360" w:lineRule="auto"/>
              <w:ind w:firstLineChars="200" w:firstLine="482"/>
              <w:jc w:val="both"/>
              <w:rPr>
                <w:rFonts w:ascii="Times New Roman" w:eastAsia="宋体" w:hAnsi="Times New Roman" w:cs="Times New Roman"/>
                <w:b/>
                <w:bCs/>
                <w:sz w:val="24"/>
                <w:szCs w:val="24"/>
                <w:lang w:eastAsia="zh-CN" w:bidi="ar"/>
              </w:rPr>
            </w:pPr>
            <w:r w:rsidRPr="001F0D36">
              <w:rPr>
                <w:rFonts w:ascii="Times New Roman" w:eastAsia="宋体" w:hAnsi="Times New Roman" w:cs="Times New Roman" w:hint="eastAsia"/>
                <w:b/>
                <w:bCs/>
                <w:sz w:val="24"/>
                <w:szCs w:val="24"/>
                <w:lang w:eastAsia="zh-CN" w:bidi="ar"/>
              </w:rPr>
              <w:t>4</w:t>
            </w:r>
            <w:r w:rsidRPr="001F0D36">
              <w:rPr>
                <w:rFonts w:ascii="Times New Roman" w:eastAsia="宋体" w:hAnsi="Times New Roman" w:cs="Times New Roman" w:hint="eastAsia"/>
                <w:b/>
                <w:bCs/>
                <w:sz w:val="24"/>
                <w:szCs w:val="24"/>
                <w:lang w:eastAsia="zh-CN" w:bidi="ar"/>
              </w:rPr>
              <w:t>．问：</w:t>
            </w:r>
            <w:r w:rsidRPr="001F0D36">
              <w:rPr>
                <w:rFonts w:ascii="Times New Roman" w:eastAsia="宋体" w:hAnsi="Times New Roman" w:cs="Times New Roman"/>
                <w:b/>
                <w:bCs/>
                <w:sz w:val="24"/>
                <w:szCs w:val="24"/>
                <w:lang w:eastAsia="zh-CN" w:bidi="ar"/>
              </w:rPr>
              <w:t>1</w:t>
            </w:r>
            <w:r w:rsidRPr="001F0D36">
              <w:rPr>
                <w:rFonts w:ascii="Times New Roman" w:eastAsia="宋体" w:hAnsi="Times New Roman" w:cs="Times New Roman" w:hint="eastAsia"/>
                <w:b/>
                <w:bCs/>
                <w:sz w:val="24"/>
                <w:szCs w:val="24"/>
                <w:lang w:eastAsia="zh-CN" w:bidi="ar"/>
              </w:rPr>
              <w:t>、请问公司伊拉克的中</w:t>
            </w:r>
            <w:proofErr w:type="gramStart"/>
            <w:r w:rsidRPr="001F0D36">
              <w:rPr>
                <w:rFonts w:ascii="Times New Roman" w:eastAsia="宋体" w:hAnsi="Times New Roman" w:cs="Times New Roman" w:hint="eastAsia"/>
                <w:b/>
                <w:bCs/>
                <w:sz w:val="24"/>
                <w:szCs w:val="24"/>
                <w:lang w:eastAsia="zh-CN" w:bidi="ar"/>
              </w:rPr>
              <w:t>弗</w:t>
            </w:r>
            <w:proofErr w:type="gramEnd"/>
            <w:r w:rsidRPr="001F0D36">
              <w:rPr>
                <w:rFonts w:ascii="Times New Roman" w:eastAsia="宋体" w:hAnsi="Times New Roman" w:cs="Times New Roman" w:hint="eastAsia"/>
                <w:b/>
                <w:bCs/>
                <w:sz w:val="24"/>
                <w:szCs w:val="24"/>
                <w:lang w:eastAsia="zh-CN" w:bidi="ar"/>
              </w:rPr>
              <w:t>拉特和东</w:t>
            </w:r>
            <w:proofErr w:type="gramStart"/>
            <w:r w:rsidRPr="001F0D36">
              <w:rPr>
                <w:rFonts w:ascii="Times New Roman" w:eastAsia="宋体" w:hAnsi="Times New Roman" w:cs="Times New Roman" w:hint="eastAsia"/>
                <w:b/>
                <w:bCs/>
                <w:sz w:val="24"/>
                <w:szCs w:val="24"/>
                <w:lang w:eastAsia="zh-CN" w:bidi="ar"/>
              </w:rPr>
              <w:t>巴北油田</w:t>
            </w:r>
            <w:proofErr w:type="gramEnd"/>
            <w:r w:rsidRPr="001F0D36">
              <w:rPr>
                <w:rFonts w:ascii="Times New Roman" w:eastAsia="宋体" w:hAnsi="Times New Roman" w:cs="Times New Roman" w:hint="eastAsia"/>
                <w:b/>
                <w:bCs/>
                <w:sz w:val="24"/>
                <w:szCs w:val="24"/>
                <w:lang w:eastAsia="zh-CN" w:bidi="ar"/>
              </w:rPr>
              <w:t>项目推进情况如何，初始开发方案是否通过伊拉克的批准？</w:t>
            </w:r>
            <w:r w:rsidRPr="001F0D36">
              <w:rPr>
                <w:rFonts w:ascii="Times New Roman" w:eastAsia="宋体" w:hAnsi="Times New Roman" w:cs="Times New Roman"/>
                <w:b/>
                <w:bCs/>
                <w:sz w:val="24"/>
                <w:szCs w:val="24"/>
                <w:lang w:eastAsia="zh-CN" w:bidi="ar"/>
              </w:rPr>
              <w:t>2</w:t>
            </w:r>
            <w:r w:rsidRPr="001F0D36">
              <w:rPr>
                <w:rFonts w:ascii="Times New Roman" w:eastAsia="宋体" w:hAnsi="Times New Roman" w:cs="Times New Roman" w:hint="eastAsia"/>
                <w:b/>
                <w:bCs/>
                <w:sz w:val="24"/>
                <w:szCs w:val="24"/>
                <w:lang w:eastAsia="zh-CN" w:bidi="ar"/>
              </w:rPr>
              <w:t>、两个油田预期前期开发建设投入大概要多长时间？计划每年投入的资金有多少？</w:t>
            </w:r>
            <w:r w:rsidRPr="001F0D36">
              <w:rPr>
                <w:rFonts w:ascii="Times New Roman" w:eastAsia="宋体" w:hAnsi="Times New Roman" w:cs="Times New Roman"/>
                <w:b/>
                <w:bCs/>
                <w:sz w:val="24"/>
                <w:szCs w:val="24"/>
                <w:lang w:eastAsia="zh-CN" w:bidi="ar"/>
              </w:rPr>
              <w:t>3</w:t>
            </w:r>
            <w:r w:rsidRPr="001F0D36">
              <w:rPr>
                <w:rFonts w:ascii="Times New Roman" w:eastAsia="宋体" w:hAnsi="Times New Roman" w:cs="Times New Roman" w:hint="eastAsia"/>
                <w:b/>
                <w:bCs/>
                <w:sz w:val="24"/>
                <w:szCs w:val="24"/>
                <w:lang w:eastAsia="zh-CN" w:bidi="ar"/>
              </w:rPr>
              <w:t>、预期两个油田</w:t>
            </w:r>
            <w:proofErr w:type="gramStart"/>
            <w:r w:rsidRPr="001F0D36">
              <w:rPr>
                <w:rFonts w:ascii="Times New Roman" w:eastAsia="宋体" w:hAnsi="Times New Roman" w:cs="Times New Roman" w:hint="eastAsia"/>
                <w:b/>
                <w:bCs/>
                <w:sz w:val="24"/>
                <w:szCs w:val="24"/>
                <w:lang w:eastAsia="zh-CN" w:bidi="ar"/>
              </w:rPr>
              <w:t>区块达</w:t>
            </w:r>
            <w:proofErr w:type="gramEnd"/>
            <w:r w:rsidRPr="001F0D36">
              <w:rPr>
                <w:rFonts w:ascii="Times New Roman" w:eastAsia="宋体" w:hAnsi="Times New Roman" w:cs="Times New Roman" w:hint="eastAsia"/>
                <w:b/>
                <w:bCs/>
                <w:sz w:val="24"/>
                <w:szCs w:val="24"/>
                <w:lang w:eastAsia="zh-CN" w:bidi="ar"/>
              </w:rPr>
              <w:t>产后的年产量大概有多少？</w:t>
            </w:r>
            <w:r w:rsidRPr="001F0D36">
              <w:rPr>
                <w:rFonts w:ascii="Times New Roman" w:eastAsia="宋体" w:hAnsi="Times New Roman" w:cs="Times New Roman"/>
                <w:b/>
                <w:bCs/>
                <w:sz w:val="24"/>
                <w:szCs w:val="24"/>
                <w:lang w:eastAsia="zh-CN" w:bidi="ar"/>
              </w:rPr>
              <w:t>4</w:t>
            </w:r>
            <w:r w:rsidRPr="001F0D36">
              <w:rPr>
                <w:rFonts w:ascii="Times New Roman" w:eastAsia="宋体" w:hAnsi="Times New Roman" w:cs="Times New Roman" w:hint="eastAsia"/>
                <w:b/>
                <w:bCs/>
                <w:sz w:val="24"/>
                <w:szCs w:val="24"/>
                <w:lang w:eastAsia="zh-CN" w:bidi="ar"/>
              </w:rPr>
              <w:t>、公司计划如何解决境外油田开发的资金难题？</w:t>
            </w:r>
          </w:p>
          <w:p w14:paraId="7F40907C" w14:textId="01373121" w:rsidR="001F0D36" w:rsidRDefault="001F0D36" w:rsidP="001F0D36">
            <w:pPr>
              <w:spacing w:line="360" w:lineRule="auto"/>
              <w:ind w:firstLineChars="200" w:firstLine="480"/>
              <w:jc w:val="both"/>
              <w:rPr>
                <w:rFonts w:ascii="Times New Roman" w:eastAsia="宋体" w:hAnsi="Times New Roman" w:cs="Times New Roman"/>
                <w:sz w:val="24"/>
                <w:szCs w:val="24"/>
                <w:lang w:eastAsia="zh-CN" w:bidi="ar"/>
              </w:rPr>
            </w:pPr>
            <w:r w:rsidRPr="001F0D36">
              <w:rPr>
                <w:rFonts w:ascii="Times New Roman" w:eastAsia="宋体" w:hAnsi="Times New Roman" w:cs="Times New Roman" w:hint="eastAsia"/>
                <w:sz w:val="24"/>
                <w:szCs w:val="24"/>
                <w:lang w:eastAsia="zh-CN" w:bidi="ar"/>
              </w:rPr>
              <w:t>答：您好，</w:t>
            </w:r>
            <w:r w:rsidRPr="001F0D36">
              <w:rPr>
                <w:rFonts w:ascii="Times New Roman" w:eastAsia="宋体" w:hAnsi="Times New Roman" w:cs="Times New Roman"/>
                <w:sz w:val="24"/>
                <w:szCs w:val="24"/>
                <w:lang w:eastAsia="zh-CN" w:bidi="ar"/>
              </w:rPr>
              <w:t>2025</w:t>
            </w:r>
            <w:r w:rsidRPr="001F0D36">
              <w:rPr>
                <w:rFonts w:ascii="Times New Roman" w:eastAsia="宋体" w:hAnsi="Times New Roman" w:cs="Times New Roman" w:hint="eastAsia"/>
                <w:sz w:val="24"/>
                <w:szCs w:val="24"/>
                <w:lang w:eastAsia="zh-CN" w:bidi="ar"/>
              </w:rPr>
              <w:t>年，针对伊拉克两块开发油田，公司将精心做好总体工作规划与部署，全面推动勘探开发工作高效开展，力争实现早日产油。近期，公司技术团队与</w:t>
            </w:r>
            <w:r w:rsidRPr="001F0D36">
              <w:rPr>
                <w:rFonts w:ascii="Times New Roman" w:eastAsia="宋体" w:hAnsi="Times New Roman" w:cs="Times New Roman"/>
                <w:sz w:val="24"/>
                <w:szCs w:val="24"/>
                <w:lang w:eastAsia="zh-CN" w:bidi="ar"/>
              </w:rPr>
              <w:t xml:space="preserve"> </w:t>
            </w:r>
            <w:proofErr w:type="spellStart"/>
            <w:r w:rsidRPr="001F0D36">
              <w:rPr>
                <w:rFonts w:ascii="Times New Roman" w:eastAsia="宋体" w:hAnsi="Times New Roman" w:cs="Times New Roman"/>
                <w:sz w:val="24"/>
                <w:szCs w:val="24"/>
                <w:lang w:eastAsia="zh-CN" w:bidi="ar"/>
              </w:rPr>
              <w:t>MdOC</w:t>
            </w:r>
            <w:proofErr w:type="spellEnd"/>
            <w:r w:rsidRPr="001F0D36">
              <w:rPr>
                <w:rFonts w:ascii="Times New Roman" w:eastAsia="宋体" w:hAnsi="Times New Roman" w:cs="Times New Roman"/>
                <w:sz w:val="24"/>
                <w:szCs w:val="24"/>
                <w:lang w:eastAsia="zh-CN" w:bidi="ar"/>
              </w:rPr>
              <w:t xml:space="preserve"> </w:t>
            </w:r>
            <w:r w:rsidRPr="001F0D36">
              <w:rPr>
                <w:rFonts w:ascii="Times New Roman" w:eastAsia="宋体" w:hAnsi="Times New Roman" w:cs="Times New Roman" w:hint="eastAsia"/>
                <w:sz w:val="24"/>
                <w:szCs w:val="24"/>
                <w:lang w:eastAsia="zh-CN" w:bidi="ar"/>
              </w:rPr>
              <w:t>技术团队就</w:t>
            </w:r>
            <w:r w:rsidRPr="001F0D36">
              <w:rPr>
                <w:rFonts w:ascii="Times New Roman" w:eastAsia="宋体" w:hAnsi="Times New Roman" w:cs="Times New Roman"/>
                <w:sz w:val="24"/>
                <w:szCs w:val="24"/>
                <w:lang w:eastAsia="zh-CN" w:bidi="ar"/>
              </w:rPr>
              <w:t xml:space="preserve"> EBN </w:t>
            </w:r>
            <w:r w:rsidRPr="001F0D36">
              <w:rPr>
                <w:rFonts w:ascii="Times New Roman" w:eastAsia="宋体" w:hAnsi="Times New Roman" w:cs="Times New Roman" w:hint="eastAsia"/>
                <w:sz w:val="24"/>
                <w:szCs w:val="24"/>
                <w:lang w:eastAsia="zh-CN" w:bidi="ar"/>
              </w:rPr>
              <w:t>和</w:t>
            </w:r>
            <w:r w:rsidRPr="001F0D36">
              <w:rPr>
                <w:rFonts w:ascii="Times New Roman" w:eastAsia="宋体" w:hAnsi="Times New Roman" w:cs="Times New Roman"/>
                <w:sz w:val="24"/>
                <w:szCs w:val="24"/>
                <w:lang w:eastAsia="zh-CN" w:bidi="ar"/>
              </w:rPr>
              <w:t xml:space="preserve"> </w:t>
            </w:r>
            <w:r w:rsidRPr="001F0D36">
              <w:rPr>
                <w:rFonts w:ascii="Times New Roman" w:eastAsia="宋体" w:hAnsi="Times New Roman" w:cs="Times New Roman"/>
                <w:sz w:val="24"/>
                <w:szCs w:val="24"/>
                <w:lang w:eastAsia="zh-CN" w:bidi="ar"/>
              </w:rPr>
              <w:lastRenderedPageBreak/>
              <w:t xml:space="preserve">MF </w:t>
            </w:r>
            <w:r w:rsidRPr="001F0D36">
              <w:rPr>
                <w:rFonts w:ascii="Times New Roman" w:eastAsia="宋体" w:hAnsi="Times New Roman" w:cs="Times New Roman" w:hint="eastAsia"/>
                <w:sz w:val="24"/>
                <w:szCs w:val="24"/>
                <w:lang w:eastAsia="zh-CN" w:bidi="ar"/>
              </w:rPr>
              <w:t>项目召开了多次不同专题的技术讨论会，为初始开发方案的最终确定提供技术支持和依据。在海外油田开发的资金解决方案上，公司将依托全产业链协同优势，提升全产业链盈利能力，增强内</w:t>
            </w:r>
            <w:proofErr w:type="gramStart"/>
            <w:r w:rsidRPr="001F0D36">
              <w:rPr>
                <w:rFonts w:ascii="Times New Roman" w:eastAsia="宋体" w:hAnsi="Times New Roman" w:cs="Times New Roman" w:hint="eastAsia"/>
                <w:sz w:val="24"/>
                <w:szCs w:val="24"/>
                <w:lang w:eastAsia="zh-CN" w:bidi="ar"/>
              </w:rPr>
              <w:t>生资金</w:t>
            </w:r>
            <w:proofErr w:type="gramEnd"/>
            <w:r w:rsidRPr="001F0D36">
              <w:rPr>
                <w:rFonts w:ascii="Times New Roman" w:eastAsia="宋体" w:hAnsi="Times New Roman" w:cs="Times New Roman" w:hint="eastAsia"/>
                <w:sz w:val="24"/>
                <w:szCs w:val="24"/>
                <w:lang w:eastAsia="zh-CN" w:bidi="ar"/>
              </w:rPr>
              <w:t>积累；通过多元化融资渠道筹措资金确保项目高效推进。感谢您对公司的关注。</w:t>
            </w:r>
          </w:p>
          <w:p w14:paraId="29C0FA1A" w14:textId="77777777" w:rsidR="00FB4C66" w:rsidRDefault="00000000">
            <w:pPr>
              <w:numPr>
                <w:ilvl w:val="0"/>
                <w:numId w:val="1"/>
              </w:num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问：</w:t>
            </w:r>
            <w:r>
              <w:rPr>
                <w:rFonts w:ascii="Times New Roman" w:eastAsia="宋体" w:hAnsi="Times New Roman" w:cs="Times New Roman" w:hint="eastAsia"/>
                <w:b/>
                <w:bCs/>
                <w:sz w:val="24"/>
                <w:szCs w:val="24"/>
                <w:lang w:eastAsia="zh-CN" w:bidi="ar"/>
              </w:rPr>
              <w:t>1</w:t>
            </w:r>
            <w:r>
              <w:rPr>
                <w:rFonts w:ascii="Times New Roman" w:eastAsia="宋体" w:hAnsi="Times New Roman" w:cs="Times New Roman" w:hint="eastAsia"/>
                <w:b/>
                <w:bCs/>
                <w:sz w:val="24"/>
                <w:szCs w:val="24"/>
                <w:lang w:eastAsia="zh-CN" w:bidi="ar"/>
              </w:rPr>
              <w:t>、岸边油田的埋藏较浅，开采成本是不是会比温宿油田还要低？</w:t>
            </w:r>
            <w:r>
              <w:rPr>
                <w:rFonts w:ascii="Times New Roman" w:eastAsia="宋体" w:hAnsi="Times New Roman" w:cs="Times New Roman" w:hint="eastAsia"/>
                <w:b/>
                <w:bCs/>
                <w:sz w:val="24"/>
                <w:szCs w:val="24"/>
                <w:lang w:eastAsia="zh-CN" w:bidi="ar"/>
              </w:rPr>
              <w:t>2</w:t>
            </w:r>
            <w:r>
              <w:rPr>
                <w:rFonts w:ascii="Times New Roman" w:eastAsia="宋体" w:hAnsi="Times New Roman" w:cs="Times New Roman" w:hint="eastAsia"/>
                <w:b/>
                <w:bCs/>
                <w:sz w:val="24"/>
                <w:szCs w:val="24"/>
                <w:lang w:eastAsia="zh-CN" w:bidi="ar"/>
              </w:rPr>
              <w:t>、目前公司公布岸边油田的情况很少，听说岸边油田的储量很高，可能高达上亿吨的油气资源量，请问公司什么时候会公布岸边勘探的详细情况？</w:t>
            </w:r>
            <w:r>
              <w:rPr>
                <w:rFonts w:ascii="Times New Roman" w:eastAsia="宋体" w:hAnsi="Times New Roman" w:cs="Times New Roman" w:hint="eastAsia"/>
                <w:b/>
                <w:bCs/>
                <w:sz w:val="24"/>
                <w:szCs w:val="24"/>
                <w:lang w:eastAsia="zh-CN" w:bidi="ar"/>
              </w:rPr>
              <w:t>3</w:t>
            </w:r>
            <w:r>
              <w:rPr>
                <w:rFonts w:ascii="Times New Roman" w:eastAsia="宋体" w:hAnsi="Times New Roman" w:cs="Times New Roman" w:hint="eastAsia"/>
                <w:b/>
                <w:bCs/>
                <w:sz w:val="24"/>
                <w:szCs w:val="24"/>
                <w:lang w:eastAsia="zh-CN" w:bidi="ar"/>
              </w:rPr>
              <w:t>、公司规划未来岸边油田的高峰产量能达到多少？</w:t>
            </w:r>
          </w:p>
          <w:p w14:paraId="60A11744" w14:textId="77777777" w:rsidR="00FB4C66" w:rsidRDefault="00000000">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答：您好，公司岸边项目原有矿</w:t>
            </w:r>
            <w:proofErr w:type="gramStart"/>
            <w:r>
              <w:rPr>
                <w:rFonts w:ascii="Times New Roman" w:eastAsia="宋体" w:hAnsi="Times New Roman" w:cs="Times New Roman" w:hint="eastAsia"/>
                <w:sz w:val="24"/>
                <w:szCs w:val="24"/>
                <w:lang w:eastAsia="zh-CN" w:bidi="ar"/>
              </w:rPr>
              <w:t>权面积</w:t>
            </w:r>
            <w:proofErr w:type="gramEnd"/>
            <w:r>
              <w:rPr>
                <w:rFonts w:ascii="Times New Roman" w:eastAsia="宋体" w:hAnsi="Times New Roman" w:cs="Times New Roman" w:hint="eastAsia"/>
                <w:sz w:val="24"/>
                <w:szCs w:val="24"/>
                <w:lang w:eastAsia="zh-CN" w:bidi="ar"/>
              </w:rPr>
              <w:t>为</w:t>
            </w:r>
            <w:r>
              <w:rPr>
                <w:rFonts w:ascii="Times New Roman" w:eastAsia="宋体" w:hAnsi="Times New Roman" w:cs="Times New Roman" w:hint="eastAsia"/>
                <w:sz w:val="24"/>
                <w:szCs w:val="24"/>
                <w:lang w:eastAsia="zh-CN" w:bidi="ar"/>
              </w:rPr>
              <w:t>18.255</w:t>
            </w:r>
            <w:r>
              <w:rPr>
                <w:rFonts w:ascii="Times New Roman" w:eastAsia="宋体" w:hAnsi="Times New Roman" w:cs="Times New Roman" w:hint="eastAsia"/>
                <w:sz w:val="24"/>
                <w:szCs w:val="24"/>
                <w:lang w:eastAsia="zh-CN" w:bidi="ar"/>
              </w:rPr>
              <w:t>平方千米，经评估储量约为</w:t>
            </w:r>
            <w:r>
              <w:rPr>
                <w:rFonts w:ascii="Times New Roman" w:eastAsia="宋体" w:hAnsi="Times New Roman" w:cs="Times New Roman" w:hint="eastAsia"/>
                <w:sz w:val="24"/>
                <w:szCs w:val="24"/>
                <w:lang w:eastAsia="zh-CN" w:bidi="ar"/>
              </w:rPr>
              <w:t>2,523.20</w:t>
            </w:r>
            <w:r>
              <w:rPr>
                <w:rFonts w:ascii="Times New Roman" w:eastAsia="宋体" w:hAnsi="Times New Roman" w:cs="Times New Roman" w:hint="eastAsia"/>
                <w:sz w:val="24"/>
                <w:szCs w:val="24"/>
                <w:lang w:eastAsia="zh-CN" w:bidi="ar"/>
              </w:rPr>
              <w:t>万吨，</w:t>
            </w:r>
            <w:r>
              <w:rPr>
                <w:rFonts w:ascii="Times New Roman" w:eastAsia="宋体" w:hAnsi="Times New Roman" w:cs="Times New Roman" w:hint="eastAsia"/>
                <w:sz w:val="24"/>
                <w:szCs w:val="24"/>
                <w:lang w:eastAsia="zh-CN" w:bidi="ar"/>
              </w:rPr>
              <w:t>2023</w:t>
            </w:r>
            <w:r>
              <w:rPr>
                <w:rFonts w:ascii="Times New Roman" w:eastAsia="宋体" w:hAnsi="Times New Roman" w:cs="Times New Roman" w:hint="eastAsia"/>
                <w:sz w:val="24"/>
                <w:szCs w:val="24"/>
                <w:lang w:eastAsia="zh-CN" w:bidi="ar"/>
              </w:rPr>
              <w:t>年，岸边项目共完钻了</w:t>
            </w:r>
            <w:r>
              <w:rPr>
                <w:rFonts w:ascii="Times New Roman" w:eastAsia="宋体" w:hAnsi="Times New Roman" w:cs="Times New Roman" w:hint="eastAsia"/>
                <w:sz w:val="24"/>
                <w:szCs w:val="24"/>
                <w:lang w:eastAsia="zh-CN" w:bidi="ar"/>
              </w:rPr>
              <w:t>N1</w:t>
            </w:r>
            <w:r>
              <w:rPr>
                <w:rFonts w:ascii="Times New Roman" w:eastAsia="宋体" w:hAnsi="Times New Roman" w:cs="Times New Roman" w:hint="eastAsia"/>
                <w:sz w:val="24"/>
                <w:szCs w:val="24"/>
                <w:lang w:eastAsia="zh-CN" w:bidi="ar"/>
              </w:rPr>
              <w:t>、</w:t>
            </w:r>
            <w:r>
              <w:rPr>
                <w:rFonts w:ascii="Times New Roman" w:eastAsia="宋体" w:hAnsi="Times New Roman" w:cs="Times New Roman" w:hint="eastAsia"/>
                <w:sz w:val="24"/>
                <w:szCs w:val="24"/>
                <w:lang w:eastAsia="zh-CN" w:bidi="ar"/>
              </w:rPr>
              <w:t>N2</w:t>
            </w:r>
            <w:r>
              <w:rPr>
                <w:rFonts w:ascii="Times New Roman" w:eastAsia="宋体" w:hAnsi="Times New Roman" w:cs="Times New Roman" w:hint="eastAsia"/>
                <w:sz w:val="24"/>
                <w:szCs w:val="24"/>
                <w:lang w:eastAsia="zh-CN" w:bidi="ar"/>
              </w:rPr>
              <w:t>和</w:t>
            </w:r>
            <w:r>
              <w:rPr>
                <w:rFonts w:ascii="Times New Roman" w:eastAsia="宋体" w:hAnsi="Times New Roman" w:cs="Times New Roman" w:hint="eastAsia"/>
                <w:sz w:val="24"/>
                <w:szCs w:val="24"/>
                <w:lang w:eastAsia="zh-CN" w:bidi="ar"/>
              </w:rPr>
              <w:t>M1</w:t>
            </w:r>
            <w:r>
              <w:rPr>
                <w:rFonts w:ascii="Times New Roman" w:eastAsia="宋体" w:hAnsi="Times New Roman" w:cs="Times New Roman" w:hint="eastAsia"/>
                <w:sz w:val="24"/>
                <w:szCs w:val="24"/>
                <w:lang w:eastAsia="zh-CN" w:bidi="ar"/>
              </w:rPr>
              <w:t>共</w:t>
            </w:r>
            <w:r>
              <w:rPr>
                <w:rFonts w:ascii="Times New Roman" w:eastAsia="宋体" w:hAnsi="Times New Roman" w:cs="Times New Roman" w:hint="eastAsia"/>
                <w:sz w:val="24"/>
                <w:szCs w:val="24"/>
                <w:lang w:eastAsia="zh-CN" w:bidi="ar"/>
              </w:rPr>
              <w:t>3</w:t>
            </w:r>
            <w:r>
              <w:rPr>
                <w:rFonts w:ascii="Times New Roman" w:eastAsia="宋体" w:hAnsi="Times New Roman" w:cs="Times New Roman" w:hint="eastAsia"/>
                <w:sz w:val="24"/>
                <w:szCs w:val="24"/>
                <w:lang w:eastAsia="zh-CN" w:bidi="ar"/>
              </w:rPr>
              <w:t>口新井，在上白垩</w:t>
            </w:r>
            <w:proofErr w:type="gramStart"/>
            <w:r>
              <w:rPr>
                <w:rFonts w:ascii="Times New Roman" w:eastAsia="宋体" w:hAnsi="Times New Roman" w:cs="Times New Roman" w:hint="eastAsia"/>
                <w:sz w:val="24"/>
                <w:szCs w:val="24"/>
                <w:lang w:eastAsia="zh-CN" w:bidi="ar"/>
              </w:rPr>
              <w:t>统赛诺曼阶均</w:t>
            </w:r>
            <w:proofErr w:type="gramEnd"/>
            <w:r>
              <w:rPr>
                <w:rFonts w:ascii="Times New Roman" w:eastAsia="宋体" w:hAnsi="Times New Roman" w:cs="Times New Roman" w:hint="eastAsia"/>
                <w:sz w:val="24"/>
                <w:szCs w:val="24"/>
                <w:lang w:eastAsia="zh-CN" w:bidi="ar"/>
              </w:rPr>
              <w:t>发现了可靠油层，单井油层厚度平均</w:t>
            </w:r>
            <w:r>
              <w:rPr>
                <w:rFonts w:ascii="Times New Roman" w:eastAsia="宋体" w:hAnsi="Times New Roman" w:cs="Times New Roman" w:hint="eastAsia"/>
                <w:sz w:val="24"/>
                <w:szCs w:val="24"/>
                <w:lang w:eastAsia="zh-CN" w:bidi="ar"/>
              </w:rPr>
              <w:t>30</w:t>
            </w:r>
            <w:r>
              <w:rPr>
                <w:rFonts w:ascii="Times New Roman" w:eastAsia="宋体" w:hAnsi="Times New Roman" w:cs="Times New Roman" w:hint="eastAsia"/>
                <w:sz w:val="24"/>
                <w:szCs w:val="24"/>
                <w:lang w:eastAsia="zh-CN" w:bidi="ar"/>
              </w:rPr>
              <w:t>米左右，浅层勘探获重要进展，赛诺曼阶开发储量得到基本落实。岸边新扩边面积为</w:t>
            </w:r>
            <w:r>
              <w:rPr>
                <w:rFonts w:ascii="Times New Roman" w:eastAsia="宋体" w:hAnsi="Times New Roman" w:cs="Times New Roman" w:hint="eastAsia"/>
                <w:sz w:val="24"/>
                <w:szCs w:val="24"/>
                <w:lang w:eastAsia="zh-CN" w:bidi="ar"/>
              </w:rPr>
              <w:t>72.287</w:t>
            </w:r>
            <w:r>
              <w:rPr>
                <w:rFonts w:ascii="Times New Roman" w:eastAsia="宋体" w:hAnsi="Times New Roman" w:cs="Times New Roman" w:hint="eastAsia"/>
                <w:sz w:val="24"/>
                <w:szCs w:val="24"/>
                <w:lang w:eastAsia="zh-CN" w:bidi="ar"/>
              </w:rPr>
              <w:t>平方千米，目前总探矿</w:t>
            </w:r>
            <w:proofErr w:type="gramStart"/>
            <w:r>
              <w:rPr>
                <w:rFonts w:ascii="Times New Roman" w:eastAsia="宋体" w:hAnsi="Times New Roman" w:cs="Times New Roman" w:hint="eastAsia"/>
                <w:sz w:val="24"/>
                <w:szCs w:val="24"/>
                <w:lang w:eastAsia="zh-CN" w:bidi="ar"/>
              </w:rPr>
              <w:t>权面积</w:t>
            </w:r>
            <w:proofErr w:type="gramEnd"/>
            <w:r>
              <w:rPr>
                <w:rFonts w:ascii="Times New Roman" w:eastAsia="宋体" w:hAnsi="Times New Roman" w:cs="Times New Roman" w:hint="eastAsia"/>
                <w:sz w:val="24"/>
                <w:szCs w:val="24"/>
                <w:lang w:eastAsia="zh-CN" w:bidi="ar"/>
              </w:rPr>
              <w:t>90.542</w:t>
            </w:r>
            <w:r>
              <w:rPr>
                <w:rFonts w:ascii="Times New Roman" w:eastAsia="宋体" w:hAnsi="Times New Roman" w:cs="Times New Roman" w:hint="eastAsia"/>
                <w:sz w:val="24"/>
                <w:szCs w:val="24"/>
                <w:lang w:eastAsia="zh-CN" w:bidi="ar"/>
              </w:rPr>
              <w:t>平方千米。</w:t>
            </w:r>
            <w:r>
              <w:rPr>
                <w:rFonts w:ascii="Times New Roman" w:eastAsia="宋体" w:hAnsi="Times New Roman" w:cs="Times New Roman" w:hint="eastAsia"/>
                <w:sz w:val="24"/>
                <w:szCs w:val="24"/>
                <w:lang w:eastAsia="zh-CN" w:bidi="ar"/>
              </w:rPr>
              <w:t>2024</w:t>
            </w:r>
            <w:r>
              <w:rPr>
                <w:rFonts w:ascii="Times New Roman" w:eastAsia="宋体" w:hAnsi="Times New Roman" w:cs="Times New Roman" w:hint="eastAsia"/>
                <w:sz w:val="24"/>
                <w:szCs w:val="24"/>
                <w:lang w:eastAsia="zh-CN" w:bidi="ar"/>
              </w:rPr>
              <w:t>年，岸边油田</w:t>
            </w:r>
            <w:r>
              <w:rPr>
                <w:rFonts w:ascii="Times New Roman" w:eastAsia="宋体" w:hAnsi="Times New Roman" w:cs="Times New Roman" w:hint="eastAsia"/>
                <w:sz w:val="24"/>
                <w:szCs w:val="24"/>
                <w:lang w:eastAsia="zh-CN" w:bidi="ar"/>
              </w:rPr>
              <w:t>S1</w:t>
            </w:r>
            <w:r>
              <w:rPr>
                <w:rFonts w:ascii="Times New Roman" w:eastAsia="宋体" w:hAnsi="Times New Roman" w:cs="Times New Roman" w:hint="eastAsia"/>
                <w:sz w:val="24"/>
                <w:szCs w:val="24"/>
                <w:lang w:eastAsia="zh-CN" w:bidi="ar"/>
              </w:rPr>
              <w:t>井成功勘探，在岸边</w:t>
            </w:r>
            <w:proofErr w:type="gramStart"/>
            <w:r>
              <w:rPr>
                <w:rFonts w:ascii="Times New Roman" w:eastAsia="宋体" w:hAnsi="Times New Roman" w:cs="Times New Roman" w:hint="eastAsia"/>
                <w:sz w:val="24"/>
                <w:szCs w:val="24"/>
                <w:lang w:eastAsia="zh-CN" w:bidi="ar"/>
              </w:rPr>
              <w:t>油田南</w:t>
            </w:r>
            <w:proofErr w:type="gramEnd"/>
            <w:r>
              <w:rPr>
                <w:rFonts w:ascii="Times New Roman" w:eastAsia="宋体" w:hAnsi="Times New Roman" w:cs="Times New Roman" w:hint="eastAsia"/>
                <w:sz w:val="24"/>
                <w:szCs w:val="24"/>
                <w:lang w:eastAsia="zh-CN" w:bidi="ar"/>
              </w:rPr>
              <w:t>块白垩系、侏罗系、三叠系均发现高丰度油层，预计可新增整装优质储量，展示出很好的勘探前景。岸边区块整体储量情况正在进一步勘探评价过程中，如有最新的消息公司将及时进行信息披露，请您到时关注，谢谢！</w:t>
            </w:r>
          </w:p>
          <w:p w14:paraId="770A96CB" w14:textId="77777777" w:rsidR="00FB4C66" w:rsidRDefault="00000000">
            <w:pPr>
              <w:numPr>
                <w:ilvl w:val="0"/>
                <w:numId w:val="1"/>
              </w:num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问：您好！经过</w:t>
            </w:r>
            <w:r>
              <w:rPr>
                <w:rFonts w:ascii="Times New Roman" w:eastAsia="宋体" w:hAnsi="Times New Roman" w:cs="Times New Roman" w:hint="eastAsia"/>
                <w:b/>
                <w:bCs/>
                <w:sz w:val="24"/>
                <w:szCs w:val="24"/>
                <w:lang w:eastAsia="zh-CN" w:bidi="ar"/>
              </w:rPr>
              <w:t>24</w:t>
            </w:r>
            <w:r>
              <w:rPr>
                <w:rFonts w:ascii="Times New Roman" w:eastAsia="宋体" w:hAnsi="Times New Roman" w:cs="Times New Roman" w:hint="eastAsia"/>
                <w:b/>
                <w:bCs/>
                <w:sz w:val="24"/>
                <w:szCs w:val="24"/>
                <w:lang w:eastAsia="zh-CN" w:bidi="ar"/>
              </w:rPr>
              <w:t>年的增发之后，公司现金流和负债情况有所好转，但后续开发</w:t>
            </w:r>
            <w:proofErr w:type="gramStart"/>
            <w:r>
              <w:rPr>
                <w:rFonts w:ascii="Times New Roman" w:eastAsia="宋体" w:hAnsi="Times New Roman" w:cs="Times New Roman" w:hint="eastAsia"/>
                <w:b/>
                <w:bCs/>
                <w:sz w:val="24"/>
                <w:szCs w:val="24"/>
                <w:lang w:eastAsia="zh-CN" w:bidi="ar"/>
              </w:rPr>
              <w:t>坚</w:t>
            </w:r>
            <w:proofErr w:type="gramEnd"/>
            <w:r>
              <w:rPr>
                <w:rFonts w:ascii="Times New Roman" w:eastAsia="宋体" w:hAnsi="Times New Roman" w:cs="Times New Roman" w:hint="eastAsia"/>
                <w:b/>
                <w:bCs/>
                <w:sz w:val="24"/>
                <w:szCs w:val="24"/>
                <w:lang w:eastAsia="zh-CN" w:bidi="ar"/>
              </w:rPr>
              <w:t>戈、岸边及伊拉克两个区块还需投入几十亿资金，长期看公司的资金压力仍然很大，请问公司打算如何解决海外油田开发的资金问题？公司后续还会不会通过定增、可转债、港股上市等损害中小投资者权益的方式融资？</w:t>
            </w:r>
          </w:p>
          <w:p w14:paraId="6A55301C" w14:textId="77777777" w:rsidR="00FB4C66" w:rsidRDefault="00000000">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答：您好，公司在海外油田开发的资金解决方案上，将依托全产业链协同优势和多元化融资渠道，确保项目高效推进。首先，公司将通过一体化布局联动国内外资源，提升全产业链盈利能力，增强内</w:t>
            </w:r>
            <w:proofErr w:type="gramStart"/>
            <w:r>
              <w:rPr>
                <w:rFonts w:ascii="Times New Roman" w:eastAsia="宋体" w:hAnsi="Times New Roman" w:cs="Times New Roman" w:hint="eastAsia"/>
                <w:sz w:val="24"/>
                <w:szCs w:val="24"/>
                <w:lang w:eastAsia="zh-CN" w:bidi="ar"/>
              </w:rPr>
              <w:t>生资金</w:t>
            </w:r>
            <w:proofErr w:type="gramEnd"/>
            <w:r>
              <w:rPr>
                <w:rFonts w:ascii="Times New Roman" w:eastAsia="宋体" w:hAnsi="Times New Roman" w:cs="Times New Roman" w:hint="eastAsia"/>
                <w:sz w:val="24"/>
                <w:szCs w:val="24"/>
                <w:lang w:eastAsia="zh-CN" w:bidi="ar"/>
              </w:rPr>
              <w:t>积累。比如温宿、</w:t>
            </w:r>
            <w:proofErr w:type="gramStart"/>
            <w:r>
              <w:rPr>
                <w:rFonts w:ascii="Times New Roman" w:eastAsia="宋体" w:hAnsi="Times New Roman" w:cs="Times New Roman" w:hint="eastAsia"/>
                <w:sz w:val="24"/>
                <w:szCs w:val="24"/>
                <w:lang w:eastAsia="zh-CN" w:bidi="ar"/>
              </w:rPr>
              <w:t>坚</w:t>
            </w:r>
            <w:proofErr w:type="gramEnd"/>
            <w:r>
              <w:rPr>
                <w:rFonts w:ascii="Times New Roman" w:eastAsia="宋体" w:hAnsi="Times New Roman" w:cs="Times New Roman" w:hint="eastAsia"/>
                <w:sz w:val="24"/>
                <w:szCs w:val="24"/>
                <w:lang w:eastAsia="zh-CN" w:bidi="ar"/>
              </w:rPr>
              <w:t>戈等成熟项目的持续增产及岸边、伊拉克区块的滚动开发，</w:t>
            </w:r>
            <w:proofErr w:type="gramStart"/>
            <w:r>
              <w:rPr>
                <w:rFonts w:ascii="Times New Roman" w:eastAsia="宋体" w:hAnsi="Times New Roman" w:cs="Times New Roman" w:hint="eastAsia"/>
                <w:sz w:val="24"/>
                <w:szCs w:val="24"/>
                <w:lang w:eastAsia="zh-CN" w:bidi="ar"/>
              </w:rPr>
              <w:t>将贡献</w:t>
            </w:r>
            <w:proofErr w:type="gramEnd"/>
            <w:r>
              <w:rPr>
                <w:rFonts w:ascii="Times New Roman" w:eastAsia="宋体" w:hAnsi="Times New Roman" w:cs="Times New Roman" w:hint="eastAsia"/>
                <w:sz w:val="24"/>
                <w:szCs w:val="24"/>
                <w:lang w:eastAsia="zh-CN" w:bidi="ar"/>
              </w:rPr>
              <w:t>稳定现金流。其次，公司注重与国内外金融机构的战略合作，通过项目融资、银团贷款等市场化方式筹措资金，并结合政策争取低息贷款等支持，优化融资成本。公司</w:t>
            </w:r>
            <w:r>
              <w:rPr>
                <w:rFonts w:ascii="Times New Roman" w:eastAsia="宋体" w:hAnsi="Times New Roman" w:cs="Times New Roman" w:hint="eastAsia"/>
                <w:sz w:val="24"/>
                <w:szCs w:val="24"/>
                <w:lang w:eastAsia="zh-CN" w:bidi="ar"/>
              </w:rPr>
              <w:lastRenderedPageBreak/>
              <w:t>将优先通过经营性现金流、项目收益再投资及合理债务工具满足资金需求，严格评估融资方案对股东权益的影响。未来若有股权融资计划，公司将遵循市场化原则并履行信息披露义务。感谢您对公司的关注。</w:t>
            </w:r>
          </w:p>
          <w:p w14:paraId="58CF8449" w14:textId="77777777" w:rsidR="00FB4C66" w:rsidRDefault="00000000">
            <w:pPr>
              <w:numPr>
                <w:ilvl w:val="0"/>
                <w:numId w:val="1"/>
              </w:num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问：</w:t>
            </w:r>
            <w:r>
              <w:rPr>
                <w:rFonts w:ascii="Times New Roman" w:eastAsia="宋体" w:hAnsi="Times New Roman" w:cs="Times New Roman" w:hint="eastAsia"/>
                <w:b/>
                <w:bCs/>
                <w:sz w:val="24"/>
                <w:szCs w:val="24"/>
                <w:lang w:eastAsia="zh-CN" w:bidi="ar"/>
              </w:rPr>
              <w:t>1</w:t>
            </w:r>
            <w:r>
              <w:rPr>
                <w:rFonts w:ascii="Times New Roman" w:eastAsia="宋体" w:hAnsi="Times New Roman" w:cs="Times New Roman" w:hint="eastAsia"/>
                <w:b/>
                <w:bCs/>
                <w:sz w:val="24"/>
                <w:szCs w:val="24"/>
                <w:lang w:eastAsia="zh-CN" w:bidi="ar"/>
              </w:rPr>
              <w:t>、上市公司母公司中</w:t>
            </w:r>
            <w:proofErr w:type="gramStart"/>
            <w:r>
              <w:rPr>
                <w:rFonts w:ascii="Times New Roman" w:eastAsia="宋体" w:hAnsi="Times New Roman" w:cs="Times New Roman" w:hint="eastAsia"/>
                <w:b/>
                <w:bCs/>
                <w:sz w:val="24"/>
                <w:szCs w:val="24"/>
                <w:lang w:eastAsia="zh-CN" w:bidi="ar"/>
              </w:rPr>
              <w:t>曼</w:t>
            </w:r>
            <w:proofErr w:type="gramEnd"/>
            <w:r>
              <w:rPr>
                <w:rFonts w:ascii="Times New Roman" w:eastAsia="宋体" w:hAnsi="Times New Roman" w:cs="Times New Roman" w:hint="eastAsia"/>
                <w:b/>
                <w:bCs/>
                <w:sz w:val="24"/>
                <w:szCs w:val="24"/>
                <w:lang w:eastAsia="zh-CN" w:bidi="ar"/>
              </w:rPr>
              <w:t>控股持有的坚戈权益，日后是否会并入到上市公司？</w:t>
            </w:r>
            <w:r>
              <w:rPr>
                <w:rFonts w:ascii="Times New Roman" w:eastAsia="宋体" w:hAnsi="Times New Roman" w:cs="Times New Roman" w:hint="eastAsia"/>
                <w:b/>
                <w:bCs/>
                <w:sz w:val="24"/>
                <w:szCs w:val="24"/>
                <w:lang w:eastAsia="zh-CN" w:bidi="ar"/>
              </w:rPr>
              <w:t>2</w:t>
            </w:r>
            <w:r>
              <w:rPr>
                <w:rFonts w:ascii="Times New Roman" w:eastAsia="宋体" w:hAnsi="Times New Roman" w:cs="Times New Roman" w:hint="eastAsia"/>
                <w:b/>
                <w:bCs/>
                <w:sz w:val="24"/>
                <w:szCs w:val="24"/>
                <w:lang w:eastAsia="zh-CN" w:bidi="ar"/>
              </w:rPr>
              <w:t>、</w:t>
            </w:r>
            <w:proofErr w:type="gramStart"/>
            <w:r>
              <w:rPr>
                <w:rFonts w:ascii="Times New Roman" w:eastAsia="宋体" w:hAnsi="Times New Roman" w:cs="Times New Roman" w:hint="eastAsia"/>
                <w:b/>
                <w:bCs/>
                <w:sz w:val="24"/>
                <w:szCs w:val="24"/>
                <w:lang w:eastAsia="zh-CN" w:bidi="ar"/>
              </w:rPr>
              <w:t>坚</w:t>
            </w:r>
            <w:proofErr w:type="gramEnd"/>
            <w:r>
              <w:rPr>
                <w:rFonts w:ascii="Times New Roman" w:eastAsia="宋体" w:hAnsi="Times New Roman" w:cs="Times New Roman" w:hint="eastAsia"/>
                <w:b/>
                <w:bCs/>
                <w:sz w:val="24"/>
                <w:szCs w:val="24"/>
                <w:lang w:eastAsia="zh-CN" w:bidi="ar"/>
              </w:rPr>
              <w:t>戈油田如果进行外销的话，利润是否能够提高一些？</w:t>
            </w:r>
            <w:r>
              <w:rPr>
                <w:rFonts w:ascii="Times New Roman" w:eastAsia="宋体" w:hAnsi="Times New Roman" w:cs="Times New Roman" w:hint="eastAsia"/>
                <w:b/>
                <w:bCs/>
                <w:sz w:val="24"/>
                <w:szCs w:val="24"/>
                <w:lang w:eastAsia="zh-CN" w:bidi="ar"/>
              </w:rPr>
              <w:t>3</w:t>
            </w:r>
            <w:r>
              <w:rPr>
                <w:rFonts w:ascii="Times New Roman" w:eastAsia="宋体" w:hAnsi="Times New Roman" w:cs="Times New Roman" w:hint="eastAsia"/>
                <w:b/>
                <w:bCs/>
                <w:sz w:val="24"/>
                <w:szCs w:val="24"/>
                <w:lang w:eastAsia="zh-CN" w:bidi="ar"/>
              </w:rPr>
              <w:t>、</w:t>
            </w:r>
            <w:proofErr w:type="gramStart"/>
            <w:r>
              <w:rPr>
                <w:rFonts w:ascii="Times New Roman" w:eastAsia="宋体" w:hAnsi="Times New Roman" w:cs="Times New Roman" w:hint="eastAsia"/>
                <w:b/>
                <w:bCs/>
                <w:sz w:val="24"/>
                <w:szCs w:val="24"/>
                <w:lang w:eastAsia="zh-CN" w:bidi="ar"/>
              </w:rPr>
              <w:t>坚</w:t>
            </w:r>
            <w:proofErr w:type="gramEnd"/>
            <w:r>
              <w:rPr>
                <w:rFonts w:ascii="Times New Roman" w:eastAsia="宋体" w:hAnsi="Times New Roman" w:cs="Times New Roman" w:hint="eastAsia"/>
                <w:b/>
                <w:bCs/>
                <w:sz w:val="24"/>
                <w:szCs w:val="24"/>
                <w:lang w:eastAsia="zh-CN" w:bidi="ar"/>
              </w:rPr>
              <w:t>戈油田的开采成本较高，是否有进一步下降的空间，把开采成本降低到和温宿差不多的程度？</w:t>
            </w:r>
          </w:p>
          <w:p w14:paraId="42B663FB" w14:textId="77777777" w:rsidR="00FB4C66" w:rsidRDefault="00000000">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答：您好，</w:t>
            </w:r>
            <w:proofErr w:type="gramStart"/>
            <w:r>
              <w:rPr>
                <w:rFonts w:ascii="Times New Roman" w:eastAsia="宋体" w:hAnsi="Times New Roman" w:cs="Times New Roman" w:hint="eastAsia"/>
                <w:sz w:val="24"/>
                <w:szCs w:val="24"/>
                <w:lang w:eastAsia="zh-CN" w:bidi="ar"/>
              </w:rPr>
              <w:t>坚</w:t>
            </w:r>
            <w:proofErr w:type="gramEnd"/>
            <w:r>
              <w:rPr>
                <w:rFonts w:ascii="Times New Roman" w:eastAsia="宋体" w:hAnsi="Times New Roman" w:cs="Times New Roman" w:hint="eastAsia"/>
                <w:sz w:val="24"/>
                <w:szCs w:val="24"/>
                <w:lang w:eastAsia="zh-CN" w:bidi="ar"/>
              </w:rPr>
              <w:t>戈油田少数股东权益的情况如有变化，公司将按照有关规定及时履行信息披露义务，请您到时关注。公司将结合油价变化及当地市场情况，最优化选择销售渠道和客户，实现利益最大化。</w:t>
            </w:r>
            <w:proofErr w:type="gramStart"/>
            <w:r>
              <w:rPr>
                <w:rFonts w:ascii="Times New Roman" w:eastAsia="宋体" w:hAnsi="Times New Roman" w:cs="Times New Roman" w:hint="eastAsia"/>
                <w:sz w:val="24"/>
                <w:szCs w:val="24"/>
                <w:lang w:eastAsia="zh-CN" w:bidi="ar"/>
              </w:rPr>
              <w:t>坚</w:t>
            </w:r>
            <w:proofErr w:type="gramEnd"/>
            <w:r>
              <w:rPr>
                <w:rFonts w:ascii="Times New Roman" w:eastAsia="宋体" w:hAnsi="Times New Roman" w:cs="Times New Roman" w:hint="eastAsia"/>
                <w:sz w:val="24"/>
                <w:szCs w:val="24"/>
                <w:lang w:eastAsia="zh-CN" w:bidi="ar"/>
              </w:rPr>
              <w:t>戈油田通过流程优化、管理提升及提升产能规模已实现桶油成本的逐步下降，未来将进一步借鉴温宿油田开发经验，通过技术升级、一体化协同等手段进一步降低成本。感谢您对公司的关注。</w:t>
            </w:r>
          </w:p>
          <w:p w14:paraId="0664F8AD" w14:textId="77777777" w:rsidR="001F0D36" w:rsidRPr="001F0D36" w:rsidRDefault="001F0D36" w:rsidP="001F0D36">
            <w:pPr>
              <w:numPr>
                <w:ilvl w:val="0"/>
                <w:numId w:val="1"/>
              </w:numPr>
              <w:spacing w:line="360" w:lineRule="auto"/>
              <w:ind w:firstLineChars="200" w:firstLine="482"/>
              <w:jc w:val="both"/>
              <w:rPr>
                <w:rFonts w:ascii="Times New Roman" w:eastAsia="宋体" w:hAnsi="Times New Roman" w:cs="Times New Roman"/>
                <w:b/>
                <w:bCs/>
                <w:sz w:val="24"/>
                <w:szCs w:val="24"/>
                <w:lang w:eastAsia="zh-CN" w:bidi="ar"/>
              </w:rPr>
            </w:pPr>
            <w:r w:rsidRPr="001F0D36">
              <w:rPr>
                <w:rFonts w:ascii="Times New Roman" w:eastAsia="宋体" w:hAnsi="Times New Roman" w:cs="Times New Roman" w:hint="eastAsia"/>
                <w:b/>
                <w:bCs/>
                <w:sz w:val="24"/>
                <w:szCs w:val="24"/>
                <w:lang w:eastAsia="zh-CN" w:bidi="ar"/>
              </w:rPr>
              <w:t>问：望公司能够学习下中海油的年报和季报，提高</w:t>
            </w:r>
            <w:proofErr w:type="gramStart"/>
            <w:r w:rsidRPr="001F0D36">
              <w:rPr>
                <w:rFonts w:ascii="Times New Roman" w:eastAsia="宋体" w:hAnsi="Times New Roman" w:cs="Times New Roman" w:hint="eastAsia"/>
                <w:b/>
                <w:bCs/>
                <w:sz w:val="24"/>
                <w:szCs w:val="24"/>
                <w:lang w:eastAsia="zh-CN" w:bidi="ar"/>
              </w:rPr>
              <w:t>一下信披质量</w:t>
            </w:r>
            <w:proofErr w:type="gramEnd"/>
            <w:r w:rsidRPr="001F0D36">
              <w:rPr>
                <w:rFonts w:ascii="Times New Roman" w:eastAsia="宋体" w:hAnsi="Times New Roman" w:cs="Times New Roman" w:hint="eastAsia"/>
                <w:b/>
                <w:bCs/>
                <w:sz w:val="24"/>
                <w:szCs w:val="24"/>
                <w:lang w:eastAsia="zh-CN" w:bidi="ar"/>
              </w:rPr>
              <w:t>，加强与投资者的沟通交流，预祝公司</w:t>
            </w:r>
            <w:r w:rsidRPr="001F0D36">
              <w:rPr>
                <w:rFonts w:ascii="Times New Roman" w:eastAsia="宋体" w:hAnsi="Times New Roman" w:cs="Times New Roman"/>
                <w:b/>
                <w:bCs/>
                <w:sz w:val="24"/>
                <w:szCs w:val="24"/>
                <w:lang w:eastAsia="zh-CN" w:bidi="ar"/>
              </w:rPr>
              <w:t>25</w:t>
            </w:r>
            <w:r w:rsidRPr="001F0D36">
              <w:rPr>
                <w:rFonts w:ascii="Times New Roman" w:eastAsia="宋体" w:hAnsi="Times New Roman" w:cs="Times New Roman" w:hint="eastAsia"/>
                <w:b/>
                <w:bCs/>
                <w:sz w:val="24"/>
                <w:szCs w:val="24"/>
                <w:lang w:eastAsia="zh-CN" w:bidi="ar"/>
              </w:rPr>
              <w:t>年继续赚大钱</w:t>
            </w:r>
          </w:p>
          <w:p w14:paraId="7AED2A9B" w14:textId="6AA4C4C2" w:rsidR="001F0D36" w:rsidRPr="001F0D36" w:rsidRDefault="001F0D36" w:rsidP="001F0D36">
            <w:pPr>
              <w:tabs>
                <w:tab w:val="left" w:pos="312"/>
              </w:tabs>
              <w:spacing w:line="360" w:lineRule="auto"/>
              <w:ind w:firstLineChars="200" w:firstLine="480"/>
              <w:jc w:val="both"/>
              <w:rPr>
                <w:rFonts w:ascii="Times New Roman" w:eastAsia="宋体" w:hAnsi="Times New Roman" w:cs="Times New Roman"/>
                <w:sz w:val="24"/>
                <w:szCs w:val="24"/>
                <w:lang w:eastAsia="zh-CN" w:bidi="ar"/>
              </w:rPr>
            </w:pPr>
            <w:r w:rsidRPr="001F0D36">
              <w:rPr>
                <w:rFonts w:ascii="Times New Roman" w:eastAsia="宋体" w:hAnsi="Times New Roman" w:cs="Times New Roman" w:hint="eastAsia"/>
                <w:sz w:val="24"/>
                <w:szCs w:val="24"/>
                <w:lang w:eastAsia="zh-CN" w:bidi="ar"/>
              </w:rPr>
              <w:t>答：您好，公司高度重视信息披露质量与投资者沟通交流，始终严格遵守法律法规及监管要求，以投资者需求为导向，持续提升信息披露的透明度与可读性。针对您的建议，公司将持续关注行业优秀实践，未来不断优化定期报告内容结构，丰富非财务信息披露维度，同时结合投资者反馈灵活调整沟通形式。以</w:t>
            </w:r>
            <w:proofErr w:type="gramStart"/>
            <w:r w:rsidRPr="001F0D36">
              <w:rPr>
                <w:rFonts w:ascii="Times New Roman" w:eastAsia="宋体" w:hAnsi="Times New Roman" w:cs="Times New Roman" w:hint="eastAsia"/>
                <w:sz w:val="24"/>
                <w:szCs w:val="24"/>
                <w:lang w:eastAsia="zh-CN" w:bidi="ar"/>
              </w:rPr>
              <w:t>优质信披与</w:t>
            </w:r>
            <w:proofErr w:type="gramEnd"/>
            <w:r w:rsidRPr="001F0D36">
              <w:rPr>
                <w:rFonts w:ascii="Times New Roman" w:eastAsia="宋体" w:hAnsi="Times New Roman" w:cs="Times New Roman" w:hint="eastAsia"/>
                <w:sz w:val="24"/>
                <w:szCs w:val="24"/>
                <w:lang w:eastAsia="zh-CN" w:bidi="ar"/>
              </w:rPr>
              <w:t>高效沟通回馈投资者信任，携手共筑公司长期投资价值。感谢您对公司的建议与祝福。谢谢！</w:t>
            </w:r>
          </w:p>
          <w:p w14:paraId="28A311E0" w14:textId="77777777" w:rsidR="00FB4C66" w:rsidRDefault="00000000">
            <w:pPr>
              <w:numPr>
                <w:ilvl w:val="0"/>
                <w:numId w:val="1"/>
              </w:num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问：公司在年报中披露汇兑损失高达</w:t>
            </w:r>
            <w:r>
              <w:rPr>
                <w:rFonts w:ascii="Times New Roman" w:eastAsia="宋体" w:hAnsi="Times New Roman" w:cs="Times New Roman" w:hint="eastAsia"/>
                <w:b/>
                <w:bCs/>
                <w:sz w:val="24"/>
                <w:szCs w:val="24"/>
                <w:lang w:eastAsia="zh-CN" w:bidi="ar"/>
              </w:rPr>
              <w:t>1.8</w:t>
            </w:r>
            <w:r>
              <w:rPr>
                <w:rFonts w:ascii="Times New Roman" w:eastAsia="宋体" w:hAnsi="Times New Roman" w:cs="Times New Roman" w:hint="eastAsia"/>
                <w:b/>
                <w:bCs/>
                <w:sz w:val="24"/>
                <w:szCs w:val="24"/>
                <w:lang w:eastAsia="zh-CN" w:bidi="ar"/>
              </w:rPr>
              <w:t>亿，请问是什么原因造成的？今年</w:t>
            </w:r>
            <w:proofErr w:type="gramStart"/>
            <w:r>
              <w:rPr>
                <w:rFonts w:ascii="Times New Roman" w:eastAsia="宋体" w:hAnsi="Times New Roman" w:cs="Times New Roman" w:hint="eastAsia"/>
                <w:b/>
                <w:bCs/>
                <w:sz w:val="24"/>
                <w:szCs w:val="24"/>
                <w:lang w:eastAsia="zh-CN" w:bidi="ar"/>
              </w:rPr>
              <w:t>一</w:t>
            </w:r>
            <w:proofErr w:type="gramEnd"/>
            <w:r>
              <w:rPr>
                <w:rFonts w:ascii="Times New Roman" w:eastAsia="宋体" w:hAnsi="Times New Roman" w:cs="Times New Roman" w:hint="eastAsia"/>
                <w:b/>
                <w:bCs/>
                <w:sz w:val="24"/>
                <w:szCs w:val="24"/>
                <w:lang w:eastAsia="zh-CN" w:bidi="ar"/>
              </w:rPr>
              <w:t>季报财务费用又异常负数，应该还是汇兑收益造成的，汇兑变动如此之大，请问公司是否有相应的应对策略？</w:t>
            </w:r>
          </w:p>
          <w:p w14:paraId="2242BC38" w14:textId="77777777" w:rsidR="00FB4C66" w:rsidRDefault="00000000">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答：您好！汇兑损益波动原因主要是</w:t>
            </w:r>
            <w:r>
              <w:rPr>
                <w:rFonts w:ascii="Times New Roman" w:eastAsia="宋体" w:hAnsi="Times New Roman" w:cs="Times New Roman" w:hint="eastAsia"/>
                <w:sz w:val="24"/>
                <w:szCs w:val="24"/>
                <w:lang w:eastAsia="zh-CN" w:bidi="ar"/>
              </w:rPr>
              <w:t>2024</w:t>
            </w:r>
            <w:r>
              <w:rPr>
                <w:rFonts w:ascii="Times New Roman" w:eastAsia="宋体" w:hAnsi="Times New Roman" w:cs="Times New Roman" w:hint="eastAsia"/>
                <w:sz w:val="24"/>
                <w:szCs w:val="24"/>
                <w:lang w:eastAsia="zh-CN" w:bidi="ar"/>
              </w:rPr>
              <w:t>年受到美元持续走强的影响，哈萨克、埃及等地区的货币大幅波动，造成了较大的汇兑损失。公司会定期评估汇率风险，分析企业外汇风险敞口（如应收账款、应付账款、海外投资等）动态调整汇率风险管理策略。公司将综合考虑当地金融环境、合同条款以及相关外汇政策等多方面因</w:t>
            </w:r>
            <w:r>
              <w:rPr>
                <w:rFonts w:ascii="Times New Roman" w:eastAsia="宋体" w:hAnsi="Times New Roman" w:cs="Times New Roman" w:hint="eastAsia"/>
                <w:sz w:val="24"/>
                <w:szCs w:val="24"/>
                <w:lang w:eastAsia="zh-CN" w:bidi="ar"/>
              </w:rPr>
              <w:lastRenderedPageBreak/>
              <w:t>素，持续评估影响并采取措施优化结算方式和结算周期，最大限度降低汇率波动对公司业绩的影响。感谢您对公司的关注！</w:t>
            </w:r>
          </w:p>
          <w:p w14:paraId="3E58A59C" w14:textId="77777777" w:rsidR="00FB4C66" w:rsidRDefault="00000000">
            <w:pPr>
              <w:numPr>
                <w:ilvl w:val="0"/>
                <w:numId w:val="1"/>
              </w:num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问：你好！请问公司对哈国境内的</w:t>
            </w:r>
            <w:proofErr w:type="gramStart"/>
            <w:r>
              <w:rPr>
                <w:rFonts w:ascii="Times New Roman" w:eastAsia="宋体" w:hAnsi="Times New Roman" w:cs="Times New Roman" w:hint="eastAsia"/>
                <w:b/>
                <w:bCs/>
                <w:sz w:val="24"/>
                <w:szCs w:val="24"/>
                <w:lang w:eastAsia="zh-CN" w:bidi="ar"/>
              </w:rPr>
              <w:t>坚</w:t>
            </w:r>
            <w:proofErr w:type="gramEnd"/>
            <w:r>
              <w:rPr>
                <w:rFonts w:ascii="Times New Roman" w:eastAsia="宋体" w:hAnsi="Times New Roman" w:cs="Times New Roman" w:hint="eastAsia"/>
                <w:b/>
                <w:bCs/>
                <w:sz w:val="24"/>
                <w:szCs w:val="24"/>
                <w:lang w:eastAsia="zh-CN" w:bidi="ar"/>
              </w:rPr>
              <w:t>戈油田和岸边油田后续有怎样的开发计划？哈国的石油开采税收高，内销价格低，如</w:t>
            </w:r>
            <w:proofErr w:type="gramStart"/>
            <w:r>
              <w:rPr>
                <w:rFonts w:ascii="Times New Roman" w:eastAsia="宋体" w:hAnsi="Times New Roman" w:cs="Times New Roman" w:hint="eastAsia"/>
                <w:b/>
                <w:bCs/>
                <w:sz w:val="24"/>
                <w:szCs w:val="24"/>
                <w:lang w:eastAsia="zh-CN" w:bidi="ar"/>
              </w:rPr>
              <w:t>坚</w:t>
            </w:r>
            <w:proofErr w:type="gramEnd"/>
            <w:r>
              <w:rPr>
                <w:rFonts w:ascii="Times New Roman" w:eastAsia="宋体" w:hAnsi="Times New Roman" w:cs="Times New Roman" w:hint="eastAsia"/>
                <w:b/>
                <w:bCs/>
                <w:sz w:val="24"/>
                <w:szCs w:val="24"/>
                <w:lang w:eastAsia="zh-CN" w:bidi="ar"/>
              </w:rPr>
              <w:t>戈今年一季度的净利润还不到</w:t>
            </w:r>
            <w:r>
              <w:rPr>
                <w:rFonts w:ascii="Times New Roman" w:eastAsia="宋体" w:hAnsi="Times New Roman" w:cs="Times New Roman" w:hint="eastAsia"/>
                <w:b/>
                <w:bCs/>
                <w:sz w:val="24"/>
                <w:szCs w:val="24"/>
                <w:lang w:eastAsia="zh-CN" w:bidi="ar"/>
              </w:rPr>
              <w:t>4000</w:t>
            </w:r>
            <w:r>
              <w:rPr>
                <w:rFonts w:ascii="Times New Roman" w:eastAsia="宋体" w:hAnsi="Times New Roman" w:cs="Times New Roman" w:hint="eastAsia"/>
                <w:b/>
                <w:bCs/>
                <w:sz w:val="24"/>
                <w:szCs w:val="24"/>
                <w:lang w:eastAsia="zh-CN" w:bidi="ar"/>
              </w:rPr>
              <w:t>万，归属上市公司的利润不到</w:t>
            </w:r>
            <w:r>
              <w:rPr>
                <w:rFonts w:ascii="Times New Roman" w:eastAsia="宋体" w:hAnsi="Times New Roman" w:cs="Times New Roman" w:hint="eastAsia"/>
                <w:b/>
                <w:bCs/>
                <w:sz w:val="24"/>
                <w:szCs w:val="24"/>
                <w:lang w:eastAsia="zh-CN" w:bidi="ar"/>
              </w:rPr>
              <w:t>2000</w:t>
            </w:r>
            <w:r>
              <w:rPr>
                <w:rFonts w:ascii="Times New Roman" w:eastAsia="宋体" w:hAnsi="Times New Roman" w:cs="Times New Roman" w:hint="eastAsia"/>
                <w:b/>
                <w:bCs/>
                <w:sz w:val="24"/>
                <w:szCs w:val="24"/>
                <w:lang w:eastAsia="zh-CN" w:bidi="ar"/>
              </w:rPr>
              <w:t>万，请问坚戈日后该如何提升利润比例？</w:t>
            </w:r>
          </w:p>
          <w:p w14:paraId="461BB0F6" w14:textId="77777777" w:rsidR="00FB4C66" w:rsidRDefault="00000000">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答：您好，</w:t>
            </w:r>
            <w:r>
              <w:rPr>
                <w:rFonts w:ascii="Times New Roman" w:eastAsia="宋体" w:hAnsi="Times New Roman" w:cs="Times New Roman" w:hint="eastAsia"/>
                <w:sz w:val="24"/>
                <w:szCs w:val="24"/>
                <w:lang w:eastAsia="zh-CN" w:bidi="ar"/>
              </w:rPr>
              <w:t>2025</w:t>
            </w:r>
            <w:r>
              <w:rPr>
                <w:rFonts w:ascii="Times New Roman" w:eastAsia="宋体" w:hAnsi="Times New Roman" w:cs="Times New Roman" w:hint="eastAsia"/>
                <w:sz w:val="24"/>
                <w:szCs w:val="24"/>
                <w:lang w:eastAsia="zh-CN" w:bidi="ar"/>
              </w:rPr>
              <w:t>年，</w:t>
            </w:r>
            <w:proofErr w:type="gramStart"/>
            <w:r>
              <w:rPr>
                <w:rFonts w:ascii="Times New Roman" w:eastAsia="宋体" w:hAnsi="Times New Roman" w:cs="Times New Roman" w:hint="eastAsia"/>
                <w:sz w:val="24"/>
                <w:szCs w:val="24"/>
                <w:lang w:eastAsia="zh-CN" w:bidi="ar"/>
              </w:rPr>
              <w:t>坚</w:t>
            </w:r>
            <w:proofErr w:type="gramEnd"/>
            <w:r>
              <w:rPr>
                <w:rFonts w:ascii="Times New Roman" w:eastAsia="宋体" w:hAnsi="Times New Roman" w:cs="Times New Roman" w:hint="eastAsia"/>
                <w:sz w:val="24"/>
                <w:szCs w:val="24"/>
                <w:lang w:eastAsia="zh-CN" w:bidi="ar"/>
              </w:rPr>
              <w:t>戈油田将继续以方案井网为基础，整体部署、分步实施，重点推进中西部储量开发，完善注采井网并全面开展注水开发工作，共计划钻井</w:t>
            </w:r>
            <w:r>
              <w:rPr>
                <w:rFonts w:ascii="Times New Roman" w:eastAsia="宋体" w:hAnsi="Times New Roman" w:cs="Times New Roman" w:hint="eastAsia"/>
                <w:sz w:val="24"/>
                <w:szCs w:val="24"/>
                <w:lang w:eastAsia="zh-CN" w:bidi="ar"/>
              </w:rPr>
              <w:t xml:space="preserve"> 21 </w:t>
            </w:r>
            <w:r>
              <w:rPr>
                <w:rFonts w:ascii="Times New Roman" w:eastAsia="宋体" w:hAnsi="Times New Roman" w:cs="Times New Roman" w:hint="eastAsia"/>
                <w:sz w:val="24"/>
                <w:szCs w:val="24"/>
                <w:lang w:eastAsia="zh-CN" w:bidi="ar"/>
              </w:rPr>
              <w:t>口，计划投产油井</w:t>
            </w:r>
            <w:r>
              <w:rPr>
                <w:rFonts w:ascii="Times New Roman" w:eastAsia="宋体" w:hAnsi="Times New Roman" w:cs="Times New Roman" w:hint="eastAsia"/>
                <w:sz w:val="24"/>
                <w:szCs w:val="24"/>
                <w:lang w:eastAsia="zh-CN" w:bidi="ar"/>
              </w:rPr>
              <w:t xml:space="preserve"> 27 </w:t>
            </w:r>
            <w:r>
              <w:rPr>
                <w:rFonts w:ascii="Times New Roman" w:eastAsia="宋体" w:hAnsi="Times New Roman" w:cs="Times New Roman" w:hint="eastAsia"/>
                <w:sz w:val="24"/>
                <w:szCs w:val="24"/>
                <w:lang w:eastAsia="zh-CN" w:bidi="ar"/>
              </w:rPr>
              <w:t>口，计划机采</w:t>
            </w:r>
            <w:proofErr w:type="gramStart"/>
            <w:r>
              <w:rPr>
                <w:rFonts w:ascii="Times New Roman" w:eastAsia="宋体" w:hAnsi="Times New Roman" w:cs="Times New Roman" w:hint="eastAsia"/>
                <w:sz w:val="24"/>
                <w:szCs w:val="24"/>
                <w:lang w:eastAsia="zh-CN" w:bidi="ar"/>
              </w:rPr>
              <w:t>作业共</w:t>
            </w:r>
            <w:proofErr w:type="gramEnd"/>
            <w:r>
              <w:rPr>
                <w:rFonts w:ascii="Times New Roman" w:eastAsia="宋体" w:hAnsi="Times New Roman" w:cs="Times New Roman" w:hint="eastAsia"/>
                <w:sz w:val="24"/>
                <w:szCs w:val="24"/>
                <w:lang w:eastAsia="zh-CN" w:bidi="ar"/>
              </w:rPr>
              <w:t xml:space="preserve"> 46 </w:t>
            </w:r>
            <w:r>
              <w:rPr>
                <w:rFonts w:ascii="Times New Roman" w:eastAsia="宋体" w:hAnsi="Times New Roman" w:cs="Times New Roman" w:hint="eastAsia"/>
                <w:sz w:val="24"/>
                <w:szCs w:val="24"/>
                <w:lang w:eastAsia="zh-CN" w:bidi="ar"/>
              </w:rPr>
              <w:t>井次，完成新建产能</w:t>
            </w:r>
            <w:r>
              <w:rPr>
                <w:rFonts w:ascii="Times New Roman" w:eastAsia="宋体" w:hAnsi="Times New Roman" w:cs="Times New Roman" w:hint="eastAsia"/>
                <w:sz w:val="24"/>
                <w:szCs w:val="24"/>
                <w:lang w:eastAsia="zh-CN" w:bidi="ar"/>
              </w:rPr>
              <w:t xml:space="preserve">15 </w:t>
            </w:r>
            <w:r>
              <w:rPr>
                <w:rFonts w:ascii="Times New Roman" w:eastAsia="宋体" w:hAnsi="Times New Roman" w:cs="Times New Roman" w:hint="eastAsia"/>
                <w:sz w:val="24"/>
                <w:szCs w:val="24"/>
                <w:lang w:eastAsia="zh-CN" w:bidi="ar"/>
              </w:rPr>
              <w:t>万吨。岸边油田计划部署</w:t>
            </w:r>
            <w:r>
              <w:rPr>
                <w:rFonts w:ascii="Times New Roman" w:eastAsia="宋体" w:hAnsi="Times New Roman" w:cs="Times New Roman" w:hint="eastAsia"/>
                <w:sz w:val="24"/>
                <w:szCs w:val="24"/>
                <w:lang w:eastAsia="zh-CN" w:bidi="ar"/>
              </w:rPr>
              <w:t>23</w:t>
            </w:r>
            <w:r>
              <w:rPr>
                <w:rFonts w:ascii="Times New Roman" w:eastAsia="宋体" w:hAnsi="Times New Roman" w:cs="Times New Roman" w:hint="eastAsia"/>
                <w:sz w:val="24"/>
                <w:szCs w:val="24"/>
                <w:lang w:eastAsia="zh-CN" w:bidi="ar"/>
              </w:rPr>
              <w:t>口勘探评价井和开发井，加快试油试采工作，为整体开发方案提供依据。公司将通过以下措施提升盈利能力：一是通过基础设施优化、流程改进及管理提升降低桶</w:t>
            </w:r>
            <w:proofErr w:type="gramStart"/>
            <w:r>
              <w:rPr>
                <w:rFonts w:ascii="Times New Roman" w:eastAsia="宋体" w:hAnsi="Times New Roman" w:cs="Times New Roman" w:hint="eastAsia"/>
                <w:sz w:val="24"/>
                <w:szCs w:val="24"/>
                <w:lang w:eastAsia="zh-CN" w:bidi="ar"/>
              </w:rPr>
              <w:t>油完全</w:t>
            </w:r>
            <w:proofErr w:type="gramEnd"/>
            <w:r>
              <w:rPr>
                <w:rFonts w:ascii="Times New Roman" w:eastAsia="宋体" w:hAnsi="Times New Roman" w:cs="Times New Roman" w:hint="eastAsia"/>
                <w:sz w:val="24"/>
                <w:szCs w:val="24"/>
                <w:lang w:eastAsia="zh-CN" w:bidi="ar"/>
              </w:rPr>
              <w:t>成本；二是借鉴温宿油田开发经验，加强新井投产和老井措施管理，细化生产运营流程；三是加快原油处理及运输配套设施投运，进一步降低成本。后续，</w:t>
            </w:r>
            <w:proofErr w:type="gramStart"/>
            <w:r>
              <w:rPr>
                <w:rFonts w:ascii="Times New Roman" w:eastAsia="宋体" w:hAnsi="Times New Roman" w:cs="Times New Roman" w:hint="eastAsia"/>
                <w:sz w:val="24"/>
                <w:szCs w:val="24"/>
                <w:lang w:eastAsia="zh-CN" w:bidi="ar"/>
              </w:rPr>
              <w:t>坚</w:t>
            </w:r>
            <w:proofErr w:type="gramEnd"/>
            <w:r>
              <w:rPr>
                <w:rFonts w:ascii="Times New Roman" w:eastAsia="宋体" w:hAnsi="Times New Roman" w:cs="Times New Roman" w:hint="eastAsia"/>
                <w:sz w:val="24"/>
                <w:szCs w:val="24"/>
                <w:lang w:eastAsia="zh-CN" w:bidi="ar"/>
              </w:rPr>
              <w:t>戈油田随着产量规模扩大、降本措施深化，盈利能力有望持续改善。感谢您对公司的关注。</w:t>
            </w:r>
          </w:p>
          <w:p w14:paraId="54EEED44" w14:textId="77777777" w:rsidR="00FB4C66" w:rsidRDefault="00000000">
            <w:pPr>
              <w:numPr>
                <w:ilvl w:val="0"/>
                <w:numId w:val="1"/>
              </w:numPr>
              <w:spacing w:line="360" w:lineRule="auto"/>
              <w:ind w:firstLineChars="200" w:firstLine="482"/>
              <w:jc w:val="both"/>
              <w:rPr>
                <w:rFonts w:ascii="Times New Roman" w:eastAsia="宋体" w:hAnsi="Times New Roman" w:cs="Times New Roman"/>
                <w:sz w:val="24"/>
                <w:szCs w:val="24"/>
                <w:lang w:eastAsia="zh-CN" w:bidi="ar"/>
              </w:rPr>
            </w:pPr>
            <w:r>
              <w:rPr>
                <w:rFonts w:ascii="Times New Roman" w:eastAsia="宋体" w:hAnsi="Times New Roman" w:cs="Times New Roman" w:hint="eastAsia"/>
                <w:b/>
                <w:bCs/>
                <w:sz w:val="24"/>
                <w:szCs w:val="24"/>
                <w:lang w:eastAsia="zh-CN" w:bidi="ar"/>
              </w:rPr>
              <w:t>问：请问公司如何</w:t>
            </w:r>
            <w:proofErr w:type="gramStart"/>
            <w:r>
              <w:rPr>
                <w:rFonts w:ascii="Times New Roman" w:eastAsia="宋体" w:hAnsi="Times New Roman" w:cs="Times New Roman" w:hint="eastAsia"/>
                <w:b/>
                <w:bCs/>
                <w:sz w:val="24"/>
                <w:szCs w:val="24"/>
                <w:lang w:eastAsia="zh-CN" w:bidi="ar"/>
              </w:rPr>
              <w:t>评估高</w:t>
            </w:r>
            <w:proofErr w:type="gramEnd"/>
            <w:r>
              <w:rPr>
                <w:rFonts w:ascii="Times New Roman" w:eastAsia="宋体" w:hAnsi="Times New Roman" w:cs="Times New Roman" w:hint="eastAsia"/>
                <w:b/>
                <w:bCs/>
                <w:sz w:val="24"/>
                <w:szCs w:val="24"/>
                <w:lang w:eastAsia="zh-CN" w:bidi="ar"/>
              </w:rPr>
              <w:t>资本开支下的现金流压力？</w:t>
            </w:r>
          </w:p>
          <w:p w14:paraId="04C949DB" w14:textId="2A93F1F2" w:rsidR="0057264F" w:rsidRDefault="00000000" w:rsidP="0057264F">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t>答：您好，公司严格监控现金余额及未来</w:t>
            </w:r>
            <w:r>
              <w:rPr>
                <w:rFonts w:ascii="Times New Roman" w:eastAsia="宋体" w:hAnsi="Times New Roman" w:cs="Times New Roman" w:hint="eastAsia"/>
                <w:sz w:val="24"/>
                <w:szCs w:val="24"/>
                <w:lang w:eastAsia="zh-CN" w:bidi="ar"/>
              </w:rPr>
              <w:t>12</w:t>
            </w:r>
            <w:r>
              <w:rPr>
                <w:rFonts w:ascii="Times New Roman" w:eastAsia="宋体" w:hAnsi="Times New Roman" w:cs="Times New Roman" w:hint="eastAsia"/>
                <w:sz w:val="24"/>
                <w:szCs w:val="24"/>
                <w:lang w:eastAsia="zh-CN" w:bidi="ar"/>
              </w:rPr>
              <w:t>个月现金流滚动预测，确保偿债能力，</w:t>
            </w:r>
            <w:r>
              <w:rPr>
                <w:rFonts w:ascii="Times New Roman" w:eastAsia="宋体" w:hAnsi="Times New Roman" w:cs="Times New Roman" w:hint="eastAsia"/>
                <w:sz w:val="24"/>
                <w:szCs w:val="24"/>
                <w:lang w:eastAsia="zh-CN" w:bidi="ar"/>
              </w:rPr>
              <w:t>2024</w:t>
            </w:r>
            <w:r>
              <w:rPr>
                <w:rFonts w:ascii="Times New Roman" w:eastAsia="宋体" w:hAnsi="Times New Roman" w:cs="Times New Roman" w:hint="eastAsia"/>
                <w:sz w:val="24"/>
                <w:szCs w:val="24"/>
                <w:lang w:eastAsia="zh-CN" w:bidi="ar"/>
              </w:rPr>
              <w:t>年末公司货币资金达</w:t>
            </w:r>
            <w:r>
              <w:rPr>
                <w:rFonts w:ascii="Times New Roman" w:eastAsia="宋体" w:hAnsi="Times New Roman" w:cs="Times New Roman" w:hint="eastAsia"/>
                <w:sz w:val="24"/>
                <w:szCs w:val="24"/>
                <w:lang w:eastAsia="zh-CN" w:bidi="ar"/>
              </w:rPr>
              <w:t>25.42</w:t>
            </w:r>
            <w:r>
              <w:rPr>
                <w:rFonts w:ascii="Times New Roman" w:eastAsia="宋体" w:hAnsi="Times New Roman" w:cs="Times New Roman" w:hint="eastAsia"/>
                <w:sz w:val="24"/>
                <w:szCs w:val="24"/>
                <w:lang w:eastAsia="zh-CN" w:bidi="ar"/>
              </w:rPr>
              <w:t>亿元，同比增幅</w:t>
            </w:r>
            <w:r>
              <w:rPr>
                <w:rFonts w:ascii="Times New Roman" w:eastAsia="宋体" w:hAnsi="Times New Roman" w:cs="Times New Roman" w:hint="eastAsia"/>
                <w:sz w:val="24"/>
                <w:szCs w:val="24"/>
                <w:lang w:eastAsia="zh-CN" w:bidi="ar"/>
              </w:rPr>
              <w:t>103.39%</w:t>
            </w:r>
            <w:r>
              <w:rPr>
                <w:rFonts w:ascii="Times New Roman" w:eastAsia="宋体" w:hAnsi="Times New Roman" w:cs="Times New Roman" w:hint="eastAsia"/>
                <w:sz w:val="24"/>
                <w:szCs w:val="24"/>
                <w:lang w:eastAsia="zh-CN" w:bidi="ar"/>
              </w:rPr>
              <w:t>，现金储备充足。此外，公司优化融资结构，增加长期借款比例，平衡短期负债压力。公司通过融资多元化、现金流动态管理及资金使用效率优化，系统性</w:t>
            </w:r>
            <w:proofErr w:type="gramStart"/>
            <w:r>
              <w:rPr>
                <w:rFonts w:ascii="Times New Roman" w:eastAsia="宋体" w:hAnsi="Times New Roman" w:cs="Times New Roman" w:hint="eastAsia"/>
                <w:sz w:val="24"/>
                <w:szCs w:val="24"/>
                <w:lang w:eastAsia="zh-CN" w:bidi="ar"/>
              </w:rPr>
              <w:t>管控高资本</w:t>
            </w:r>
            <w:proofErr w:type="gramEnd"/>
            <w:r>
              <w:rPr>
                <w:rFonts w:ascii="Times New Roman" w:eastAsia="宋体" w:hAnsi="Times New Roman" w:cs="Times New Roman" w:hint="eastAsia"/>
                <w:sz w:val="24"/>
                <w:szCs w:val="24"/>
                <w:lang w:eastAsia="zh-CN" w:bidi="ar"/>
              </w:rPr>
              <w:t>开支下的现金流风险。感谢您对公司的关注。</w:t>
            </w:r>
          </w:p>
          <w:p w14:paraId="76C4FA4E" w14:textId="711415C4" w:rsidR="0057264F" w:rsidRPr="0057264F" w:rsidRDefault="0057264F" w:rsidP="0057264F">
            <w:pPr>
              <w:numPr>
                <w:ilvl w:val="0"/>
                <w:numId w:val="1"/>
              </w:numPr>
              <w:spacing w:line="360" w:lineRule="auto"/>
              <w:ind w:firstLineChars="200" w:firstLine="482"/>
              <w:jc w:val="both"/>
              <w:rPr>
                <w:rFonts w:ascii="Times New Roman" w:eastAsia="宋体" w:hAnsi="Times New Roman" w:cs="Times New Roman"/>
                <w:sz w:val="24"/>
                <w:szCs w:val="24"/>
                <w:lang w:eastAsia="zh-CN" w:bidi="ar"/>
              </w:rPr>
            </w:pPr>
            <w:r w:rsidRPr="0057264F">
              <w:rPr>
                <w:rFonts w:ascii="Times New Roman" w:eastAsia="宋体" w:hAnsi="Times New Roman" w:cs="Times New Roman" w:hint="eastAsia"/>
                <w:b/>
                <w:bCs/>
                <w:sz w:val="24"/>
                <w:szCs w:val="24"/>
                <w:lang w:eastAsia="zh-CN" w:bidi="ar"/>
              </w:rPr>
              <w:t>问：中</w:t>
            </w:r>
            <w:proofErr w:type="gramStart"/>
            <w:r w:rsidRPr="0057264F">
              <w:rPr>
                <w:rFonts w:ascii="Times New Roman" w:eastAsia="宋体" w:hAnsi="Times New Roman" w:cs="Times New Roman" w:hint="eastAsia"/>
                <w:b/>
                <w:bCs/>
                <w:sz w:val="24"/>
                <w:szCs w:val="24"/>
                <w:lang w:eastAsia="zh-CN" w:bidi="ar"/>
              </w:rPr>
              <w:t>曼</w:t>
            </w:r>
            <w:proofErr w:type="gramEnd"/>
            <w:r w:rsidRPr="0057264F">
              <w:rPr>
                <w:rFonts w:ascii="Times New Roman" w:eastAsia="宋体" w:hAnsi="Times New Roman" w:cs="Times New Roman" w:hint="eastAsia"/>
                <w:b/>
                <w:bCs/>
                <w:sz w:val="24"/>
                <w:szCs w:val="24"/>
                <w:lang w:eastAsia="zh-CN" w:bidi="ar"/>
              </w:rPr>
              <w:t>控股公告称要增持</w:t>
            </w:r>
            <w:r w:rsidRPr="0057264F">
              <w:rPr>
                <w:rFonts w:ascii="Times New Roman" w:eastAsia="宋体" w:hAnsi="Times New Roman" w:cs="Times New Roman"/>
                <w:b/>
                <w:bCs/>
                <w:sz w:val="24"/>
                <w:szCs w:val="24"/>
                <w:lang w:eastAsia="zh-CN" w:bidi="ar"/>
              </w:rPr>
              <w:t>3.6</w:t>
            </w:r>
            <w:r w:rsidRPr="0057264F">
              <w:rPr>
                <w:rFonts w:ascii="Times New Roman" w:eastAsia="宋体" w:hAnsi="Times New Roman" w:cs="Times New Roman" w:hint="eastAsia"/>
                <w:b/>
                <w:bCs/>
                <w:sz w:val="24"/>
                <w:szCs w:val="24"/>
                <w:lang w:eastAsia="zh-CN" w:bidi="ar"/>
              </w:rPr>
              <w:t>亿元，如今股价已经很低，为</w:t>
            </w:r>
            <w:r w:rsidRPr="0057264F">
              <w:rPr>
                <w:rFonts w:ascii="Times New Roman" w:eastAsia="宋体" w:hAnsi="Times New Roman" w:cs="Times New Roman" w:hint="eastAsia"/>
                <w:sz w:val="24"/>
                <w:szCs w:val="24"/>
                <w:lang w:eastAsia="zh-CN" w:bidi="ar"/>
              </w:rPr>
              <w:t>何还不加大增持力度？</w:t>
            </w:r>
          </w:p>
          <w:p w14:paraId="6D287BC1" w14:textId="7DC38C20" w:rsidR="0057264F" w:rsidRPr="0057264F" w:rsidRDefault="0057264F" w:rsidP="0057264F">
            <w:pPr>
              <w:tabs>
                <w:tab w:val="left" w:pos="312"/>
              </w:tabs>
              <w:spacing w:line="360" w:lineRule="auto"/>
              <w:ind w:firstLineChars="200" w:firstLine="480"/>
              <w:jc w:val="both"/>
              <w:rPr>
                <w:rFonts w:ascii="Times New Roman" w:eastAsia="宋体" w:hAnsi="Times New Roman" w:cs="Times New Roman"/>
                <w:sz w:val="24"/>
                <w:szCs w:val="24"/>
                <w:lang w:eastAsia="zh-CN" w:bidi="ar"/>
              </w:rPr>
            </w:pPr>
            <w:r w:rsidRPr="0057264F">
              <w:rPr>
                <w:rFonts w:ascii="Times New Roman" w:eastAsia="宋体" w:hAnsi="Times New Roman" w:cs="Times New Roman" w:hint="eastAsia"/>
                <w:sz w:val="24"/>
                <w:szCs w:val="24"/>
                <w:lang w:eastAsia="zh-CN" w:bidi="ar"/>
              </w:rPr>
              <w:t>答：您好，中</w:t>
            </w:r>
            <w:proofErr w:type="gramStart"/>
            <w:r w:rsidRPr="0057264F">
              <w:rPr>
                <w:rFonts w:ascii="Times New Roman" w:eastAsia="宋体" w:hAnsi="Times New Roman" w:cs="Times New Roman" w:hint="eastAsia"/>
                <w:sz w:val="24"/>
                <w:szCs w:val="24"/>
                <w:lang w:eastAsia="zh-CN" w:bidi="ar"/>
              </w:rPr>
              <w:t>曼</w:t>
            </w:r>
            <w:proofErr w:type="gramEnd"/>
            <w:r w:rsidRPr="0057264F">
              <w:rPr>
                <w:rFonts w:ascii="Times New Roman" w:eastAsia="宋体" w:hAnsi="Times New Roman" w:cs="Times New Roman" w:hint="eastAsia"/>
                <w:sz w:val="24"/>
                <w:szCs w:val="24"/>
                <w:lang w:eastAsia="zh-CN" w:bidi="ar"/>
              </w:rPr>
              <w:t>控股根据自身资金调配情况和市场情况正在实施前期披露的增持计划，后续将继续履行增</w:t>
            </w:r>
            <w:proofErr w:type="gramStart"/>
            <w:r w:rsidRPr="0057264F">
              <w:rPr>
                <w:rFonts w:ascii="Times New Roman" w:eastAsia="宋体" w:hAnsi="Times New Roman" w:cs="Times New Roman" w:hint="eastAsia"/>
                <w:sz w:val="24"/>
                <w:szCs w:val="24"/>
                <w:lang w:eastAsia="zh-CN" w:bidi="ar"/>
              </w:rPr>
              <w:t>持承诺</w:t>
            </w:r>
            <w:proofErr w:type="gramEnd"/>
            <w:r w:rsidRPr="0057264F">
              <w:rPr>
                <w:rFonts w:ascii="Times New Roman" w:eastAsia="宋体" w:hAnsi="Times New Roman" w:cs="Times New Roman" w:hint="eastAsia"/>
                <w:sz w:val="24"/>
                <w:szCs w:val="24"/>
                <w:lang w:eastAsia="zh-CN" w:bidi="ar"/>
              </w:rPr>
              <w:t>并履行信息披露义务。谢谢！</w:t>
            </w:r>
          </w:p>
          <w:p w14:paraId="250177F2" w14:textId="604FB6E6" w:rsidR="00FB4C66" w:rsidRDefault="00000000">
            <w:pPr>
              <w:numPr>
                <w:ilvl w:val="0"/>
                <w:numId w:val="1"/>
              </w:num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问：未来是否会调整传统油气开采与新能源业务的投资比例？</w:t>
            </w:r>
          </w:p>
          <w:p w14:paraId="5796E003" w14:textId="77777777" w:rsidR="00FB4C66" w:rsidRDefault="00000000">
            <w:pPr>
              <w:spacing w:line="360" w:lineRule="auto"/>
              <w:ind w:firstLineChars="200" w:firstLine="480"/>
              <w:jc w:val="both"/>
              <w:rPr>
                <w:rFonts w:ascii="Times New Roman" w:eastAsia="宋体" w:hAnsi="Times New Roman" w:cs="Times New Roman"/>
                <w:sz w:val="24"/>
                <w:szCs w:val="24"/>
                <w:lang w:eastAsia="zh-CN" w:bidi="ar"/>
              </w:rPr>
            </w:pPr>
            <w:r>
              <w:rPr>
                <w:rFonts w:ascii="Times New Roman" w:eastAsia="宋体" w:hAnsi="Times New Roman" w:cs="Times New Roman" w:hint="eastAsia"/>
                <w:sz w:val="24"/>
                <w:szCs w:val="24"/>
                <w:lang w:eastAsia="zh-CN" w:bidi="ar"/>
              </w:rPr>
              <w:lastRenderedPageBreak/>
              <w:t>答：您好，公司坚持深耕油气主业，</w:t>
            </w:r>
            <w:r>
              <w:rPr>
                <w:rFonts w:ascii="Times New Roman" w:eastAsia="宋体" w:hAnsi="Times New Roman" w:cs="Times New Roman" w:hint="eastAsia"/>
                <w:sz w:val="24"/>
                <w:szCs w:val="24"/>
                <w:lang w:eastAsia="zh-CN" w:bidi="ar"/>
              </w:rPr>
              <w:t xml:space="preserve"> </w:t>
            </w:r>
            <w:r>
              <w:rPr>
                <w:rFonts w:ascii="Times New Roman" w:eastAsia="宋体" w:hAnsi="Times New Roman" w:cs="Times New Roman" w:hint="eastAsia"/>
                <w:sz w:val="24"/>
                <w:szCs w:val="24"/>
                <w:lang w:eastAsia="zh-CN" w:bidi="ar"/>
              </w:rPr>
              <w:t>深化“资源</w:t>
            </w:r>
            <w:r>
              <w:rPr>
                <w:rFonts w:ascii="Times New Roman" w:eastAsia="宋体" w:hAnsi="Times New Roman" w:cs="Times New Roman" w:hint="eastAsia"/>
                <w:sz w:val="24"/>
                <w:szCs w:val="24"/>
                <w:lang w:eastAsia="zh-CN" w:bidi="ar"/>
              </w:rPr>
              <w:t>+</w:t>
            </w:r>
            <w:r>
              <w:rPr>
                <w:rFonts w:ascii="Times New Roman" w:eastAsia="宋体" w:hAnsi="Times New Roman" w:cs="Times New Roman" w:hint="eastAsia"/>
                <w:sz w:val="24"/>
                <w:szCs w:val="24"/>
                <w:lang w:eastAsia="zh-CN" w:bidi="ar"/>
              </w:rPr>
              <w:t>技术”双引擎战略，加速构建“立足国内、辐射海外”资源储备体系。同时，按照“清洁替代、战略接替、绿色转型”的原则，制定油气勘探开发与新能源新产业融合方案，积极尝试和探索新能源项目，大力推进绿色油田创建工作，一手抓油气增储上产，一手抓新能源融合发展。感谢您对公司的关注。</w:t>
            </w:r>
          </w:p>
          <w:p w14:paraId="67AD36EA" w14:textId="77777777" w:rsidR="00FB4C66" w:rsidRDefault="00000000">
            <w:pPr>
              <w:numPr>
                <w:ilvl w:val="0"/>
                <w:numId w:val="1"/>
              </w:numPr>
              <w:spacing w:line="360" w:lineRule="auto"/>
              <w:ind w:firstLineChars="200" w:firstLine="482"/>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b/>
                <w:bCs/>
                <w:sz w:val="24"/>
                <w:szCs w:val="24"/>
                <w:lang w:eastAsia="zh-CN" w:bidi="ar"/>
              </w:rPr>
              <w:t>问：您好！目前公司核心温宿油田的产能应该差不多达到了顶峰，而中小型油田一般的高产期也就三五年时间，公司在国内并无其他油气田项目，无法接续温宿油田的产量，请问公司后续是否有计划在国内再竞标一个类似温宿的油气田项目呢？</w:t>
            </w:r>
          </w:p>
          <w:p w14:paraId="30EAA107" w14:textId="77777777" w:rsidR="00FB4C66" w:rsidRDefault="00000000">
            <w:pPr>
              <w:spacing w:line="360" w:lineRule="auto"/>
              <w:ind w:firstLineChars="200" w:firstLine="480"/>
              <w:jc w:val="both"/>
              <w:rPr>
                <w:rFonts w:ascii="Times New Roman" w:eastAsia="宋体" w:hAnsi="Times New Roman" w:cs="Times New Roman"/>
                <w:b/>
                <w:bCs/>
                <w:sz w:val="24"/>
                <w:szCs w:val="24"/>
                <w:lang w:eastAsia="zh-CN" w:bidi="ar"/>
              </w:rPr>
            </w:pPr>
            <w:r>
              <w:rPr>
                <w:rFonts w:ascii="Times New Roman" w:eastAsia="宋体" w:hAnsi="Times New Roman" w:cs="Times New Roman" w:hint="eastAsia"/>
                <w:sz w:val="24"/>
                <w:szCs w:val="24"/>
                <w:lang w:eastAsia="zh-CN" w:bidi="ar"/>
              </w:rPr>
              <w:t>答：您好，公司在温宿油田的开发上持续实施增储上产策略，并通过国内外油气资源布局实现产能接续。未来，公司将根据自身发展战略和资源配置情况，除专注于在手油气区块增储上产外，将积极参与国内新油气区块的出让竞标并持续关注国内新勘探区块的合作机会。感谢您对公司的关注。</w:t>
            </w:r>
          </w:p>
        </w:tc>
      </w:tr>
      <w:tr w:rsidR="00FB4C66" w14:paraId="63B5B1D0" w14:textId="77777777">
        <w:trPr>
          <w:trHeight w:val="923"/>
        </w:trPr>
        <w:tc>
          <w:tcPr>
            <w:tcW w:w="2024" w:type="dxa"/>
            <w:vAlign w:val="center"/>
          </w:tcPr>
          <w:p w14:paraId="4EC7B960" w14:textId="77777777" w:rsidR="00FB4C66" w:rsidRDefault="00000000">
            <w:pPr>
              <w:spacing w:line="220" w:lineRule="auto"/>
              <w:jc w:val="center"/>
              <w:rPr>
                <w:rFonts w:ascii="Times New Roman" w:eastAsia="宋体" w:hAnsi="Times New Roman" w:cs="Times New Roman"/>
                <w:sz w:val="24"/>
                <w:szCs w:val="24"/>
              </w:rPr>
            </w:pPr>
            <w:proofErr w:type="spellStart"/>
            <w:r>
              <w:rPr>
                <w:rFonts w:ascii="Times New Roman" w:eastAsia="宋体" w:hAnsi="Times New Roman" w:cs="Times New Roman"/>
                <w:spacing w:val="-6"/>
                <w:sz w:val="24"/>
                <w:szCs w:val="24"/>
              </w:rPr>
              <w:lastRenderedPageBreak/>
              <w:t>附件清单</w:t>
            </w:r>
            <w:proofErr w:type="spellEnd"/>
          </w:p>
        </w:tc>
        <w:tc>
          <w:tcPr>
            <w:tcW w:w="2872" w:type="dxa"/>
            <w:vAlign w:val="center"/>
          </w:tcPr>
          <w:p w14:paraId="5F1F67F9" w14:textId="77777777" w:rsidR="00FB4C66" w:rsidRDefault="00000000">
            <w:pPr>
              <w:pStyle w:val="TableText"/>
              <w:jc w:val="center"/>
              <w:rPr>
                <w:rFonts w:ascii="Times New Roman" w:eastAsia="宋体" w:hAnsi="Times New Roman" w:cs="Times New Roman"/>
                <w:lang w:eastAsia="zh-CN"/>
              </w:rPr>
            </w:pPr>
            <w:r>
              <w:rPr>
                <w:rFonts w:ascii="Times New Roman" w:eastAsia="宋体" w:hAnsi="Times New Roman" w:cs="Times New Roman"/>
                <w:sz w:val="24"/>
                <w:szCs w:val="24"/>
                <w:lang w:eastAsia="zh-CN"/>
              </w:rPr>
              <w:t>无</w:t>
            </w:r>
          </w:p>
        </w:tc>
        <w:tc>
          <w:tcPr>
            <w:tcW w:w="1162" w:type="dxa"/>
            <w:vAlign w:val="center"/>
          </w:tcPr>
          <w:p w14:paraId="52E49BF7" w14:textId="77777777" w:rsidR="00FB4C66" w:rsidRDefault="00000000">
            <w:pPr>
              <w:spacing w:before="78" w:line="221" w:lineRule="auto"/>
              <w:ind w:left="280"/>
              <w:jc w:val="center"/>
              <w:rPr>
                <w:rFonts w:ascii="Times New Roman" w:eastAsia="宋体" w:hAnsi="Times New Roman" w:cs="Times New Roman"/>
                <w:sz w:val="24"/>
                <w:szCs w:val="24"/>
              </w:rPr>
            </w:pPr>
            <w:proofErr w:type="spellStart"/>
            <w:r>
              <w:rPr>
                <w:rFonts w:ascii="Times New Roman" w:eastAsia="宋体" w:hAnsi="Times New Roman" w:cs="Times New Roman"/>
                <w:spacing w:val="-13"/>
                <w:sz w:val="24"/>
                <w:szCs w:val="24"/>
              </w:rPr>
              <w:t>日期</w:t>
            </w:r>
            <w:proofErr w:type="spellEnd"/>
          </w:p>
        </w:tc>
        <w:tc>
          <w:tcPr>
            <w:tcW w:w="2975" w:type="dxa"/>
            <w:vAlign w:val="center"/>
          </w:tcPr>
          <w:p w14:paraId="27402AC6" w14:textId="77777777" w:rsidR="00FB4C66" w:rsidRDefault="00000000">
            <w:pPr>
              <w:pStyle w:val="TableText"/>
              <w:jc w:val="center"/>
              <w:rPr>
                <w:rFonts w:ascii="Times New Roman" w:eastAsia="宋体" w:hAnsi="Times New Roman" w:cs="Times New Roman"/>
                <w:lang w:eastAsia="zh-CN"/>
              </w:rPr>
            </w:pPr>
            <w:r>
              <w:rPr>
                <w:rFonts w:ascii="Times New Roman" w:eastAsia="宋体" w:hAnsi="Times New Roman" w:cs="Times New Roman"/>
                <w:sz w:val="24"/>
                <w:szCs w:val="24"/>
                <w:lang w:eastAsia="zh-CN"/>
              </w:rPr>
              <w:t>2025</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月</w:t>
            </w:r>
            <w:r>
              <w:rPr>
                <w:rFonts w:ascii="Times New Roman" w:eastAsia="宋体" w:hAnsi="Times New Roman" w:cs="Times New Roman" w:hint="eastAsia"/>
                <w:sz w:val="24"/>
                <w:szCs w:val="24"/>
                <w:lang w:eastAsia="zh-CN"/>
              </w:rPr>
              <w:t>15</w:t>
            </w:r>
            <w:r>
              <w:rPr>
                <w:rFonts w:ascii="Times New Roman" w:eastAsia="宋体" w:hAnsi="Times New Roman" w:cs="Times New Roman"/>
                <w:sz w:val="24"/>
                <w:szCs w:val="24"/>
                <w:lang w:eastAsia="zh-CN"/>
              </w:rPr>
              <w:t>日</w:t>
            </w:r>
          </w:p>
        </w:tc>
      </w:tr>
    </w:tbl>
    <w:p w14:paraId="4C736821" w14:textId="77777777" w:rsidR="00FB4C66" w:rsidRDefault="00FB4C66"/>
    <w:sectPr w:rsidR="00FB4C66">
      <w:pgSz w:w="11905" w:h="16840"/>
      <w:pgMar w:top="1431" w:right="956" w:bottom="0" w:left="178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58C7"/>
    <w:multiLevelType w:val="singleLevel"/>
    <w:tmpl w:val="1FFE58C7"/>
    <w:lvl w:ilvl="0">
      <w:start w:val="5"/>
      <w:numFmt w:val="decimal"/>
      <w:lvlText w:val="%1."/>
      <w:lvlJc w:val="left"/>
      <w:pPr>
        <w:tabs>
          <w:tab w:val="left" w:pos="312"/>
        </w:tabs>
      </w:pPr>
      <w:rPr>
        <w:rFonts w:hint="default"/>
        <w:b/>
        <w:bCs/>
      </w:rPr>
    </w:lvl>
  </w:abstractNum>
  <w:num w:numId="1" w16cid:durableId="17434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3YTQ5ZWEwY2QwMmQ0M2QwODBhZTBjMGQ4YjJmN2EifQ=="/>
  </w:docVars>
  <w:rsids>
    <w:rsidRoot w:val="00896F00"/>
    <w:rsid w:val="00013309"/>
    <w:rsid w:val="00045EE7"/>
    <w:rsid w:val="00076F18"/>
    <w:rsid w:val="000812F9"/>
    <w:rsid w:val="000C6E76"/>
    <w:rsid w:val="000E3294"/>
    <w:rsid w:val="000F1053"/>
    <w:rsid w:val="001025AE"/>
    <w:rsid w:val="00146EA6"/>
    <w:rsid w:val="00184B7A"/>
    <w:rsid w:val="001F0D36"/>
    <w:rsid w:val="00256E22"/>
    <w:rsid w:val="00265D85"/>
    <w:rsid w:val="00280D27"/>
    <w:rsid w:val="002911B3"/>
    <w:rsid w:val="00345345"/>
    <w:rsid w:val="003B5464"/>
    <w:rsid w:val="003E5234"/>
    <w:rsid w:val="00416F52"/>
    <w:rsid w:val="00421246"/>
    <w:rsid w:val="004341F6"/>
    <w:rsid w:val="00452410"/>
    <w:rsid w:val="00463FFA"/>
    <w:rsid w:val="0046541F"/>
    <w:rsid w:val="004876BE"/>
    <w:rsid w:val="0049122D"/>
    <w:rsid w:val="004C1D7B"/>
    <w:rsid w:val="004D2C2E"/>
    <w:rsid w:val="004D4782"/>
    <w:rsid w:val="004D78DB"/>
    <w:rsid w:val="004E3491"/>
    <w:rsid w:val="004E4B7B"/>
    <w:rsid w:val="004E52A1"/>
    <w:rsid w:val="0050148C"/>
    <w:rsid w:val="00520AD4"/>
    <w:rsid w:val="00561956"/>
    <w:rsid w:val="0057264F"/>
    <w:rsid w:val="005F16C7"/>
    <w:rsid w:val="005F2D3B"/>
    <w:rsid w:val="00614AE3"/>
    <w:rsid w:val="006439E1"/>
    <w:rsid w:val="006F58A9"/>
    <w:rsid w:val="006F7ADF"/>
    <w:rsid w:val="00701D2D"/>
    <w:rsid w:val="007051E1"/>
    <w:rsid w:val="00766A28"/>
    <w:rsid w:val="0077144C"/>
    <w:rsid w:val="007A20C3"/>
    <w:rsid w:val="007B5C8C"/>
    <w:rsid w:val="007F0951"/>
    <w:rsid w:val="00896F00"/>
    <w:rsid w:val="008B4E58"/>
    <w:rsid w:val="008D49E7"/>
    <w:rsid w:val="00912300"/>
    <w:rsid w:val="00967747"/>
    <w:rsid w:val="00A55C28"/>
    <w:rsid w:val="00AB1890"/>
    <w:rsid w:val="00AD12D7"/>
    <w:rsid w:val="00AD2D29"/>
    <w:rsid w:val="00B843B3"/>
    <w:rsid w:val="00B85283"/>
    <w:rsid w:val="00BB28CC"/>
    <w:rsid w:val="00C41282"/>
    <w:rsid w:val="00CD5659"/>
    <w:rsid w:val="00CE60AA"/>
    <w:rsid w:val="00CF2272"/>
    <w:rsid w:val="00D27B75"/>
    <w:rsid w:val="00D53AFD"/>
    <w:rsid w:val="00D95B87"/>
    <w:rsid w:val="00DA7276"/>
    <w:rsid w:val="00DD34F3"/>
    <w:rsid w:val="00E62E6A"/>
    <w:rsid w:val="00EE30EF"/>
    <w:rsid w:val="00F66DB5"/>
    <w:rsid w:val="00FB4C66"/>
    <w:rsid w:val="00FB5FED"/>
    <w:rsid w:val="04114082"/>
    <w:rsid w:val="1F666BD8"/>
    <w:rsid w:val="21771570"/>
    <w:rsid w:val="24F44C86"/>
    <w:rsid w:val="25963AFE"/>
    <w:rsid w:val="2B593A95"/>
    <w:rsid w:val="2FA71273"/>
    <w:rsid w:val="316867E0"/>
    <w:rsid w:val="32C51C35"/>
    <w:rsid w:val="34E42656"/>
    <w:rsid w:val="470B6133"/>
    <w:rsid w:val="4FDD43E5"/>
    <w:rsid w:val="52372956"/>
    <w:rsid w:val="530103EA"/>
    <w:rsid w:val="5E451AD3"/>
    <w:rsid w:val="5EA0677E"/>
    <w:rsid w:val="603B318E"/>
    <w:rsid w:val="6D0843F7"/>
    <w:rsid w:val="7B1D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28B0A"/>
  <w15:docId w15:val="{60584B80-3A80-4CC5-8D40-DDC0EB77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rPr>
      <w:sz w:val="18"/>
      <w:szCs w:val="18"/>
    </w:rPr>
  </w:style>
  <w:style w:type="paragraph" w:styleId="a5">
    <w:name w:val="header"/>
    <w:basedOn w:val="a"/>
    <w:link w:val="a6"/>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6">
    <w:name w:val="页眉 字符"/>
    <w:basedOn w:val="a0"/>
    <w:link w:val="a5"/>
    <w:rPr>
      <w:rFonts w:ascii="Arial" w:eastAsia="Arial" w:hAnsi="Arial" w:cs="Arial"/>
      <w:snapToGrid w:val="0"/>
      <w:color w:val="000000"/>
      <w:sz w:val="18"/>
      <w:szCs w:val="18"/>
      <w:lang w:eastAsia="en-US"/>
    </w:rPr>
  </w:style>
  <w:style w:type="character" w:customStyle="1" w:styleId="a4">
    <w:name w:val="页脚 字符"/>
    <w:basedOn w:val="a0"/>
    <w:link w:val="a3"/>
    <w:rPr>
      <w:rFonts w:ascii="Arial" w:eastAsia="Arial" w:hAnsi="Arial" w:cs="Arial"/>
      <w:snapToGrid w:val="0"/>
      <w:color w:val="000000"/>
      <w:sz w:val="18"/>
      <w:szCs w:val="18"/>
      <w:lang w:eastAsia="en-US"/>
    </w:rPr>
  </w:style>
  <w:style w:type="character" w:customStyle="1" w:styleId="highlight">
    <w:name w:val="highlight"/>
    <w:basedOn w:val="a0"/>
  </w:style>
  <w:style w:type="paragraph" w:styleId="a7">
    <w:name w:val="List Paragraph"/>
    <w:basedOn w:val="a"/>
    <w:uiPriority w:val="34"/>
    <w:qFormat/>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2281</Words>
  <Characters>2396</Characters>
  <Application>Microsoft Office Word</Application>
  <DocSecurity>0</DocSecurity>
  <Lines>104</Lines>
  <Paragraphs>59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&lt;4D6963726F736F667420576F7264202D20D6D0C2FCCAAFD3CDCDB6D7CAD5DFB9D8CFB5B9DCC0EDD6C6B6C8A3A832303137C4EA3132D4C2A3A9&gt;</dc:title>
  <dc:creator>lenovo</dc:creator>
  <cp:lastModifiedBy>ZPEC-BJB-469</cp:lastModifiedBy>
  <cp:revision>3</cp:revision>
  <dcterms:created xsi:type="dcterms:W3CDTF">2025-05-20T03:43:00Z</dcterms:created>
  <dcterms:modified xsi:type="dcterms:W3CDTF">2025-05-20T06:41:00Z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2024-07-05T10:25:29Z</vt:filetime>
  </property>
  <property fmtid="{D5CDD505-2E9C-101B-9397-08002B2CF9AE}" pid="4" name="KSOProductBuildVer">
    <vt:lpwstr>2052-12.1.0.21171</vt:lpwstr>
  </property>
  <property fmtid="{D5CDD505-2E9C-101B-9397-08002B2CF9AE}" pid="5" name="ICV">
    <vt:lpwstr>324D24FF1842476EB96079AB1A05CC73_13</vt:lpwstr>
  </property>
  <property fmtid="{D5CDD505-2E9C-101B-9397-08002B2CF9AE}" pid="6" name="KSOTemplateDocerSaveRecord">
    <vt:lpwstr>eyJoZGlkIjoiYWZiYmYxZWNiMjU2YjUzODgyZWIwYzM0NGIwYTE2ZWQiLCJ1c2VySWQiOiIxNTA5MzQ4ODE4In0=</vt:lpwstr>
  </property>
</Properties>
</file>