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2DE95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601699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潞安环能</w:t>
      </w:r>
    </w:p>
    <w:p w14:paraId="08A0D51C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山西潞安环保能源开发股份有限公司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B0E3D04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318D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DE7E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78CE1EC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8164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4341DAF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2829C07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02F7F487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4FB80AE1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1C65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46FC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471D5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7D16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0F4A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93F8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2025年5月20日 (周二) 下午 14:00~17:00</w:t>
            </w:r>
          </w:p>
        </w:tc>
      </w:tr>
      <w:tr w14:paraId="4444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A8E5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7BC5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1105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79E1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FD0C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  总经理史红邈</w:t>
            </w:r>
          </w:p>
          <w:p w14:paraId="73E84DF2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2、独立董事张志敏</w:t>
            </w:r>
          </w:p>
          <w:p w14:paraId="1F065557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3、董秘马泽锋</w:t>
            </w:r>
          </w:p>
          <w:p w14:paraId="6FF3C0A0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4、财务部部长王建军</w:t>
            </w:r>
          </w:p>
        </w:tc>
      </w:tr>
      <w:tr w14:paraId="56A2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9AA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F0970D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67549"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793F8BE"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7A03FF6A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您好，作为潞安环能十五年忠实的小股东，一直关注贵公司每年的年报，在每次年报一直都说有资产注入，为何十几年过去了，一直没有具体时间和举措，总是一笔带过，这样回避投资着的关注度，请公司正面回答这个问题，谢谢。</w:t>
            </w:r>
          </w:p>
          <w:p w14:paraId="2B75A8A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潞安环能上市以来，先后利用IPO收购余吾煤业、现金收购潞宁煤业、慈林山煤业，以及争取临汾蒲县、忻州宁武等地区煤炭资源整合，矿井数量由公司设立之初4座矿井逐步拓展至23座矿井，原煤产量由不足千万吨扩增至5000多万吨规模。未来公司如有资产注入计划，将严格按照证券法规相关规定履行相关程序，并及时进行公告，敬请关注。</w:t>
            </w:r>
          </w:p>
          <w:p w14:paraId="7D85D87F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2、请问公司有打算做一些市值方面的管理吗？目前股价和净资产的相差越来越大。</w:t>
            </w:r>
          </w:p>
          <w:p w14:paraId="7895A275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为规范公司的市值管理行为，维护公司、投资者特别是中小股东的合法权益，积极响应证监会关于上市公司市值管理监管指引，目前公司已经制定了自己的市值管理制度，将坚持以高质量发展为基本前提，稳步提升经营效率和盈利能力，在此基础上将视市场情况积极开展相关应对工作，谢谢。</w:t>
            </w:r>
          </w:p>
          <w:p w14:paraId="195DFB9A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宋体" w:hAnsi="宋体"/>
                <w:b/>
                <w:sz w:val="24"/>
                <w:szCs w:val="24"/>
              </w:rPr>
              <w:t>3、公司财务健康，为什么不向神华学习实施特别分红</w:t>
            </w:r>
          </w:p>
          <w:p w14:paraId="7D5DAFED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潞安环能始终秉持“厚报股东”的理念回报投资者。公司2024年度拟以年度收益50%的比例派发现金股利。自2006年上市以来，截至2024年底公司累计分配现金股利269.77亿元，现金分红率40.06%，是公司上市募集资金的12.44倍。</w:t>
            </w:r>
          </w:p>
          <w:p w14:paraId="6B280AF8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4、成本和财务费用的变化趋势？</w:t>
            </w:r>
          </w:p>
          <w:p w14:paraId="110A9EA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尊敬的投资者，您好！2024年潞安环能成本同比增加0.24%，主要系职工薪酬增加、商品煤销量减少所致；财务费用同比减少624.96%，系利息收入减少所致。</w:t>
            </w:r>
          </w:p>
          <w:p w14:paraId="1DFB1208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5、未来5-10年公司的煤炭资源可接续情况如何？</w:t>
            </w:r>
          </w:p>
          <w:p w14:paraId="000783D2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感谢您的关注与提问！公司总体综合矿井服务年限仍较为可观，围绕资源接续和矿井可持续发展，一方面我们积极推动村庄搬迁、充填开采等资源释放后劲工程，另一方面全力推动资源申办工作。</w:t>
            </w:r>
          </w:p>
          <w:p w14:paraId="6AE6B1B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6、请问公司的市值管理制度是否已经制定完成，若制定完成后续是否披露？</w:t>
            </w:r>
          </w:p>
          <w:p w14:paraId="38C3E71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您好，公司已根据证监会通知精神制定了《市值管理制度》，并经董事会审议，已按信披要求进行了披露。谢谢关注。</w:t>
            </w:r>
          </w:p>
          <w:p w14:paraId="5719E037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7、请问目前喷吹煤的盈利情况如何？</w:t>
            </w:r>
          </w:p>
          <w:p w14:paraId="252B48CD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感谢您的关注与提问！目前公司正在持续加大喷吹煤的占比，打造喷吹煤“供应+技术服务+钢厂生产应用”价值创造一体化发展新模式，巩固全国最大喷吹煤基地龙头地位。</w:t>
            </w:r>
          </w:p>
          <w:p w14:paraId="66B574C6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8、公司焦煤产量是多少，焦煤何时才能止跌企稳</w:t>
            </w:r>
          </w:p>
          <w:p w14:paraId="14F5BBE2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尊敬的投资者，您好！公司不涉及焦煤生产。谢谢提问。</w:t>
            </w:r>
          </w:p>
          <w:p w14:paraId="7D3F13F8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9、潞安集团旗下公司众多，也有很多与贵司业务相近的煤炭开采加工子公司，如何解决竞合问题？</w:t>
            </w:r>
          </w:p>
          <w:p w14:paraId="43DAB3A1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感谢您的关注与提问！公司作为潞安化工集团唯一煤炭采选业务的上市主体，定位为专业化运营平台，核心任务是提升煤炭主业的规模化、高效化、清洁化水平，并优先承接集团优质煤炭资产。</w:t>
            </w:r>
          </w:p>
          <w:p w14:paraId="7A9729CD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10、煤价近期趋势？目前的销售压力如何？</w:t>
            </w:r>
          </w:p>
          <w:p w14:paraId="34E4788D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您好，2023年以来，煤炭业随着下游需求增速放缓、在“保供”背景下新增产能及产量释放限制放松，导致煤炭价格出现持续震荡下行的态势，煤炭价格上行存在压力。</w:t>
            </w:r>
          </w:p>
          <w:p w14:paraId="12FA8449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11、公司发债和中票是为了购买资源么？</w:t>
            </w:r>
          </w:p>
          <w:p w14:paraId="4CC31BF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您好，发债和中票是为优化债务结构，满足公司生产经营的流动资金需求。</w:t>
            </w:r>
          </w:p>
          <w:p w14:paraId="44ECCF99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12、目前的煤炭市场利润还会继续下降吗？请问您对二季度煤炭市场利润怎么看？</w:t>
            </w:r>
          </w:p>
          <w:p w14:paraId="48F9237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目前煤炭市场持续低位运行，公司将做好成本和营销管控工作，更大力度压降煤炭生产成本，持续开展对标挖潜、降本增效工作，最大程度压减非生产非经营性成本，优化周期性企业成本管控策略，提升经营效益，谢谢！</w:t>
            </w:r>
          </w:p>
          <w:p w14:paraId="3913BE99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13、2.您好！我是一名普通市民，非常关心空气污染问题。我想知道贵公司在日常运营中，是否关注城市空气污染问题？是否制定了相关的环保措施来减少空气污染？我们都希望生活在空气清新的城市里，期待贵公司能在其中发挥积极作用。</w:t>
            </w:r>
          </w:p>
          <w:p w14:paraId="70A986E6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感谢您的关注与提问！公司严格遵循国家法律法规的规定，构建了全流程污染防治体系，连续多年保持重点污染源稳定达标。今后公司将持续提升污废治理效能，为区域生态环境质量改善作出国企表率。</w:t>
            </w:r>
          </w:p>
          <w:p w14:paraId="5D0763B5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14、请问公司2024年度财务费用大幅变动的原因是什么？</w:t>
            </w:r>
          </w:p>
          <w:p w14:paraId="2DA9DD82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主要是2024年度利息收入同比减少所致。</w:t>
            </w:r>
          </w:p>
          <w:p w14:paraId="696EE076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15、美国加关税对贵司业绩是否有影响？</w:t>
            </w:r>
          </w:p>
          <w:p w14:paraId="4FDA25A0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你好，关税对公司生产经营所涉及的业务影响有限。感谢您的关注！</w:t>
            </w:r>
          </w:p>
          <w:p w14:paraId="4FC6009B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16、对非主业资产的剥离或清退是否会产生减值？</w:t>
            </w:r>
          </w:p>
          <w:p w14:paraId="6481E7E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您好，公司目前主营业为煤炭开采及少量炼焦业务，不存在非主业资产。</w:t>
            </w:r>
          </w:p>
          <w:p w14:paraId="4F2071D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17、请问董秘，煤炭行业的发展前景如何？</w:t>
            </w:r>
          </w:p>
          <w:p w14:paraId="5BB8914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感谢您的关注与提问！未来煤炭行业仍是我国能源结构的核心组成部分，是国家能源安全的重要保障。煤炭行业将在保障能源安全的基础上，加速清洁化、智能化转型。</w:t>
            </w:r>
          </w:p>
          <w:p w14:paraId="308CCC90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18、请问税收节省未来有没有空间？</w:t>
            </w:r>
          </w:p>
          <w:p w14:paraId="4E9E2567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您好！公司在遵守国家税收法律法规的基础上，持续、积极地争取符合税收优惠政策的部分，为企业增效。</w:t>
            </w:r>
          </w:p>
          <w:p w14:paraId="3131E4C3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19、说说新拍卖买来的上马煤矿情况</w:t>
            </w:r>
          </w:p>
          <w:p w14:paraId="026B7752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感谢您的关注与提问！公司于2024年8月参与并成功竞得襄垣县上马区块煤炭探矿权，增加煤炭资源量8亿多吨。目前，公司已成立上马煤矿筹备处，并在积极办理探转采手续，开展煤矿筹建工作。</w:t>
            </w:r>
          </w:p>
          <w:p w14:paraId="077461D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20、请问山西煤炭重组给集团带来哪些变化？</w:t>
            </w:r>
          </w:p>
          <w:p w14:paraId="6D4ABA5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您好，煤炭重组进一步增加了集团公司的煤炭产能，提升了集团公司的可持续发展水平。谢谢</w:t>
            </w:r>
          </w:p>
          <w:p w14:paraId="6F42BB0A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21、目前发债和贷款的期限结构如何？未来是否有优化空间？</w:t>
            </w:r>
          </w:p>
          <w:p w14:paraId="65C2B14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您好，公司目前没有发行债券、银行贷款等外部融资。</w:t>
            </w:r>
          </w:p>
          <w:p w14:paraId="6B3A5A01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、请问公司领导，集团今年对公司市值有具体考核指标吗？</w:t>
            </w:r>
          </w:p>
          <w:p w14:paraId="65847ED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您好，集团公司对公司市值管理制定了一系列考核指标，如相关业绩说明会、制度制定等</w:t>
            </w:r>
          </w:p>
          <w:p w14:paraId="7B36F203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、2025年预计总产量是多少</w:t>
            </w:r>
          </w:p>
          <w:p w14:paraId="1B61563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尊敬的投资者，您好！2025年潞安环能预计产量5000万吨以上。谢谢提问！</w:t>
            </w:r>
          </w:p>
          <w:p w14:paraId="7AC07D41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、二季度业绩会比一季度更差吗？</w:t>
            </w:r>
          </w:p>
          <w:p w14:paraId="6EE8AEBC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今年以来，煤炭价格持续下行，对业绩造成较大影响，面对市场不利因素，公司采取各种措施压降成本，减少价格下降造成的影响。</w:t>
            </w:r>
          </w:p>
          <w:p w14:paraId="30A9558E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、请问截至2024年公司一共有多少座国家级或省级绿色矿山？绿色矿山占比是多少？</w:t>
            </w:r>
          </w:p>
          <w:p w14:paraId="79BD0E8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感谢您的关注与提问！公司下属王庄煤矿为国家级绿色矿山，夏店煤矿为省级绿色矿山，余吾煤业公司被列入山西省首批零碳（近零碳）矿山试点</w:t>
            </w:r>
          </w:p>
          <w:p w14:paraId="64163B1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、请问董秘，公司今年中报会响应国家分红政策，进行中期分红吗，公司有回购股份计划吗，截止到今天股东户数是多少</w:t>
            </w:r>
          </w:p>
          <w:p w14:paraId="78D2B07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感谢您的关注与提问！截止目前公司股东户数约7.5万户，公司已经制定市值管理制度，如果有相关分红、回购计划公司会按相关规定及时进行公告，谢谢</w:t>
            </w:r>
          </w:p>
          <w:p w14:paraId="36EEBC9C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、目前市场不稳定，各种矿产资源类价格波动剧烈，利润不稳定，公司手握百亿现金，是否考虑过转型轻资产类企业，脱离煤矿及周边重资产企业的打算！？？</w:t>
            </w:r>
          </w:p>
          <w:p w14:paraId="068AE88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尊敬的投资者，您好！目前公司的战略发展方向未发生变化。谢谢！</w:t>
            </w:r>
          </w:p>
          <w:p w14:paraId="2C989A08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、煤企这两年受煤价暴跌影响，面临亏损，应该适度降低税费，帮企业度过难关。</w:t>
            </w:r>
          </w:p>
          <w:p w14:paraId="25AAB3E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尊敬的投资者，您好！公司将在合理利用国家税收政策的基础上，积极争取相关税收优惠政策，为企业创收增效。谢谢提问！</w:t>
            </w:r>
          </w:p>
          <w:p w14:paraId="6119F8FB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、长协煤价跟市场煤价的差异？</w:t>
            </w:r>
          </w:p>
          <w:p w14:paraId="1EDEF137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长协价包括基准价和浮动价，是通过国家发改委牵头的长协签订会历史参考价格、政策指导价格等方式确定基准价，浮动价是通过市场指数计算；非长协客户采取市场价进行计算，受行业及供需等影响。</w:t>
            </w:r>
          </w:p>
          <w:p w14:paraId="24AB5FE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、请问古城煤矿是否符合注入上市公司的条件？购买寺家庄煤业公司、羿神能源公司、高河能源公司资产涉及多少产能？上马区块煤矿需要投入多少资金、几年内投产？</w:t>
            </w:r>
          </w:p>
          <w:p w14:paraId="7B2F4481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感谢您的关注与提问！公司如有资产注入计划，将严格按照证券法规相关规定履行相关程序，并及时进行公告。</w:t>
            </w:r>
          </w:p>
          <w:p w14:paraId="2C518F00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、夏季煤炭价格会涨吗？如果不涨冬天会涨吗？</w:t>
            </w:r>
          </w:p>
          <w:p w14:paraId="5D1E31D7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尊敬的投资者，您好！夏季煤炭价格存在阶段性反弹的可能，但涨幅受限；冬季有供暖需求支撑，也存在涨幅可能。谢谢提问！</w:t>
            </w:r>
          </w:p>
          <w:p w14:paraId="791330EB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、请问古城煤矿是否符合注入上市公司的条件？购买寺家庄煤业公司、羿神能源公司、高河能源公司资产涉及多少产能？上马区块煤矿需要投入多少资金、几年内投产？</w:t>
            </w:r>
          </w:p>
          <w:p w14:paraId="3DE4E70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感谢您的关注与提问！公司如有资产注入计划，将严格按照证券法规相关规定履行相关程序，并及时进行公告。</w:t>
            </w:r>
          </w:p>
          <w:p w14:paraId="17FDBE0D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、股价从高点跌去了一半还多，请问公司是否有市值管理？</w:t>
            </w:r>
          </w:p>
          <w:p w14:paraId="443AC936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尊敬的投资者，您好！公司已根据证监会通知精神制定了《市值管理制度》，并经董事会审议，已按信披要求进行了披露。谢谢关注。</w:t>
            </w:r>
          </w:p>
          <w:p w14:paraId="34F50D37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、请问在安全生产方面有没有新的制度措施</w:t>
            </w:r>
          </w:p>
          <w:p w14:paraId="71C3F7D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尊敬的投资者，您好！公司严格按照安全生产监管制度要求及时更新。谢谢提问！</w:t>
            </w:r>
          </w:p>
          <w:p w14:paraId="1D097BD7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、辖区报告，对市值管理，贵公司有何具体措施，不要回避这个问题，证券主席也强调要面对回答问题，谢谢</w:t>
            </w:r>
          </w:p>
          <w:p w14:paraId="4E73F4A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为规范公司的市值管理行为，维护公司、投资者特别是中小股东的合法权益，积极响应证监会关于上市公司市值管理监管指引，目前公司已制定了自己的市值管理制度，将坚持以高质量发展为基本前提，稳步提升经营效率和盈利能力，在此基础上将视市场情况积极开展相关应对工作，谢谢。</w:t>
            </w:r>
          </w:p>
          <w:p w14:paraId="20D9930A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、请问煤炭成本控制是否还有空间？</w:t>
            </w:r>
          </w:p>
          <w:p w14:paraId="6D1D3BE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我公司近年来秉承算账文化，不断压降各类可控成本，在生产经营过程中，为保证安全生产和可持续发展，加大了安全和智能化建设投入。</w:t>
            </w:r>
          </w:p>
          <w:p w14:paraId="7C7415AA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、请问，贵公司2024年盈利下降主要是什么原因？</w:t>
            </w:r>
          </w:p>
          <w:p w14:paraId="0EFE2E01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您好，2024年公司盈利下降主要原因是煤炭市场下行，煤炭价格下跌，营业收入减少所致，谢谢！</w:t>
            </w:r>
          </w:p>
          <w:p w14:paraId="48678F0C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 w14:paraId="6EB33A67"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 w14:paraId="7183EEE0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3BDD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DB5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F193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68AE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20B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EF680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2025-05-20 17:17:13</w:t>
            </w:r>
          </w:p>
        </w:tc>
      </w:tr>
    </w:tbl>
    <w:p w14:paraId="7233660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58C3A"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1063D"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2A0623"/>
    <w:rsid w:val="3CEF3472"/>
    <w:rsid w:val="3EFF16E9"/>
    <w:rsid w:val="71D278F7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4086</Words>
  <Characters>4253</Characters>
  <Lines>60</Lines>
  <Paragraphs>17</Paragraphs>
  <TotalTime>8</TotalTime>
  <ScaleCrop>false</ScaleCrop>
  <LinksUpToDate>false</LinksUpToDate>
  <CharactersWithSpaces>4383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卫宏妹</cp:lastModifiedBy>
  <cp:lastPrinted>2014-02-21T05:34:00Z</cp:lastPrinted>
  <dcterms:modified xsi:type="dcterms:W3CDTF">2025-05-21T07:21:38Z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eyJoZGlkIjoiNmE4ZjJiNGE3YjJiZWMyZmYyYTZmM2MyOGZiNzliMDgiLCJ1c2VySWQiOiIxNjkzNzA4NDg4In0=</vt:lpwstr>
  </property>
</Properties>
</file>