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pPr>
        <w:spacing w:before="156" w:beforeLines="50" w:after="156" w:afterLines="50" w:line="400" w:lineRule="exact"/>
        <w:jc w:val="center"/>
        <w:rPr>
          <w:rFonts w:hint="default" w:ascii="宋体" w:hAnsi="宋体"/>
          <w:b/>
          <w:bCs/>
          <w:iCs/>
          <w:color w:val="000000"/>
          <w:sz w:val="32"/>
          <w:szCs w:val="32"/>
          <w:lang w:val="en-US"/>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特定对象调研        </w:t>
            </w:r>
            <w:r>
              <w:rPr>
                <w:rFonts w:hint="eastAsia" w:ascii="宋体" w:hAnsi="宋体" w:cs="宋体"/>
                <w:sz w:val="24"/>
              </w:rPr>
              <w:sym w:font="Wingdings 2" w:char="00A3"/>
            </w:r>
            <w:r>
              <w:rPr>
                <w:rFonts w:hint="eastAsia" w:ascii="宋体" w:hAnsi="宋体" w:cs="宋体"/>
                <w:sz w:val="24"/>
              </w:rPr>
              <w:t xml:space="preserve"> 分析师会议</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52"/>
            </w:r>
            <w:r>
              <w:rPr>
                <w:rFonts w:hint="eastAsia" w:ascii="宋体" w:hAnsi="宋体" w:cs="宋体"/>
                <w:sz w:val="24"/>
              </w:rPr>
              <w:t xml:space="preserve"> 业绩说明会</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现场参观</w:t>
            </w:r>
            <w:r>
              <w:rPr>
                <w:rFonts w:hint="eastAsia" w:ascii="宋体" w:hAnsi="宋体" w:cs="宋体"/>
                <w:sz w:val="24"/>
              </w:rPr>
              <w:tab/>
            </w:r>
          </w:p>
          <w:p>
            <w:pPr>
              <w:rPr>
                <w:rFonts w:hint="default" w:eastAsia="宋体"/>
                <w:bCs/>
                <w:iCs/>
                <w:color w:val="000000"/>
                <w:sz w:val="24"/>
                <w:lang w:val="en-US" w:eastAsia="zh-CN"/>
              </w:rPr>
            </w:pPr>
            <w:r>
              <w:rPr>
                <w:rFonts w:hint="eastAsia" w:ascii="宋体" w:hAnsi="宋体" w:cs="宋体"/>
                <w:sz w:val="24"/>
              </w:rPr>
              <w:sym w:font="Wingdings 2" w:char="00A3"/>
            </w:r>
            <w:r>
              <w:rPr>
                <w:rFonts w:hint="eastAsia" w:ascii="宋体" w:hAnsi="宋体" w:cs="宋体"/>
                <w:sz w:val="24"/>
              </w:rPr>
              <w:t xml:space="preserve"> 其他</w:t>
            </w:r>
            <w:r>
              <w:rPr>
                <w:rFonts w:hint="eastAsia" w:ascii="宋体" w:hAnsi="宋体" w:cs="宋体"/>
                <w:sz w:val="24"/>
                <w:lang w:eastAsia="zh-CN"/>
              </w:rPr>
              <w:t>：</w:t>
            </w:r>
            <w:r>
              <w:rPr>
                <w:rFonts w:hint="default" w:ascii="宋体" w:hAnsi="宋体" w:cs="宋体"/>
                <w:sz w:val="24"/>
                <w:u w:val="single"/>
                <w:lang w:val="en-US" w:eastAsia="zh-CN"/>
              </w:rPr>
              <w:t xml:space="preserve"> </w:t>
            </w:r>
            <w:r>
              <w:rPr>
                <w:rFonts w:hint="eastAsia" w:ascii="宋体" w:hAnsi="宋体" w:cs="宋体"/>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pPr>
              <w:rPr>
                <w:rFonts w:hint="eastAsia"/>
                <w:bCs/>
                <w:iCs/>
                <w:color w:val="000000"/>
                <w:sz w:val="24"/>
              </w:rPr>
            </w:pPr>
            <w:r>
              <w:rPr>
                <w:rFonts w:hint="eastAsia"/>
                <w:bCs/>
                <w:iCs/>
                <w:color w:val="000000"/>
                <w:sz w:val="24"/>
                <w:lang w:val="en-GB"/>
              </w:rPr>
              <w:t>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pPr>
              <w:rPr>
                <w:rFonts w:hint="default" w:eastAsia="宋体"/>
                <w:bCs/>
                <w:iCs/>
                <w:color w:val="000000"/>
                <w:sz w:val="24"/>
                <w:lang w:val="en-US" w:eastAsia="zh-CN"/>
              </w:rPr>
            </w:pPr>
            <w:r>
              <w:rPr>
                <w:rFonts w:hint="eastAsia" w:ascii="宋体" w:hAnsi="宋体" w:cs="宋体"/>
                <w:sz w:val="24"/>
              </w:rPr>
              <w:t>2025年</w:t>
            </w:r>
            <w:r>
              <w:rPr>
                <w:rFonts w:hint="eastAsia" w:ascii="宋体" w:hAnsi="宋体" w:cs="宋体"/>
                <w:sz w:val="24"/>
                <w:lang w:val="en-US" w:eastAsia="zh-CN"/>
              </w:rPr>
              <w:t>5月21日(周三) 下午 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textAlignment w:val="auto"/>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cs="宋体"/>
                <w:sz w:val="24"/>
              </w:rPr>
            </w:pPr>
            <w:r>
              <w:rPr>
                <w:rFonts w:hint="eastAsia" w:ascii="宋体" w:hAnsi="宋体" w:cs="宋体"/>
                <w:sz w:val="24"/>
              </w:rPr>
              <w:t>上海证券交易所上证路演中心（网址：</w:t>
            </w:r>
            <w:r>
              <w:rPr>
                <w:rFonts w:hint="eastAsia" w:ascii="宋体" w:hAnsi="宋体" w:cs="宋体"/>
                <w:sz w:val="24"/>
              </w:rPr>
              <w:fldChar w:fldCharType="begin"/>
            </w:r>
            <w:r>
              <w:rPr>
                <w:rFonts w:hint="eastAsia" w:ascii="宋体" w:hAnsi="宋体" w:cs="宋体"/>
                <w:sz w:val="24"/>
              </w:rPr>
              <w:instrText xml:space="preserve"> HYPERLINK "https://roadshow.sseinfo.com/）" </w:instrText>
            </w:r>
            <w:r>
              <w:rPr>
                <w:rFonts w:hint="eastAsia" w:ascii="宋体" w:hAnsi="宋体" w:cs="宋体"/>
                <w:sz w:val="24"/>
              </w:rPr>
              <w:fldChar w:fldCharType="separate"/>
            </w:r>
            <w:r>
              <w:rPr>
                <w:rStyle w:val="11"/>
                <w:rFonts w:hint="eastAsia" w:ascii="宋体" w:hAnsi="宋体" w:cs="宋体"/>
                <w:sz w:val="24"/>
              </w:rPr>
              <w:t>https://roadshow.sseinfo.com/）</w:t>
            </w:r>
            <w:r>
              <w:rPr>
                <w:rFonts w:hint="eastAsia" w:ascii="宋体" w:hAnsi="宋体" w:cs="宋体"/>
                <w:sz w:val="24"/>
              </w:rPr>
              <w:fldChar w:fldCharType="end"/>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cs="宋体"/>
                <w:sz w:val="24"/>
              </w:rPr>
            </w:pPr>
            <w:r>
              <w:rPr>
                <w:rFonts w:hint="eastAsia" w:ascii="宋体" w:hAnsi="宋体" w:cs="宋体"/>
                <w:sz w:val="24"/>
                <w:lang w:val="en-US" w:eastAsia="zh-CN"/>
              </w:rPr>
              <w:t>通过</w:t>
            </w:r>
            <w:r>
              <w:rPr>
                <w:rFonts w:hint="eastAsia" w:ascii="宋体" w:hAnsi="宋体" w:cs="宋体"/>
                <w:sz w:val="24"/>
              </w:rPr>
              <w:t>上证路演中心网络</w:t>
            </w:r>
            <w:r>
              <w:rPr>
                <w:rFonts w:hint="eastAsia" w:ascii="宋体" w:hAnsi="宋体" w:cs="宋体"/>
                <w:sz w:val="24"/>
                <w:lang w:val="en-US" w:eastAsia="zh-CN"/>
              </w:rPr>
              <w:t>文字</w:t>
            </w:r>
            <w:r>
              <w:rPr>
                <w:rFonts w:hint="eastAsia" w:ascii="宋体" w:hAnsi="宋体" w:cs="宋体"/>
                <w:sz w:val="24"/>
              </w:rPr>
              <w:t>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董事长 刘燕华</w:t>
            </w:r>
          </w:p>
          <w:p>
            <w:pPr>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rPr>
              <w:t>董事、</w:t>
            </w:r>
            <w:r>
              <w:rPr>
                <w:rFonts w:hint="eastAsia" w:ascii="宋体" w:hAnsi="宋体" w:cs="宋体"/>
                <w:sz w:val="24"/>
                <w:lang w:val="en-US" w:eastAsia="zh-CN"/>
              </w:rPr>
              <w:t>董事会秘书</w:t>
            </w:r>
            <w:r>
              <w:rPr>
                <w:rFonts w:hint="eastAsia" w:ascii="宋体" w:hAnsi="宋体" w:cs="宋体"/>
                <w:sz w:val="24"/>
              </w:rPr>
              <w:t xml:space="preserve"> </w:t>
            </w:r>
            <w:r>
              <w:rPr>
                <w:rFonts w:hint="eastAsia" w:ascii="宋体" w:hAnsi="宋体" w:cs="宋体"/>
                <w:sz w:val="24"/>
                <w:lang w:val="en-US" w:eastAsia="zh-CN"/>
              </w:rPr>
              <w:t>李吉庆</w:t>
            </w:r>
          </w:p>
          <w:p>
            <w:pPr>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rPr>
              <w:t xml:space="preserve">、财务总监、副总裁 </w:t>
            </w:r>
            <w:r>
              <w:rPr>
                <w:rFonts w:hint="eastAsia" w:ascii="宋体" w:hAnsi="宋体" w:cs="宋体"/>
                <w:sz w:val="24"/>
                <w:lang w:val="en-US" w:eastAsia="zh-CN"/>
              </w:rPr>
              <w:t>耿明</w:t>
            </w:r>
          </w:p>
          <w:p>
            <w:pPr>
              <w:rPr>
                <w:rFonts w:ascii="宋体" w:hAnsi="宋体"/>
                <w:bCs/>
                <w:sz w:val="24"/>
              </w:rPr>
            </w:pPr>
            <w:r>
              <w:rPr>
                <w:rFonts w:hint="eastAsia" w:ascii="宋体" w:hAnsi="宋体" w:cs="宋体"/>
                <w:sz w:val="24"/>
                <w:lang w:val="en-US" w:eastAsia="zh-CN"/>
              </w:rPr>
              <w:t>4</w:t>
            </w:r>
            <w:r>
              <w:rPr>
                <w:rFonts w:hint="eastAsia" w:ascii="宋体" w:hAnsi="宋体" w:cs="宋体"/>
                <w:sz w:val="24"/>
              </w:rPr>
              <w:t xml:space="preserve">、独立董事 </w:t>
            </w:r>
            <w:r>
              <w:rPr>
                <w:rFonts w:hint="eastAsia" w:ascii="宋体" w:hAnsi="宋体" w:cs="宋体"/>
                <w:sz w:val="24"/>
                <w:lang w:val="en-US" w:eastAsia="zh-CN"/>
              </w:rPr>
              <w:t>许春华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left="0" w:leftChars="0" w:firstLine="480"/>
              <w:rPr>
                <w:rFonts w:hint="default" w:ascii="宋体" w:hAnsi="宋体"/>
                <w:sz w:val="24"/>
                <w:szCs w:val="24"/>
              </w:rPr>
            </w:pPr>
            <w:r>
              <w:rPr>
                <w:rFonts w:hint="eastAsia" w:ascii="宋体" w:hAnsi="宋体"/>
                <w:b/>
                <w:bCs/>
                <w:sz w:val="24"/>
                <w:szCs w:val="24"/>
              </w:rPr>
              <w:t>投资者提出的主要问题及公司回复情况:</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1、能讲一下公司今年海外产能的释放情况吗？谢谢</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答:尊敬的投资者您好！除柬埔寨半钢项目产能持续提升外，柬埔寨工厂全钢扩建、印尼工厂、墨西哥工厂产能预计也会逐步释放。感谢您对公司的关注。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2、004-高管您好，请问您如何看待行业未来的发展前景？谢谢。</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答:尊敬的投资者您好！轮胎行业未来的发</w:t>
            </w:r>
            <w:bookmarkStart w:id="0" w:name="_GoBack"/>
            <w:bookmarkEnd w:id="0"/>
            <w:r>
              <w:rPr>
                <w:rFonts w:hint="default" w:ascii="宋体" w:hAnsi="宋体"/>
                <w:sz w:val="24"/>
                <w:szCs w:val="24"/>
                <w:lang w:val="en-US" w:eastAsia="zh-CN"/>
              </w:rPr>
              <w:t>展前景较为广阔，目前汽车保有量稳定增加，带动轮胎配套市场和替换市场需求。新材料、智能化技术创新推动产品升级，绿色环保理念促使企业转型，为行业带来新增长点。同时行业也面临着一些挑战，如原材料价格波动，直接影响轮胎企业的生产成本和利润。国际贸易壁垒也对轮胎企业发展造成影响。未来，公司将持续布局全球化生产，加大研发投入并开展技术创新，数字化转型、品牌建设及可持续发展等工作，推动公司业绩稳定增长。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3、比亚迪公司已经配套了哪些车型了？</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2024年，公司已为比亚迪的元PLUS、秦PLUS、秦L、海豹06、驱逐舰05等多款乘用车提供轮胎配套。同时，比亚迪全系的轻卡和重卡公司均有配套。公司将继续提升产品实力，提供更多的场景解决方案。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4、003-高管您好，能否请您介绍一下本期行业整体和行业内其他主要企业的业绩表现？谢谢。</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2024年全球轮胎市场需求稳中向好，行业整体收入呈增长趋势。根据米其林财报数据，2024年全球轮胎销量18.56亿条，同比增长1.86%。轮胎行业上市公司业绩表现请参考各公司披露的定期报告。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5、002-高管您好，请问贵公司未来盈利增长的主要驱动因素有哪些？谢谢。</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答:公司未来将持续布局全球化生产，加大研发投入并开展技术创新，数字化转型、品牌建设及可持续发展等工作，推动公司业绩稳定增长。</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全球化布局：通过全球化产能布局，公司在多个维度实现战略升级与效益提升，一方面，公司能够缩短供货周期，更高效便捷地服务现有客户，并有效拓展海外市场，吸引新客户。另一方面，全球化产能布局也可以有效降低因地区间贸易摩擦产生的风险，支持企业的长期稳定发展。</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研发：公司目前已建立具有自主知识产权的半钢子午线轮胎、全钢子午线轮胎、非公路轮胎三大轮胎制造技术体系。在中国青岛、加拿大多伦多、德国法兰克福、越南胡志明建有研发中心，在各地工厂也建立了属地化的技术研究部门，现已形成了全球化的技术研发体系。</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品牌建设：公司将持续深化战略布局，通过加强与权威媒体合作，不断开展创新活动、赛事活动及展会活动，全面提升品牌形象。目前已形成覆盖全球75个国家及地区的传播矩阵，有效拓展海外市场影响力。</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可持续发展：公司在绿色低碳和可持续发展已经成为全球共识的背景下，提出可持续发展目标：公司产品中的可持续材料含量2030年达到40%，2050年提高到100%；到2030年，与2022年相比单位产品能耗降低30%，单位产品碳排放降低30%。</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未来，公司将以“做一条好轮胎”为使命，致力于为全球轮胎用户提供更优质的产品与服务，助力中国轮胎工业站上世界新高度！感谢您对公司的关注。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6、请问公司轮胎品质和宣传一致吗？</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坚持基础研究与应用研究相结合的研发战略，持续加大研发投入，构建了“基础研究+技术攻关+成果转化”的创新生态链，逐步推动产品向高端化、智能化、绿色化方向转型。公司凭借产品的技术领先性与品质稳定性获得了广大消费者的认可。2024年3月，在中央广播电视总台第四届中国汽车风云盛典活动中，公司“液体黄金轮胎技术”荣获评委会特别奖，这也是唯一获此殊荣的汽车零部件企业；荣获宇通客车2024年“最佳质量奖”；10月，荣获东风华神“品牌向上卓越贡献奖”，创下全年零质量理赔纪录，并以轮胎企业排名第一的成绩全面承接其全系新车型的无内胎配套业务；12月，荣获三一商用车2024年度“杰出贡献供应商”称号及吉利商用车集团“价值远程奖”称号。</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2025年3月，公司Atrezzo ZSR2轮胎在《Auto Bild》夏季轮胎测试项目中，经过预赛、决赛两轮测试，最终凭借干湿地刹车、操控性等方面优势在52个轮胎品牌中脱颖而出，综合评分进入前十名，成为《Auto Bild》39年测试历史上取得最好决赛成绩的中国轮胎品牌。感谢您对公司的关注。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7、公司近期在国际上的品牌排名不断上升，是如何做到的？</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在品牌建设方面持续深化战略布局，通过加强与权威媒体合作，不断开展创新活动、赛事活动及展会活动，全面提升品牌形象。公司将通过媒体投放、参与国际展会、赞助体育赛事等方式赋能品牌建设，提升品牌价值，并持续加大在主流媒体平台上的品牌宣传投放力度，围绕热点体育赛事、节庆活动等提升公司品牌的知名度。目前已形成覆盖全球75个国家及地区的传播矩阵，有效拓展了海外市场影响力。根据Brand  Finance品牌价值评估机构发布的“2025年全球最具价值轮胎品牌榜单”，公司进入前十名，是中国最具价值的轮胎品牌；公司品牌价值位居世界品牌实验室发布的2024年度“中国500最具价值品牌”榜单第108位，品牌价值连续七年实现两位数增长。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8、公司未来的发展目标是什么？</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答:尊敬的投资者您好！公司愿景为：到2025年实现技术自主化、制造智能化、品牌国际化，成为全球范围内有影响力的轮胎企业。感谢您对公司的关注。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9、请问美国关税对公司开工率有影响吗？</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目前主要通过越南和柬埔寨工厂对美出口轮胎产品，根据现有的关税政策来看，公司的乘用车及轻卡车轮胎适用于汽车零部件232条款中25%的税率；其他轮胎产品适用对等关税，在延缓90天内适用10%的税率。目前公司生产经营正常，生产与发货均正常。关税政策仍存在一定的不确定性，公司将持续密切关注国际政治与贸易格局变化，与客户保持积极沟通，以尽量减少因关税问题给公司带来的不利影响。同时，公司将持续推进全球化战略，力争墨西哥、印尼生产基地尽快投产，后续通过灵活调整全球各基地生产安排、加快推进海外布局和开拓新兴市场等举措，进一步巩固与提高全球市场份额，增强企业综合竞争力。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10、在行业销量都在下滑的情况下，公司产销持续增长有什么原因吗？</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受前期战略实施落地的影响，公司不断完善全球化战略布局，持续加大研发投入并开展技术创新，数字化转型、品牌建设及可持续发展等工作效果持续显现，2024年轮胎产量和销量分别达7481.11万条、7215.58万条，均创历史新高。2025年一季度产销量分别达1988.33万条、1937.39万条，同比均有所增长。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11、公司非公路市场开拓的怎么样？</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非公路轮胎产品经过长期的市场验证，得到市场的广泛认可。目前已成功配套卡特彼勒、约翰迪尔、凯斯纽荷兰、英国JCB、中国一拖、同力重工、徐工集团、雷沃重工、山东临工等国内外知名企业。今年公司非公路轮胎市场拓展顺利，近期与全球头部矿企力拓集团在澳大利亚珀斯签订了几内亚西芒杜项目2025-2030五年供应协议暨全球框架协议。目前，公司非公路轮胎产能利用率仍处于较高水平，生产经营正常，感谢您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12、公司强推的液体黄金轮胎和普通轮胎有什么区别？目前液体黄金胎的销量多少？</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经过多年的技术沉淀，公司自主研发的液体黄金轮胎成功解决了“滚动阻力、抗湿滑、耐磨性”三大性能难以同时优化的“魔鬼三角”问题，让每条轮胎同时实现了安全、耐磨和节能。2024年3月，在中央广播电视总台第四届中国汽车风云盛典活动中，公司“液体黄金轮胎技术”荣获评委会特别奖，这也是唯一获此殊荣的汽车零部件企业。</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公司针对乘用车、商用车及特种车辆等多个细分领域开展产品迭代，形成覆盖城市通勤、长途运输、复杂路况等多维使用场景的解决方案，更好地满足了不同消费者的需求。液体黄金轮胎产品在国内的终端售价对标国际一线轮胎品牌。未来，公司将持续优化战略布局，积极整合内外部资源，促进液体黄金轮胎销量的不断提升。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13、公司应收账款2024年大幅增长的原因是什么？会有风险吗？</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答:尊敬的投资者您好！随着公司销售规模的扩大，公司应收账款金额较期初有所增加。公司将严格执行应收账款政策，控制应收账款比例在合理范围内。感谢您对公司的关注。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14、今年公司墨西哥和印尼工厂等海外项目能顺利投产吗？</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答:尊敬的投资者您好！目前公司印尼工厂、墨西哥工厂建设进展顺利，预计上半年首胎下线，产能将逐步释放。感谢您对公司的关注。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15、请问目前海外已投产能占总产能的比例有多少？今明两年的资本开支是会大致维持24年的水平还是会进一步大幅增加？谢谢</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截至目前，越南工厂（不含ACTR合资公司）年化产能：全钢胎260万条、半钢胎1600万条、非公路轮胎10万吨；ACTR合资公司年化产能：全钢胎265万条；柬埔寨工厂年化产能：全钢胎165万条、半钢胎1900万条。公司目前正在推进柬埔寨全钢胎扩建、印尼工厂及墨西哥工厂等项目建设，预计今年年内均可实现投产。后期，公司会根据企业战略及外部市场等情况确定具体的资本开支计划。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16、公司产能利用率水平？</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答:尊敬的投资者您好！公司目前生产经营正常，各工厂的产能利用率位于较高水平。2024年度产能利用情况请参阅公司《2024年年度报告》。感谢您对公司的关注。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17、001-高管您好。请问贵公司本期财务报告中，盈利表现如何？谢谢。</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2024年，公司紧紧围绕“做一条好轮胎”的使命，不断完善全球化战略布局，持续加大研发投入并开展技术创新，数字化转型、品牌建设及可持续发展等工作效果持续显现，轮胎产量和销量分别达7481.11万条、7215.58万条，均创历史新高，营业收入和净利润保持了较好增长。2024年，公司实现营业收入318.02亿元，同比增长22.42%；实现归属于上市公司股东的净利润40.63亿元，同比增长31.42%。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18、越来越多年轻人喜欢和关注越野运动，请问公司越野胎的性能如何，有何推广进展？</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答:尊敬的投资者您好！赛轮推出的越野胎在北美市场已经畅销12年。在此期间，公司还从用户需求出发，不断推陈出新。2024年10月，公司在内蒙古阿拉善举办了 TERRAMAX RT 越野胎新品发布会，发布的TERRAMAX RT拥有独特的花纹与胎肩设计，采用耐磨抗撕裂配方，为车主带来强大抓地力，同时其牵引性能通过国际雪地牵引认证测试，能够有效提高严苛气候条件下的路面牵引力，更能满足中国越野车主的需求。2025年5月20日，2025中国环塔国际拉力赛正式开赛，该比赛是亚洲规模最大、难度最高的越野拉力赛事之一。作为民族越野胎的代表，赛轮TERRAMAX RT越野胎成为长城汽车、郑州日产两大实力车队的官方指定用胎，将在沙漠、戈壁、砂石等严苛复杂的地形下，以卓越性能全程陪伴车手们征战极限赛道。未来，公司将持续参与汽车越野赛事，在越野赛中不断提升产品力及品牌认可度。感谢您对公司的关注。</w:t>
            </w:r>
          </w:p>
          <w:p>
            <w:pPr>
              <w:pStyle w:val="13"/>
              <w:spacing w:line="460" w:lineRule="exact"/>
              <w:ind w:left="-2" w:leftChars="-1" w:firstLine="480"/>
              <w:rPr>
                <w:rFonts w:hint="default" w:ascii="宋体" w:hAnsi="宋体"/>
                <w:b/>
                <w:bCs/>
                <w:sz w:val="24"/>
                <w:szCs w:val="24"/>
                <w:lang w:val="en-US" w:eastAsia="zh-CN"/>
              </w:rPr>
            </w:pPr>
            <w:r>
              <w:rPr>
                <w:rFonts w:hint="default" w:ascii="宋体" w:hAnsi="宋体"/>
                <w:b/>
                <w:bCs/>
                <w:sz w:val="24"/>
                <w:szCs w:val="24"/>
                <w:lang w:val="en-US" w:eastAsia="zh-CN"/>
              </w:rPr>
              <w:t>19、请问</w:t>
            </w:r>
            <w:r>
              <w:rPr>
                <w:rFonts w:hint="eastAsia" w:ascii="宋体" w:hAnsi="宋体"/>
                <w:b/>
                <w:bCs/>
                <w:sz w:val="24"/>
                <w:szCs w:val="24"/>
                <w:lang w:val="en-US" w:eastAsia="zh-CN"/>
              </w:rPr>
              <w:t>（1）</w:t>
            </w:r>
            <w:r>
              <w:rPr>
                <w:rFonts w:hint="default" w:ascii="宋体" w:hAnsi="宋体"/>
                <w:b/>
                <w:bCs/>
                <w:sz w:val="24"/>
                <w:szCs w:val="24"/>
                <w:lang w:val="en-US" w:eastAsia="zh-CN"/>
              </w:rPr>
              <w:t>公司对今年橡胶等主要原材料的价格趋势怎么展望？</w:t>
            </w:r>
            <w:r>
              <w:rPr>
                <w:rFonts w:hint="eastAsia" w:ascii="宋体" w:hAnsi="宋体"/>
                <w:b/>
                <w:bCs/>
                <w:sz w:val="24"/>
                <w:szCs w:val="24"/>
                <w:lang w:val="en-US" w:eastAsia="zh-CN"/>
              </w:rPr>
              <w:t>（2）</w:t>
            </w:r>
            <w:r>
              <w:rPr>
                <w:rFonts w:hint="default" w:ascii="宋体" w:hAnsi="宋体"/>
                <w:b/>
                <w:bCs/>
                <w:sz w:val="24"/>
                <w:szCs w:val="24"/>
                <w:lang w:val="en-US" w:eastAsia="zh-CN"/>
              </w:rPr>
              <w:t>公司对美收入出口占比有多大？谢谢</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2025年第一季度，公司天然橡胶、合成橡胶、炭黑、钢丝帘线四项主要原材料的综合采购价格环比2024年第四季度下降7.94%。进入4月份以来，轮胎行业原材料价格总体呈现回落态势。公司已在中国的青岛、东营、沈阳、潍坊及海外的越南、柬埔寨建有轮胎生产基地，并正在推进墨西哥、印度尼西亚等生产基地的建设，未来将持续布局全球化生产，这可以进一步缩短供货周期，更高效便捷地服务现有客户，并有效拓展海外市场，吸引新客户。感谢您对公司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firstLine="0" w:firstLineChars="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rFonts w:hint="eastAsia"/>
                <w:bCs/>
                <w:iCs/>
                <w:color w:val="000000"/>
                <w:sz w:val="24"/>
              </w:rPr>
              <w:t>无</w:t>
            </w:r>
          </w:p>
        </w:tc>
      </w:tr>
    </w:tbl>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0810"/>
    <w:rsid w:val="00251D58"/>
    <w:rsid w:val="002530EE"/>
    <w:rsid w:val="002549E6"/>
    <w:rsid w:val="00256602"/>
    <w:rsid w:val="00271C8D"/>
    <w:rsid w:val="00273B53"/>
    <w:rsid w:val="0028080C"/>
    <w:rsid w:val="00295257"/>
    <w:rsid w:val="00297703"/>
    <w:rsid w:val="002A0826"/>
    <w:rsid w:val="002A0984"/>
    <w:rsid w:val="002A589B"/>
    <w:rsid w:val="002A5CE1"/>
    <w:rsid w:val="002B1184"/>
    <w:rsid w:val="002B71B8"/>
    <w:rsid w:val="002B7469"/>
    <w:rsid w:val="002C22C6"/>
    <w:rsid w:val="002C23FC"/>
    <w:rsid w:val="002C6568"/>
    <w:rsid w:val="002C723B"/>
    <w:rsid w:val="002D2151"/>
    <w:rsid w:val="002D39BC"/>
    <w:rsid w:val="002D5E38"/>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61C7"/>
    <w:rsid w:val="00686DDF"/>
    <w:rsid w:val="00697B12"/>
    <w:rsid w:val="006A55BB"/>
    <w:rsid w:val="006A7613"/>
    <w:rsid w:val="006B661A"/>
    <w:rsid w:val="006B7D00"/>
    <w:rsid w:val="006B7EA0"/>
    <w:rsid w:val="006C6BC5"/>
    <w:rsid w:val="006D61A2"/>
    <w:rsid w:val="006E1DB4"/>
    <w:rsid w:val="00714059"/>
    <w:rsid w:val="00716833"/>
    <w:rsid w:val="00726DC9"/>
    <w:rsid w:val="00753DB6"/>
    <w:rsid w:val="00763847"/>
    <w:rsid w:val="00771FE3"/>
    <w:rsid w:val="00776BDE"/>
    <w:rsid w:val="007816EC"/>
    <w:rsid w:val="00786870"/>
    <w:rsid w:val="00792237"/>
    <w:rsid w:val="0079272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4F82"/>
    <w:rsid w:val="00C15AC0"/>
    <w:rsid w:val="00C26030"/>
    <w:rsid w:val="00C41091"/>
    <w:rsid w:val="00C45222"/>
    <w:rsid w:val="00C63056"/>
    <w:rsid w:val="00C661D1"/>
    <w:rsid w:val="00C73E0A"/>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659D1"/>
    <w:rsid w:val="00DA26A9"/>
    <w:rsid w:val="00DB01FF"/>
    <w:rsid w:val="00DC7778"/>
    <w:rsid w:val="00DE7391"/>
    <w:rsid w:val="00DF2DB5"/>
    <w:rsid w:val="00DF361E"/>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4908"/>
    <w:rsid w:val="00F07C21"/>
    <w:rsid w:val="00F12EF6"/>
    <w:rsid w:val="00F21065"/>
    <w:rsid w:val="00F24311"/>
    <w:rsid w:val="00F24CB4"/>
    <w:rsid w:val="00F43465"/>
    <w:rsid w:val="00F45475"/>
    <w:rsid w:val="00F64E72"/>
    <w:rsid w:val="00F70C7D"/>
    <w:rsid w:val="00F9272E"/>
    <w:rsid w:val="00F95565"/>
    <w:rsid w:val="00F97743"/>
    <w:rsid w:val="00FA6DAF"/>
    <w:rsid w:val="00FC6884"/>
    <w:rsid w:val="00FE62F3"/>
    <w:rsid w:val="00FF71D2"/>
    <w:rsid w:val="03872335"/>
    <w:rsid w:val="04CD4E0D"/>
    <w:rsid w:val="05F30D52"/>
    <w:rsid w:val="07E84685"/>
    <w:rsid w:val="07F43921"/>
    <w:rsid w:val="08582CB3"/>
    <w:rsid w:val="08964C8B"/>
    <w:rsid w:val="08E5231F"/>
    <w:rsid w:val="099B29F9"/>
    <w:rsid w:val="0A63192C"/>
    <w:rsid w:val="0C493B9B"/>
    <w:rsid w:val="0C93758E"/>
    <w:rsid w:val="0D4D0B5F"/>
    <w:rsid w:val="0E1D5BD4"/>
    <w:rsid w:val="0E207A31"/>
    <w:rsid w:val="10A61842"/>
    <w:rsid w:val="13C4450D"/>
    <w:rsid w:val="141B6967"/>
    <w:rsid w:val="17B3729E"/>
    <w:rsid w:val="18D93A98"/>
    <w:rsid w:val="1B2418A5"/>
    <w:rsid w:val="1FBFC074"/>
    <w:rsid w:val="204B02F6"/>
    <w:rsid w:val="2052439D"/>
    <w:rsid w:val="22B65ABC"/>
    <w:rsid w:val="241C2252"/>
    <w:rsid w:val="24E80350"/>
    <w:rsid w:val="26C339D5"/>
    <w:rsid w:val="27486743"/>
    <w:rsid w:val="27E94D39"/>
    <w:rsid w:val="27FC492A"/>
    <w:rsid w:val="28B03A1C"/>
    <w:rsid w:val="2B620922"/>
    <w:rsid w:val="2BA7533C"/>
    <w:rsid w:val="2C253D8E"/>
    <w:rsid w:val="2E256BC7"/>
    <w:rsid w:val="2FF91C3F"/>
    <w:rsid w:val="31B85A3E"/>
    <w:rsid w:val="31F54A45"/>
    <w:rsid w:val="31FD161E"/>
    <w:rsid w:val="327645E7"/>
    <w:rsid w:val="32CC663E"/>
    <w:rsid w:val="33645CC3"/>
    <w:rsid w:val="3488335F"/>
    <w:rsid w:val="34FD33C1"/>
    <w:rsid w:val="359B46F3"/>
    <w:rsid w:val="35B61405"/>
    <w:rsid w:val="35DC7F6D"/>
    <w:rsid w:val="36FB9E1F"/>
    <w:rsid w:val="381D5949"/>
    <w:rsid w:val="38DA69D3"/>
    <w:rsid w:val="39C443D2"/>
    <w:rsid w:val="3AE95412"/>
    <w:rsid w:val="3BFA3B96"/>
    <w:rsid w:val="3CEF3472"/>
    <w:rsid w:val="3EFF16E9"/>
    <w:rsid w:val="419210A2"/>
    <w:rsid w:val="43FB5176"/>
    <w:rsid w:val="448156A1"/>
    <w:rsid w:val="450A4511"/>
    <w:rsid w:val="46947ED0"/>
    <w:rsid w:val="490B575C"/>
    <w:rsid w:val="4E2F3499"/>
    <w:rsid w:val="4EBA27E3"/>
    <w:rsid w:val="4F9323C9"/>
    <w:rsid w:val="51F4195F"/>
    <w:rsid w:val="54994F4D"/>
    <w:rsid w:val="56611B3C"/>
    <w:rsid w:val="56D604B0"/>
    <w:rsid w:val="57AA7B05"/>
    <w:rsid w:val="57E4165B"/>
    <w:rsid w:val="581157B6"/>
    <w:rsid w:val="592C42F5"/>
    <w:rsid w:val="5CBC0AC3"/>
    <w:rsid w:val="5CD76845"/>
    <w:rsid w:val="5D3A0B7D"/>
    <w:rsid w:val="5D464695"/>
    <w:rsid w:val="5DAE4E34"/>
    <w:rsid w:val="5DD82899"/>
    <w:rsid w:val="5FE72FC9"/>
    <w:rsid w:val="601257DB"/>
    <w:rsid w:val="61D01DD2"/>
    <w:rsid w:val="646C3068"/>
    <w:rsid w:val="64BA262A"/>
    <w:rsid w:val="653A410A"/>
    <w:rsid w:val="657E5B22"/>
    <w:rsid w:val="66AA5270"/>
    <w:rsid w:val="683A2C86"/>
    <w:rsid w:val="68751207"/>
    <w:rsid w:val="68D56618"/>
    <w:rsid w:val="6ADE0725"/>
    <w:rsid w:val="6BFA733C"/>
    <w:rsid w:val="6E072310"/>
    <w:rsid w:val="70236471"/>
    <w:rsid w:val="71333506"/>
    <w:rsid w:val="718D24AC"/>
    <w:rsid w:val="71905711"/>
    <w:rsid w:val="728B6EC5"/>
    <w:rsid w:val="734E202F"/>
    <w:rsid w:val="74E03D43"/>
    <w:rsid w:val="75760AE5"/>
    <w:rsid w:val="77CF73AC"/>
    <w:rsid w:val="78FF0116"/>
    <w:rsid w:val="79B24925"/>
    <w:rsid w:val="7A3157EF"/>
    <w:rsid w:val="7C656439"/>
    <w:rsid w:val="7DD84285"/>
    <w:rsid w:val="7E737D2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1"/>
    <w:semiHidden/>
    <w:unhideWhenUsed/>
    <w:qFormat/>
    <w:uiPriority w:val="0"/>
    <w:rPr>
      <w:b/>
      <w:bCs/>
    </w:rPr>
  </w:style>
  <w:style w:type="character" w:styleId="10">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paragraph" w:customStyle="1" w:styleId="13">
    <w:name w:val="_Style 6"/>
    <w:basedOn w:val="1"/>
    <w:qFormat/>
    <w:uiPriority w:val="34"/>
    <w:pPr>
      <w:ind w:firstLine="420" w:firstLineChars="200"/>
    </w:pPr>
    <w:rPr>
      <w:rFonts w:ascii="Calibri" w:hAnsi="Calibri"/>
      <w:szCs w:val="22"/>
    </w:rPr>
  </w:style>
  <w:style w:type="paragraph" w:customStyle="1" w:styleId="14">
    <w:name w:val="Char Char Char"/>
    <w:basedOn w:val="1"/>
    <w:qFormat/>
    <w:uiPriority w:val="0"/>
    <w:rPr>
      <w:szCs w:val="21"/>
    </w:rPr>
  </w:style>
  <w:style w:type="paragraph" w:customStyle="1" w:styleId="15">
    <w:name w:val="Char Char Char Char Char Char Char Char Char Char Char Char Char Char Char Char"/>
    <w:basedOn w:val="1"/>
    <w:qFormat/>
    <w:uiPriority w:val="0"/>
  </w:style>
  <w:style w:type="paragraph" w:customStyle="1" w:styleId="16">
    <w:name w:val="Char Char Char1"/>
    <w:basedOn w:val="1"/>
    <w:qFormat/>
    <w:uiPriority w:val="0"/>
  </w:style>
  <w:style w:type="character" w:customStyle="1" w:styleId="17">
    <w:name w:val="页脚 字符"/>
    <w:basedOn w:val="9"/>
    <w:link w:val="4"/>
    <w:qFormat/>
    <w:uiPriority w:val="0"/>
    <w:rPr>
      <w:kern w:val="2"/>
      <w:sz w:val="18"/>
      <w:szCs w:val="18"/>
    </w:rPr>
  </w:style>
  <w:style w:type="character" w:customStyle="1" w:styleId="18">
    <w:name w:val="页眉 字符"/>
    <w:basedOn w:val="9"/>
    <w:link w:val="5"/>
    <w:qFormat/>
    <w:uiPriority w:val="0"/>
    <w:rPr>
      <w:kern w:val="2"/>
      <w:sz w:val="18"/>
      <w:szCs w:val="18"/>
    </w:rPr>
  </w:style>
  <w:style w:type="character" w:customStyle="1" w:styleId="19">
    <w:name w:val="批注框文本 字符"/>
    <w:basedOn w:val="9"/>
    <w:link w:val="3"/>
    <w:qFormat/>
    <w:uiPriority w:val="0"/>
    <w:rPr>
      <w:kern w:val="2"/>
      <w:sz w:val="18"/>
      <w:szCs w:val="18"/>
    </w:rPr>
  </w:style>
  <w:style w:type="character" w:customStyle="1" w:styleId="20">
    <w:name w:val="批注文字 字符"/>
    <w:basedOn w:val="9"/>
    <w:link w:val="2"/>
    <w:semiHidden/>
    <w:qFormat/>
    <w:uiPriority w:val="0"/>
    <w:rPr>
      <w:kern w:val="2"/>
      <w:sz w:val="21"/>
      <w:szCs w:val="24"/>
    </w:rPr>
  </w:style>
  <w:style w:type="character" w:customStyle="1" w:styleId="21">
    <w:name w:val="批注主题 字符"/>
    <w:basedOn w:val="20"/>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9430</Words>
  <Characters>9898</Characters>
  <Lines>15</Lines>
  <Paragraphs>4</Paragraphs>
  <TotalTime>45</TotalTime>
  <ScaleCrop>false</ScaleCrop>
  <LinksUpToDate>false</LinksUpToDate>
  <CharactersWithSpaces>9994</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2025-05-21T09:21:46Z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551BA10BE3E44B739D75810B8C83C31F</vt:lpwstr>
  </property>
</Properties>
</file>