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615AA" w14:textId="77777777" w:rsidR="004970C3" w:rsidRDefault="00000000">
      <w:pPr>
        <w:rPr>
          <w:rFonts w:ascii="华文宋体" w:eastAsia="华文宋体" w:hAnsi="华文宋体" w:hint="eastAsia"/>
          <w:sz w:val="24"/>
          <w:szCs w:val="28"/>
        </w:rPr>
      </w:pPr>
      <w:r>
        <w:rPr>
          <w:rFonts w:ascii="华文宋体" w:eastAsia="华文宋体" w:hAnsi="华文宋体" w:hint="eastAsia"/>
          <w:sz w:val="24"/>
          <w:szCs w:val="28"/>
        </w:rPr>
        <w:t>证券代码：6</w:t>
      </w:r>
      <w:r>
        <w:rPr>
          <w:rFonts w:ascii="华文宋体" w:eastAsia="华文宋体" w:hAnsi="华文宋体"/>
          <w:sz w:val="24"/>
          <w:szCs w:val="28"/>
        </w:rPr>
        <w:t xml:space="preserve">03755                                                                       </w:t>
      </w:r>
      <w:r>
        <w:rPr>
          <w:rFonts w:ascii="华文宋体" w:eastAsia="华文宋体" w:hAnsi="华文宋体" w:hint="eastAsia"/>
          <w:sz w:val="24"/>
          <w:szCs w:val="28"/>
        </w:rPr>
        <w:t>证券简称：日辰股份</w:t>
      </w:r>
    </w:p>
    <w:p w14:paraId="0B1A1019" w14:textId="77777777" w:rsidR="004970C3" w:rsidRDefault="00000000">
      <w:pPr>
        <w:jc w:val="center"/>
        <w:rPr>
          <w:rFonts w:ascii="华文宋体" w:eastAsia="华文宋体" w:hAnsi="华文宋体" w:hint="eastAsia"/>
          <w:b/>
          <w:bCs/>
          <w:sz w:val="28"/>
          <w:szCs w:val="32"/>
        </w:rPr>
      </w:pPr>
      <w:r>
        <w:rPr>
          <w:rFonts w:ascii="华文宋体" w:eastAsia="华文宋体" w:hAnsi="华文宋体" w:hint="eastAsia"/>
          <w:b/>
          <w:bCs/>
          <w:sz w:val="28"/>
          <w:szCs w:val="32"/>
        </w:rPr>
        <w:t>青岛日辰食品股份有限公司</w:t>
      </w:r>
    </w:p>
    <w:p w14:paraId="01E853F2" w14:textId="77777777" w:rsidR="004970C3" w:rsidRDefault="00000000">
      <w:pPr>
        <w:jc w:val="center"/>
        <w:rPr>
          <w:rFonts w:ascii="华文宋体" w:eastAsia="华文宋体" w:hAnsi="华文宋体" w:hint="eastAsia"/>
          <w:b/>
          <w:bCs/>
          <w:sz w:val="28"/>
          <w:szCs w:val="32"/>
        </w:rPr>
      </w:pPr>
      <w:r>
        <w:rPr>
          <w:rFonts w:ascii="华文宋体" w:eastAsia="华文宋体" w:hAnsi="华文宋体" w:hint="eastAsia"/>
          <w:b/>
          <w:bCs/>
          <w:sz w:val="28"/>
          <w:szCs w:val="32"/>
        </w:rPr>
        <w:t>投资者关系活动记录表</w:t>
      </w:r>
    </w:p>
    <w:p w14:paraId="48E91B9E" w14:textId="174DA1DB" w:rsidR="004970C3" w:rsidRDefault="00000000">
      <w:pPr>
        <w:ind w:firstLineChars="300" w:firstLine="720"/>
        <w:jc w:val="right"/>
        <w:rPr>
          <w:rFonts w:ascii="华文宋体" w:eastAsia="华文宋体" w:hAnsi="华文宋体" w:hint="eastAsia"/>
          <w:sz w:val="24"/>
          <w:szCs w:val="28"/>
        </w:rPr>
      </w:pPr>
      <w:r>
        <w:rPr>
          <w:rFonts w:ascii="华文宋体" w:eastAsia="华文宋体" w:hAnsi="华文宋体" w:hint="eastAsia"/>
          <w:sz w:val="24"/>
          <w:szCs w:val="28"/>
        </w:rPr>
        <w:t>编号：2</w:t>
      </w:r>
      <w:r>
        <w:rPr>
          <w:rFonts w:ascii="华文宋体" w:eastAsia="华文宋体" w:hAnsi="华文宋体"/>
          <w:sz w:val="24"/>
          <w:szCs w:val="28"/>
        </w:rPr>
        <w:t>02</w:t>
      </w:r>
      <w:r>
        <w:rPr>
          <w:rFonts w:ascii="华文宋体" w:eastAsia="华文宋体" w:hAnsi="华文宋体" w:hint="eastAsia"/>
          <w:sz w:val="24"/>
          <w:szCs w:val="28"/>
        </w:rPr>
        <w:t>5-</w:t>
      </w:r>
      <w:r w:rsidR="00265B9F">
        <w:rPr>
          <w:rFonts w:ascii="华文宋体" w:eastAsia="华文宋体" w:hAnsi="华文宋体" w:hint="eastAsia"/>
          <w:sz w:val="24"/>
          <w:szCs w:val="28"/>
        </w:rPr>
        <w:t>001</w:t>
      </w:r>
    </w:p>
    <w:tbl>
      <w:tblPr>
        <w:tblStyle w:val="a9"/>
        <w:tblW w:w="9039" w:type="dxa"/>
        <w:tblLook w:val="04A0" w:firstRow="1" w:lastRow="0" w:firstColumn="1" w:lastColumn="0" w:noHBand="0" w:noVBand="1"/>
      </w:tblPr>
      <w:tblGrid>
        <w:gridCol w:w="1526"/>
        <w:gridCol w:w="7513"/>
      </w:tblGrid>
      <w:tr w:rsidR="004970C3" w14:paraId="3B847A37" w14:textId="77777777">
        <w:trPr>
          <w:trHeight w:val="1740"/>
        </w:trPr>
        <w:tc>
          <w:tcPr>
            <w:tcW w:w="1526" w:type="dxa"/>
            <w:vAlign w:val="center"/>
          </w:tcPr>
          <w:p w14:paraId="31D558CA" w14:textId="77777777" w:rsidR="004970C3" w:rsidRDefault="00000000">
            <w:pPr>
              <w:jc w:val="center"/>
              <w:rPr>
                <w:rFonts w:ascii="Times New Roman" w:eastAsia="宋体" w:hAnsi="Times New Roman" w:cs="Times New Roman"/>
                <w:sz w:val="24"/>
                <w:szCs w:val="28"/>
              </w:rPr>
            </w:pPr>
            <w:r>
              <w:rPr>
                <w:rFonts w:ascii="Times New Roman" w:eastAsia="宋体" w:hAnsi="Times New Roman" w:cs="Times New Roman"/>
                <w:sz w:val="24"/>
                <w:szCs w:val="28"/>
              </w:rPr>
              <w:t>投资者关系</w:t>
            </w:r>
          </w:p>
          <w:p w14:paraId="60BC0670" w14:textId="77777777" w:rsidR="004970C3" w:rsidRDefault="00000000">
            <w:pPr>
              <w:jc w:val="center"/>
              <w:rPr>
                <w:rFonts w:ascii="Times New Roman" w:eastAsia="宋体" w:hAnsi="Times New Roman" w:cs="Times New Roman"/>
                <w:sz w:val="24"/>
                <w:szCs w:val="28"/>
              </w:rPr>
            </w:pPr>
            <w:r>
              <w:rPr>
                <w:rFonts w:ascii="Times New Roman" w:eastAsia="宋体" w:hAnsi="Times New Roman" w:cs="Times New Roman"/>
                <w:sz w:val="24"/>
                <w:szCs w:val="28"/>
              </w:rPr>
              <w:t>活动类别</w:t>
            </w:r>
          </w:p>
        </w:tc>
        <w:tc>
          <w:tcPr>
            <w:tcW w:w="7513" w:type="dxa"/>
            <w:vAlign w:val="center"/>
          </w:tcPr>
          <w:p w14:paraId="284FD45A" w14:textId="77777777" w:rsidR="004970C3" w:rsidRDefault="00000000">
            <w:pPr>
              <w:jc w:val="left"/>
              <w:rPr>
                <w:rFonts w:ascii="Times New Roman" w:eastAsia="宋体" w:hAnsi="Times New Roman" w:cs="Times New Roman"/>
                <w:sz w:val="24"/>
                <w:szCs w:val="28"/>
              </w:rPr>
            </w:pPr>
            <w:r>
              <w:rPr>
                <w:rFonts w:ascii="Times New Roman" w:eastAsia="宋体" w:hAnsi="Times New Roman" w:cs="Times New Roman"/>
                <w:sz w:val="24"/>
                <w:szCs w:val="28"/>
              </w:rPr>
              <w:sym w:font="Wingdings 2" w:char="00A3"/>
            </w:r>
            <w:r>
              <w:rPr>
                <w:rFonts w:ascii="Times New Roman" w:eastAsia="宋体" w:hAnsi="Times New Roman" w:cs="Times New Roman"/>
                <w:sz w:val="24"/>
                <w:szCs w:val="28"/>
              </w:rPr>
              <w:t xml:space="preserve">  </w:t>
            </w:r>
            <w:r>
              <w:rPr>
                <w:rFonts w:ascii="Times New Roman" w:eastAsia="宋体" w:hAnsi="Times New Roman" w:cs="Times New Roman"/>
                <w:sz w:val="24"/>
                <w:szCs w:val="28"/>
              </w:rPr>
              <w:t>特定对象调研</w:t>
            </w:r>
            <w:r>
              <w:rPr>
                <w:rFonts w:ascii="Times New Roman" w:eastAsia="宋体" w:hAnsi="Times New Roman" w:cs="Times New Roman"/>
                <w:sz w:val="24"/>
                <w:szCs w:val="28"/>
              </w:rPr>
              <w:t xml:space="preserve">                  </w:t>
            </w:r>
            <w:r>
              <w:rPr>
                <w:rFonts w:ascii="Times New Roman" w:eastAsia="宋体" w:hAnsi="Times New Roman" w:cs="Times New Roman" w:hint="eastAsia"/>
                <w:sz w:val="24"/>
                <w:szCs w:val="28"/>
              </w:rPr>
              <w:t xml:space="preserve">  </w:t>
            </w:r>
            <w:r>
              <w:rPr>
                <w:rFonts w:ascii="Times New Roman" w:eastAsia="宋体" w:hAnsi="Times New Roman" w:cs="Times New Roman"/>
                <w:sz w:val="24"/>
                <w:szCs w:val="28"/>
              </w:rPr>
              <w:t xml:space="preserve">  </w:t>
            </w:r>
            <w:r>
              <w:rPr>
                <w:rFonts w:ascii="Times New Roman" w:eastAsia="宋体" w:hAnsi="Times New Roman" w:cs="Times New Roman" w:hint="eastAsia"/>
                <w:sz w:val="24"/>
                <w:szCs w:val="28"/>
              </w:rPr>
              <w:t xml:space="preserve"> </w:t>
            </w:r>
            <w:r>
              <w:rPr>
                <w:rFonts w:ascii="Times New Roman" w:eastAsia="宋体" w:hAnsi="Times New Roman" w:cs="Times New Roman"/>
                <w:sz w:val="24"/>
                <w:szCs w:val="28"/>
              </w:rPr>
              <w:t xml:space="preserve">  </w:t>
            </w:r>
            <w:r>
              <w:rPr>
                <w:rFonts w:ascii="Times New Roman" w:eastAsia="宋体" w:hAnsi="Times New Roman" w:cs="Times New Roman"/>
                <w:sz w:val="24"/>
                <w:szCs w:val="28"/>
              </w:rPr>
              <w:sym w:font="Wingdings 2" w:char="00A3"/>
            </w:r>
            <w:r>
              <w:rPr>
                <w:rFonts w:ascii="Times New Roman" w:eastAsia="宋体" w:hAnsi="Times New Roman" w:cs="Times New Roman"/>
                <w:sz w:val="24"/>
                <w:szCs w:val="28"/>
              </w:rPr>
              <w:t xml:space="preserve"> </w:t>
            </w:r>
            <w:r>
              <w:rPr>
                <w:rFonts w:ascii="Times New Roman" w:eastAsia="宋体" w:hAnsi="Times New Roman" w:cs="Times New Roman" w:hint="eastAsia"/>
                <w:sz w:val="24"/>
                <w:szCs w:val="28"/>
              </w:rPr>
              <w:t xml:space="preserve"> </w:t>
            </w:r>
            <w:r>
              <w:rPr>
                <w:rFonts w:ascii="Times New Roman" w:eastAsia="宋体" w:hAnsi="Times New Roman" w:cs="Times New Roman"/>
                <w:sz w:val="24"/>
                <w:szCs w:val="28"/>
              </w:rPr>
              <w:t>分析师会议</w:t>
            </w:r>
            <w:r>
              <w:rPr>
                <w:rFonts w:ascii="Times New Roman" w:eastAsia="宋体" w:hAnsi="Times New Roman" w:cs="Times New Roman"/>
                <w:sz w:val="24"/>
                <w:szCs w:val="28"/>
              </w:rPr>
              <w:t xml:space="preserve"> </w:t>
            </w:r>
          </w:p>
          <w:p w14:paraId="1992361F" w14:textId="77777777" w:rsidR="004970C3" w:rsidRDefault="00000000">
            <w:pPr>
              <w:jc w:val="left"/>
              <w:rPr>
                <w:rFonts w:ascii="Times New Roman" w:eastAsia="宋体" w:hAnsi="Times New Roman" w:cs="Times New Roman"/>
                <w:sz w:val="24"/>
                <w:szCs w:val="28"/>
              </w:rPr>
            </w:pPr>
            <w:r>
              <w:rPr>
                <w:rFonts w:ascii="Times New Roman" w:eastAsia="宋体" w:hAnsi="Times New Roman" w:cs="Times New Roman"/>
                <w:sz w:val="24"/>
                <w:szCs w:val="28"/>
              </w:rPr>
              <w:sym w:font="Wingdings 2" w:char="00A3"/>
            </w:r>
            <w:r>
              <w:rPr>
                <w:rFonts w:ascii="Times New Roman" w:eastAsia="宋体" w:hAnsi="Times New Roman" w:cs="Times New Roman"/>
                <w:sz w:val="24"/>
                <w:szCs w:val="28"/>
              </w:rPr>
              <w:t xml:space="preserve">  </w:t>
            </w:r>
            <w:r>
              <w:rPr>
                <w:rFonts w:ascii="Times New Roman" w:eastAsia="宋体" w:hAnsi="Times New Roman" w:cs="Times New Roman"/>
                <w:sz w:val="24"/>
                <w:szCs w:val="28"/>
              </w:rPr>
              <w:t>媒体采访</w:t>
            </w:r>
            <w:r>
              <w:rPr>
                <w:rFonts w:ascii="Times New Roman" w:eastAsia="宋体" w:hAnsi="Times New Roman" w:cs="Times New Roman"/>
                <w:sz w:val="24"/>
                <w:szCs w:val="28"/>
              </w:rPr>
              <w:t xml:space="preserve">                                 </w:t>
            </w:r>
            <w:r>
              <w:rPr>
                <w:rFonts w:ascii="Times New Roman" w:eastAsia="宋体" w:hAnsi="Times New Roman" w:cs="Times New Roman"/>
                <w:sz w:val="24"/>
                <w:szCs w:val="28"/>
              </w:rPr>
              <w:sym w:font="Wingdings 2" w:char="0052"/>
            </w:r>
            <w:r>
              <w:rPr>
                <w:rFonts w:ascii="Times New Roman" w:eastAsia="宋体" w:hAnsi="Times New Roman" w:cs="Times New Roman"/>
                <w:sz w:val="24"/>
                <w:szCs w:val="28"/>
              </w:rPr>
              <w:t xml:space="preserve">  </w:t>
            </w:r>
            <w:r>
              <w:rPr>
                <w:rFonts w:ascii="Times New Roman" w:eastAsia="宋体" w:hAnsi="Times New Roman" w:cs="Times New Roman"/>
                <w:sz w:val="24"/>
                <w:szCs w:val="28"/>
              </w:rPr>
              <w:t>业绩说明会</w:t>
            </w:r>
          </w:p>
          <w:p w14:paraId="19330A4C" w14:textId="77777777" w:rsidR="004970C3" w:rsidRDefault="00000000">
            <w:pPr>
              <w:jc w:val="left"/>
              <w:rPr>
                <w:rFonts w:ascii="Times New Roman" w:eastAsia="宋体" w:hAnsi="Times New Roman" w:cs="Times New Roman"/>
                <w:sz w:val="24"/>
                <w:szCs w:val="28"/>
              </w:rPr>
            </w:pPr>
            <w:r>
              <w:rPr>
                <w:rFonts w:ascii="Times New Roman" w:eastAsia="宋体" w:hAnsi="Times New Roman" w:cs="Times New Roman"/>
                <w:sz w:val="24"/>
                <w:szCs w:val="28"/>
              </w:rPr>
              <w:sym w:font="Wingdings 2" w:char="00A3"/>
            </w:r>
            <w:r>
              <w:rPr>
                <w:rFonts w:ascii="Times New Roman" w:eastAsia="宋体" w:hAnsi="Times New Roman" w:cs="Times New Roman"/>
                <w:sz w:val="24"/>
                <w:szCs w:val="28"/>
              </w:rPr>
              <w:t xml:space="preserve">  </w:t>
            </w:r>
            <w:r>
              <w:rPr>
                <w:rFonts w:ascii="Times New Roman" w:eastAsia="宋体" w:hAnsi="Times New Roman" w:cs="Times New Roman"/>
                <w:sz w:val="24"/>
                <w:szCs w:val="28"/>
              </w:rPr>
              <w:t>新闻发布会</w:t>
            </w:r>
            <w:r>
              <w:rPr>
                <w:rFonts w:ascii="Times New Roman" w:eastAsia="宋体" w:hAnsi="Times New Roman" w:cs="Times New Roman"/>
                <w:sz w:val="24"/>
                <w:szCs w:val="28"/>
              </w:rPr>
              <w:t xml:space="preserve">                             </w:t>
            </w:r>
            <w:r>
              <w:rPr>
                <w:rFonts w:ascii="Times New Roman" w:eastAsia="宋体" w:hAnsi="Times New Roman" w:cs="Times New Roman"/>
                <w:sz w:val="24"/>
                <w:szCs w:val="28"/>
              </w:rPr>
              <w:sym w:font="Wingdings 2" w:char="00A3"/>
            </w:r>
            <w:r>
              <w:rPr>
                <w:rFonts w:ascii="Times New Roman" w:eastAsia="宋体" w:hAnsi="Times New Roman" w:cs="Times New Roman"/>
                <w:sz w:val="24"/>
                <w:szCs w:val="28"/>
              </w:rPr>
              <w:t xml:space="preserve">  </w:t>
            </w:r>
            <w:r>
              <w:rPr>
                <w:rFonts w:ascii="Times New Roman" w:eastAsia="宋体" w:hAnsi="Times New Roman" w:cs="Times New Roman"/>
                <w:sz w:val="24"/>
                <w:szCs w:val="28"/>
              </w:rPr>
              <w:t>路演活动</w:t>
            </w:r>
          </w:p>
          <w:p w14:paraId="561EC094" w14:textId="77777777" w:rsidR="004970C3" w:rsidRDefault="00000000">
            <w:pPr>
              <w:jc w:val="left"/>
              <w:rPr>
                <w:rFonts w:ascii="Times New Roman" w:eastAsia="宋体" w:hAnsi="Times New Roman" w:cs="Times New Roman"/>
                <w:sz w:val="24"/>
                <w:szCs w:val="28"/>
              </w:rPr>
            </w:pPr>
            <w:r>
              <w:rPr>
                <w:rFonts w:ascii="Times New Roman" w:eastAsia="宋体" w:hAnsi="Times New Roman" w:cs="Times New Roman"/>
                <w:sz w:val="24"/>
                <w:szCs w:val="28"/>
              </w:rPr>
              <w:sym w:font="Wingdings 2" w:char="0052"/>
            </w:r>
            <w:r>
              <w:rPr>
                <w:rFonts w:ascii="Times New Roman" w:eastAsia="宋体" w:hAnsi="Times New Roman" w:cs="Times New Roman"/>
                <w:sz w:val="24"/>
                <w:szCs w:val="28"/>
              </w:rPr>
              <w:t xml:space="preserve">  </w:t>
            </w:r>
            <w:r>
              <w:rPr>
                <w:rFonts w:ascii="Times New Roman" w:eastAsia="宋体" w:hAnsi="Times New Roman" w:cs="Times New Roman"/>
                <w:sz w:val="24"/>
                <w:szCs w:val="28"/>
              </w:rPr>
              <w:t>现场参观</w:t>
            </w:r>
            <w:r>
              <w:rPr>
                <w:rFonts w:ascii="Times New Roman" w:eastAsia="宋体" w:hAnsi="Times New Roman" w:cs="Times New Roman"/>
                <w:sz w:val="24"/>
                <w:szCs w:val="28"/>
              </w:rPr>
              <w:t xml:space="preserve">                                 </w:t>
            </w:r>
            <w:r>
              <w:rPr>
                <w:rFonts w:ascii="Times New Roman" w:eastAsia="宋体" w:hAnsi="Times New Roman" w:cs="Times New Roman"/>
                <w:sz w:val="24"/>
                <w:szCs w:val="28"/>
              </w:rPr>
              <w:sym w:font="Wingdings 2" w:char="00A3"/>
            </w:r>
            <w:r>
              <w:rPr>
                <w:rFonts w:ascii="Times New Roman" w:eastAsia="宋体" w:hAnsi="Times New Roman" w:cs="Times New Roman" w:hint="eastAsia"/>
                <w:sz w:val="24"/>
                <w:szCs w:val="28"/>
              </w:rPr>
              <w:t xml:space="preserve">  </w:t>
            </w:r>
            <w:r>
              <w:rPr>
                <w:rFonts w:ascii="Times New Roman" w:eastAsia="宋体" w:hAnsi="Times New Roman" w:cs="Times New Roman"/>
                <w:sz w:val="24"/>
                <w:szCs w:val="28"/>
              </w:rPr>
              <w:t>电话会议</w:t>
            </w:r>
          </w:p>
          <w:p w14:paraId="74CEC5BB" w14:textId="77777777" w:rsidR="004970C3" w:rsidRDefault="00000000">
            <w:pPr>
              <w:jc w:val="left"/>
              <w:rPr>
                <w:rFonts w:ascii="Times New Roman" w:eastAsia="宋体" w:hAnsi="Times New Roman" w:cs="Times New Roman"/>
                <w:sz w:val="24"/>
                <w:szCs w:val="28"/>
                <w:u w:val="single"/>
              </w:rPr>
            </w:pPr>
            <w:r>
              <w:rPr>
                <w:rFonts w:ascii="Times New Roman" w:eastAsia="宋体" w:hAnsi="Times New Roman" w:cs="Times New Roman"/>
                <w:sz w:val="24"/>
                <w:szCs w:val="28"/>
              </w:rPr>
              <w:sym w:font="Wingdings 2" w:char="00A3"/>
            </w:r>
            <w:r>
              <w:rPr>
                <w:rFonts w:ascii="Times New Roman" w:eastAsia="宋体" w:hAnsi="Times New Roman" w:cs="Times New Roman"/>
                <w:sz w:val="24"/>
                <w:szCs w:val="28"/>
              </w:rPr>
              <w:t xml:space="preserve">  </w:t>
            </w:r>
            <w:r>
              <w:rPr>
                <w:rFonts w:ascii="Times New Roman" w:eastAsia="宋体" w:hAnsi="Times New Roman" w:cs="Times New Roman"/>
                <w:sz w:val="24"/>
                <w:szCs w:val="28"/>
              </w:rPr>
              <w:t>其他</w:t>
            </w:r>
            <w:r>
              <w:rPr>
                <w:rFonts w:ascii="Times New Roman" w:eastAsia="宋体" w:hAnsi="Times New Roman" w:cs="Times New Roman" w:hint="eastAsia"/>
                <w:sz w:val="24"/>
                <w:szCs w:val="28"/>
              </w:rPr>
              <w:t>（证券公司策略会）</w:t>
            </w:r>
          </w:p>
        </w:tc>
      </w:tr>
      <w:tr w:rsidR="004970C3" w14:paraId="530A5B0B" w14:textId="77777777">
        <w:trPr>
          <w:trHeight w:val="1846"/>
        </w:trPr>
        <w:tc>
          <w:tcPr>
            <w:tcW w:w="1526" w:type="dxa"/>
            <w:vAlign w:val="center"/>
          </w:tcPr>
          <w:p w14:paraId="64515D61" w14:textId="77777777" w:rsidR="004970C3" w:rsidRDefault="00000000">
            <w:pPr>
              <w:jc w:val="center"/>
              <w:rPr>
                <w:rFonts w:ascii="Times New Roman" w:eastAsia="宋体" w:hAnsi="Times New Roman" w:cs="Times New Roman"/>
                <w:sz w:val="24"/>
                <w:szCs w:val="28"/>
              </w:rPr>
            </w:pPr>
            <w:r>
              <w:rPr>
                <w:rFonts w:ascii="Times New Roman" w:eastAsia="宋体" w:hAnsi="Times New Roman" w:cs="Times New Roman"/>
                <w:sz w:val="24"/>
                <w:szCs w:val="28"/>
              </w:rPr>
              <w:t>参与单位</w:t>
            </w:r>
          </w:p>
          <w:p w14:paraId="2078446E" w14:textId="77777777" w:rsidR="004970C3" w:rsidRDefault="00000000">
            <w:pPr>
              <w:jc w:val="center"/>
              <w:rPr>
                <w:rFonts w:ascii="Times New Roman" w:eastAsia="宋体" w:hAnsi="Times New Roman" w:cs="Times New Roman"/>
                <w:sz w:val="24"/>
                <w:szCs w:val="28"/>
              </w:rPr>
            </w:pPr>
            <w:r>
              <w:rPr>
                <w:rFonts w:ascii="Times New Roman" w:eastAsia="宋体" w:hAnsi="Times New Roman" w:cs="Times New Roman"/>
                <w:sz w:val="24"/>
                <w:szCs w:val="28"/>
              </w:rPr>
              <w:t>名称</w:t>
            </w:r>
          </w:p>
        </w:tc>
        <w:tc>
          <w:tcPr>
            <w:tcW w:w="7513" w:type="dxa"/>
            <w:vAlign w:val="center"/>
          </w:tcPr>
          <w:p w14:paraId="40E602E8" w14:textId="20FB4F73" w:rsidR="004970C3" w:rsidRDefault="004F2226">
            <w:pPr>
              <w:jc w:val="left"/>
              <w:rPr>
                <w:rFonts w:ascii="Times New Roman" w:eastAsia="宋体" w:hAnsi="Times New Roman" w:cs="Times New Roman"/>
                <w:sz w:val="24"/>
                <w:szCs w:val="28"/>
              </w:rPr>
            </w:pPr>
            <w:r w:rsidRPr="00961EED">
              <w:rPr>
                <w:rFonts w:ascii="Times New Roman" w:eastAsia="宋体" w:hAnsi="Times New Roman" w:cs="Times New Roman" w:hint="eastAsia"/>
                <w:sz w:val="24"/>
                <w:szCs w:val="28"/>
              </w:rPr>
              <w:t>天风证券、财通证券、广发证券、长江证券、华创证券、东方财富证券、国投证券、国联民生证券、华鑫证券、国金证券、国海证券、方正证券、华安基金、</w:t>
            </w:r>
            <w:proofErr w:type="gramStart"/>
            <w:r w:rsidRPr="00961EED">
              <w:rPr>
                <w:rFonts w:ascii="Times New Roman" w:eastAsia="宋体" w:hAnsi="Times New Roman" w:cs="Times New Roman" w:hint="eastAsia"/>
                <w:sz w:val="24"/>
                <w:szCs w:val="28"/>
              </w:rPr>
              <w:t>工银瑞信</w:t>
            </w:r>
            <w:proofErr w:type="gramEnd"/>
            <w:r w:rsidRPr="00961EED">
              <w:rPr>
                <w:rFonts w:ascii="Times New Roman" w:eastAsia="宋体" w:hAnsi="Times New Roman" w:cs="Times New Roman" w:hint="eastAsia"/>
                <w:sz w:val="24"/>
                <w:szCs w:val="28"/>
              </w:rPr>
              <w:t xml:space="preserve"> </w:t>
            </w:r>
            <w:r w:rsidRPr="00961EED">
              <w:rPr>
                <w:rFonts w:ascii="Times New Roman" w:eastAsia="宋体" w:hAnsi="Times New Roman" w:cs="Times New Roman" w:hint="eastAsia"/>
                <w:sz w:val="24"/>
                <w:szCs w:val="28"/>
              </w:rPr>
              <w:t>、</w:t>
            </w:r>
            <w:proofErr w:type="gramStart"/>
            <w:r w:rsidRPr="00961EED">
              <w:rPr>
                <w:rFonts w:ascii="Times New Roman" w:eastAsia="宋体" w:hAnsi="Times New Roman" w:cs="Times New Roman" w:hint="eastAsia"/>
                <w:sz w:val="24"/>
                <w:szCs w:val="28"/>
              </w:rPr>
              <w:t>浦银安</w:t>
            </w:r>
            <w:proofErr w:type="gramEnd"/>
            <w:r w:rsidRPr="00961EED">
              <w:rPr>
                <w:rFonts w:ascii="Times New Roman" w:eastAsia="宋体" w:hAnsi="Times New Roman" w:cs="Times New Roman" w:hint="eastAsia"/>
                <w:sz w:val="24"/>
                <w:szCs w:val="28"/>
              </w:rPr>
              <w:t>盛、安信基金、国泰基金、国泰君</w:t>
            </w:r>
            <w:proofErr w:type="gramStart"/>
            <w:r w:rsidRPr="00961EED">
              <w:rPr>
                <w:rFonts w:ascii="Times New Roman" w:eastAsia="宋体" w:hAnsi="Times New Roman" w:cs="Times New Roman" w:hint="eastAsia"/>
                <w:sz w:val="24"/>
                <w:szCs w:val="28"/>
              </w:rPr>
              <w:t>安资管</w:t>
            </w:r>
            <w:proofErr w:type="gramEnd"/>
            <w:r w:rsidRPr="00961EED">
              <w:rPr>
                <w:rFonts w:ascii="Times New Roman" w:eastAsia="宋体" w:hAnsi="Times New Roman" w:cs="Times New Roman" w:hint="eastAsia"/>
                <w:sz w:val="24"/>
                <w:szCs w:val="28"/>
              </w:rPr>
              <w:t>、兴银基金、野村证券资管、中广云、同犇投资、华富基金、万纳基金</w:t>
            </w:r>
            <w:r>
              <w:rPr>
                <w:rFonts w:ascii="Times New Roman" w:eastAsia="宋体" w:hAnsi="Times New Roman" w:cs="Times New Roman" w:hint="eastAsia"/>
                <w:sz w:val="24"/>
                <w:szCs w:val="28"/>
              </w:rPr>
              <w:t>、麦格理资本等机构及</w:t>
            </w:r>
            <w:r w:rsidR="00473CD0">
              <w:rPr>
                <w:rFonts w:ascii="Times New Roman" w:eastAsia="宋体" w:hAnsi="Times New Roman" w:cs="Times New Roman" w:hint="eastAsia"/>
                <w:sz w:val="24"/>
                <w:szCs w:val="28"/>
              </w:rPr>
              <w:t>线上</w:t>
            </w:r>
            <w:r>
              <w:rPr>
                <w:rFonts w:ascii="Times New Roman" w:eastAsia="宋体" w:hAnsi="Times New Roman" w:cs="Times New Roman" w:hint="eastAsia"/>
                <w:sz w:val="24"/>
                <w:szCs w:val="28"/>
              </w:rPr>
              <w:t>投资者。</w:t>
            </w:r>
          </w:p>
        </w:tc>
      </w:tr>
      <w:tr w:rsidR="004970C3" w14:paraId="2066641E" w14:textId="77777777">
        <w:trPr>
          <w:trHeight w:val="630"/>
        </w:trPr>
        <w:tc>
          <w:tcPr>
            <w:tcW w:w="1526" w:type="dxa"/>
            <w:vAlign w:val="center"/>
          </w:tcPr>
          <w:p w14:paraId="4F5389E4" w14:textId="77777777" w:rsidR="004970C3" w:rsidRDefault="00000000">
            <w:pPr>
              <w:jc w:val="center"/>
              <w:rPr>
                <w:rFonts w:ascii="Times New Roman" w:eastAsia="宋体" w:hAnsi="Times New Roman" w:cs="Times New Roman"/>
                <w:sz w:val="24"/>
                <w:szCs w:val="28"/>
              </w:rPr>
            </w:pPr>
            <w:r>
              <w:rPr>
                <w:rFonts w:ascii="Times New Roman" w:eastAsia="宋体" w:hAnsi="Times New Roman" w:cs="Times New Roman"/>
                <w:sz w:val="24"/>
                <w:szCs w:val="28"/>
              </w:rPr>
              <w:t>活动时间</w:t>
            </w:r>
          </w:p>
        </w:tc>
        <w:tc>
          <w:tcPr>
            <w:tcW w:w="7513" w:type="dxa"/>
            <w:vAlign w:val="center"/>
          </w:tcPr>
          <w:p w14:paraId="52DDC1F3" w14:textId="587F3DC7" w:rsidR="004970C3" w:rsidRDefault="00000000">
            <w:pPr>
              <w:jc w:val="left"/>
              <w:rPr>
                <w:rFonts w:ascii="Times New Roman" w:eastAsia="宋体" w:hAnsi="Times New Roman" w:cs="Times New Roman"/>
                <w:sz w:val="24"/>
                <w:szCs w:val="28"/>
              </w:rPr>
            </w:pPr>
            <w:r>
              <w:rPr>
                <w:rFonts w:ascii="Times New Roman" w:eastAsia="宋体" w:hAnsi="Times New Roman" w:cs="Times New Roman"/>
                <w:sz w:val="24"/>
                <w:szCs w:val="28"/>
              </w:rPr>
              <w:t>202</w:t>
            </w:r>
            <w:r>
              <w:rPr>
                <w:rFonts w:ascii="Times New Roman" w:eastAsia="宋体" w:hAnsi="Times New Roman" w:cs="Times New Roman" w:hint="eastAsia"/>
                <w:sz w:val="24"/>
                <w:szCs w:val="28"/>
              </w:rPr>
              <w:t>5</w:t>
            </w:r>
            <w:r>
              <w:rPr>
                <w:rFonts w:ascii="Times New Roman" w:eastAsia="宋体" w:hAnsi="Times New Roman" w:cs="Times New Roman"/>
                <w:sz w:val="24"/>
                <w:szCs w:val="28"/>
              </w:rPr>
              <w:t>年</w:t>
            </w:r>
            <w:r>
              <w:rPr>
                <w:rFonts w:ascii="Times New Roman" w:eastAsia="宋体" w:hAnsi="Times New Roman" w:cs="Times New Roman" w:hint="eastAsia"/>
                <w:sz w:val="24"/>
                <w:szCs w:val="28"/>
              </w:rPr>
              <w:t>5</w:t>
            </w:r>
            <w:r>
              <w:rPr>
                <w:rFonts w:ascii="Times New Roman" w:eastAsia="宋体" w:hAnsi="Times New Roman" w:cs="Times New Roman"/>
                <w:sz w:val="24"/>
                <w:szCs w:val="28"/>
              </w:rPr>
              <w:t>月</w:t>
            </w:r>
            <w:r>
              <w:rPr>
                <w:rFonts w:ascii="Times New Roman" w:eastAsia="宋体" w:hAnsi="Times New Roman" w:cs="Times New Roman" w:hint="eastAsia"/>
                <w:sz w:val="24"/>
                <w:szCs w:val="28"/>
              </w:rPr>
              <w:t>6</w:t>
            </w:r>
            <w:r>
              <w:rPr>
                <w:rFonts w:ascii="Times New Roman" w:eastAsia="宋体" w:hAnsi="Times New Roman" w:cs="Times New Roman"/>
                <w:sz w:val="24"/>
                <w:szCs w:val="28"/>
              </w:rPr>
              <w:t>日</w:t>
            </w:r>
            <w:r>
              <w:rPr>
                <w:rFonts w:ascii="Times New Roman" w:eastAsia="宋体" w:hAnsi="Times New Roman" w:cs="Times New Roman" w:hint="eastAsia"/>
                <w:sz w:val="24"/>
                <w:szCs w:val="28"/>
              </w:rPr>
              <w:t>-</w:t>
            </w:r>
            <w:r>
              <w:rPr>
                <w:rFonts w:ascii="Times New Roman" w:eastAsia="宋体" w:hAnsi="Times New Roman" w:cs="Times New Roman"/>
                <w:sz w:val="24"/>
                <w:szCs w:val="28"/>
              </w:rPr>
              <w:t>202</w:t>
            </w:r>
            <w:r>
              <w:rPr>
                <w:rFonts w:ascii="Times New Roman" w:eastAsia="宋体" w:hAnsi="Times New Roman" w:cs="Times New Roman" w:hint="eastAsia"/>
                <w:sz w:val="24"/>
                <w:szCs w:val="28"/>
              </w:rPr>
              <w:t>5</w:t>
            </w:r>
            <w:r>
              <w:rPr>
                <w:rFonts w:ascii="Times New Roman" w:eastAsia="宋体" w:hAnsi="Times New Roman" w:cs="Times New Roman" w:hint="eastAsia"/>
                <w:sz w:val="24"/>
                <w:szCs w:val="28"/>
              </w:rPr>
              <w:t>年</w:t>
            </w:r>
            <w:r>
              <w:rPr>
                <w:rFonts w:ascii="Times New Roman" w:eastAsia="宋体" w:hAnsi="Times New Roman" w:cs="Times New Roman" w:hint="eastAsia"/>
                <w:sz w:val="24"/>
                <w:szCs w:val="28"/>
              </w:rPr>
              <w:t>5</w:t>
            </w:r>
            <w:r>
              <w:rPr>
                <w:rFonts w:ascii="Times New Roman" w:eastAsia="宋体" w:hAnsi="Times New Roman" w:cs="Times New Roman" w:hint="eastAsia"/>
                <w:sz w:val="24"/>
                <w:szCs w:val="28"/>
              </w:rPr>
              <w:t>月</w:t>
            </w:r>
            <w:r w:rsidR="008717C7">
              <w:rPr>
                <w:rFonts w:ascii="Times New Roman" w:eastAsia="宋体" w:hAnsi="Times New Roman" w:cs="Times New Roman" w:hint="eastAsia"/>
                <w:sz w:val="24"/>
                <w:szCs w:val="28"/>
              </w:rPr>
              <w:t>2</w:t>
            </w:r>
            <w:r w:rsidR="005E750C">
              <w:rPr>
                <w:rFonts w:ascii="Times New Roman" w:eastAsia="宋体" w:hAnsi="Times New Roman" w:cs="Times New Roman" w:hint="eastAsia"/>
                <w:sz w:val="24"/>
                <w:szCs w:val="28"/>
              </w:rPr>
              <w:t>1</w:t>
            </w:r>
            <w:r>
              <w:rPr>
                <w:rFonts w:ascii="Times New Roman" w:eastAsia="宋体" w:hAnsi="Times New Roman" w:cs="Times New Roman" w:hint="eastAsia"/>
                <w:sz w:val="24"/>
                <w:szCs w:val="28"/>
              </w:rPr>
              <w:t>日</w:t>
            </w:r>
          </w:p>
        </w:tc>
      </w:tr>
      <w:tr w:rsidR="004970C3" w14:paraId="6BB3194B" w14:textId="77777777">
        <w:trPr>
          <w:trHeight w:val="841"/>
        </w:trPr>
        <w:tc>
          <w:tcPr>
            <w:tcW w:w="1526" w:type="dxa"/>
            <w:vAlign w:val="center"/>
          </w:tcPr>
          <w:p w14:paraId="131B8866" w14:textId="77777777" w:rsidR="004970C3" w:rsidRDefault="00000000">
            <w:pPr>
              <w:jc w:val="center"/>
              <w:rPr>
                <w:rFonts w:ascii="Times New Roman" w:eastAsia="宋体" w:hAnsi="Times New Roman" w:cs="Times New Roman"/>
                <w:sz w:val="24"/>
                <w:szCs w:val="28"/>
              </w:rPr>
            </w:pPr>
            <w:r>
              <w:rPr>
                <w:rFonts w:ascii="Times New Roman" w:eastAsia="宋体" w:hAnsi="Times New Roman" w:cs="Times New Roman"/>
                <w:sz w:val="24"/>
                <w:szCs w:val="28"/>
              </w:rPr>
              <w:t>活动地点</w:t>
            </w:r>
          </w:p>
        </w:tc>
        <w:tc>
          <w:tcPr>
            <w:tcW w:w="7513" w:type="dxa"/>
            <w:vAlign w:val="center"/>
          </w:tcPr>
          <w:p w14:paraId="224C7F0F" w14:textId="77777777" w:rsidR="004970C3" w:rsidRDefault="00000000">
            <w:pPr>
              <w:jc w:val="left"/>
              <w:rPr>
                <w:rFonts w:ascii="Times New Roman" w:eastAsia="宋体" w:hAnsi="Times New Roman" w:cs="Times New Roman"/>
                <w:sz w:val="24"/>
                <w:szCs w:val="28"/>
              </w:rPr>
            </w:pPr>
            <w:r>
              <w:rPr>
                <w:rFonts w:ascii="Times New Roman" w:eastAsia="宋体" w:hAnsi="Times New Roman" w:cs="Times New Roman" w:hint="eastAsia"/>
                <w:sz w:val="24"/>
                <w:szCs w:val="28"/>
              </w:rPr>
              <w:t>公司会议室</w:t>
            </w:r>
          </w:p>
        </w:tc>
      </w:tr>
      <w:tr w:rsidR="004970C3" w14:paraId="78152E7D" w14:textId="77777777">
        <w:trPr>
          <w:trHeight w:val="1750"/>
        </w:trPr>
        <w:tc>
          <w:tcPr>
            <w:tcW w:w="1526" w:type="dxa"/>
            <w:vAlign w:val="center"/>
          </w:tcPr>
          <w:p w14:paraId="50DE50F3" w14:textId="77777777" w:rsidR="004970C3" w:rsidRDefault="00000000">
            <w:pPr>
              <w:jc w:val="center"/>
              <w:rPr>
                <w:rFonts w:ascii="Times New Roman" w:eastAsia="宋体" w:hAnsi="Times New Roman" w:cs="Times New Roman"/>
                <w:sz w:val="24"/>
                <w:szCs w:val="28"/>
              </w:rPr>
            </w:pPr>
            <w:r>
              <w:rPr>
                <w:rFonts w:ascii="Times New Roman" w:eastAsia="宋体" w:hAnsi="Times New Roman" w:cs="Times New Roman"/>
                <w:sz w:val="24"/>
                <w:szCs w:val="28"/>
              </w:rPr>
              <w:t>上市公司</w:t>
            </w:r>
          </w:p>
          <w:p w14:paraId="7BD45A1B" w14:textId="77777777" w:rsidR="004970C3" w:rsidRDefault="00000000">
            <w:pPr>
              <w:jc w:val="center"/>
              <w:rPr>
                <w:rFonts w:ascii="Times New Roman" w:eastAsia="宋体" w:hAnsi="Times New Roman" w:cs="Times New Roman"/>
                <w:sz w:val="24"/>
                <w:szCs w:val="28"/>
              </w:rPr>
            </w:pPr>
            <w:r>
              <w:rPr>
                <w:rFonts w:ascii="Times New Roman" w:eastAsia="宋体" w:hAnsi="Times New Roman" w:cs="Times New Roman"/>
                <w:sz w:val="24"/>
                <w:szCs w:val="28"/>
              </w:rPr>
              <w:t>接待人员</w:t>
            </w:r>
          </w:p>
        </w:tc>
        <w:tc>
          <w:tcPr>
            <w:tcW w:w="7513" w:type="dxa"/>
            <w:vAlign w:val="center"/>
          </w:tcPr>
          <w:p w14:paraId="1C91CA3A" w14:textId="77777777" w:rsidR="004970C3" w:rsidRDefault="00000000">
            <w:pPr>
              <w:spacing w:line="360" w:lineRule="auto"/>
              <w:jc w:val="left"/>
              <w:rPr>
                <w:rFonts w:ascii="Times New Roman" w:eastAsia="宋体" w:hAnsi="Times New Roman" w:cs="Times New Roman"/>
                <w:sz w:val="24"/>
                <w:szCs w:val="28"/>
              </w:rPr>
            </w:pPr>
            <w:r>
              <w:rPr>
                <w:rFonts w:ascii="Times New Roman" w:eastAsia="宋体" w:hAnsi="Times New Roman" w:cs="Times New Roman" w:hint="eastAsia"/>
                <w:sz w:val="24"/>
                <w:szCs w:val="28"/>
              </w:rPr>
              <w:t>董事长：张华君</w:t>
            </w:r>
          </w:p>
          <w:p w14:paraId="6934A568" w14:textId="77777777" w:rsidR="004970C3" w:rsidRDefault="00000000">
            <w:pPr>
              <w:spacing w:line="360" w:lineRule="auto"/>
              <w:jc w:val="left"/>
              <w:rPr>
                <w:rFonts w:ascii="Times New Roman" w:eastAsia="宋体" w:hAnsi="Times New Roman" w:cs="Times New Roman"/>
                <w:sz w:val="24"/>
                <w:szCs w:val="28"/>
              </w:rPr>
            </w:pPr>
            <w:r>
              <w:rPr>
                <w:rFonts w:ascii="Times New Roman" w:eastAsia="宋体" w:hAnsi="Times New Roman" w:cs="Times New Roman" w:hint="eastAsia"/>
                <w:sz w:val="24"/>
                <w:szCs w:val="28"/>
              </w:rPr>
              <w:t>独立董事：张</w:t>
            </w:r>
            <w:proofErr w:type="gramStart"/>
            <w:r>
              <w:rPr>
                <w:rFonts w:ascii="Times New Roman" w:eastAsia="宋体" w:hAnsi="Times New Roman" w:cs="Times New Roman" w:hint="eastAsia"/>
                <w:sz w:val="24"/>
                <w:szCs w:val="28"/>
              </w:rPr>
              <w:t>世</w:t>
            </w:r>
            <w:proofErr w:type="gramEnd"/>
            <w:r>
              <w:rPr>
                <w:rFonts w:ascii="Times New Roman" w:eastAsia="宋体" w:hAnsi="Times New Roman" w:cs="Times New Roman" w:hint="eastAsia"/>
                <w:sz w:val="24"/>
                <w:szCs w:val="28"/>
              </w:rPr>
              <w:t>兴</w:t>
            </w:r>
          </w:p>
          <w:p w14:paraId="2007D5D5" w14:textId="77777777" w:rsidR="004970C3" w:rsidRDefault="00000000">
            <w:pPr>
              <w:spacing w:line="360" w:lineRule="auto"/>
              <w:jc w:val="left"/>
              <w:rPr>
                <w:rFonts w:ascii="Times New Roman" w:eastAsia="宋体" w:hAnsi="Times New Roman" w:cs="Times New Roman"/>
                <w:sz w:val="24"/>
                <w:szCs w:val="28"/>
              </w:rPr>
            </w:pPr>
            <w:r>
              <w:rPr>
                <w:rFonts w:ascii="Times New Roman" w:eastAsia="宋体" w:hAnsi="Times New Roman" w:cs="Times New Roman" w:hint="eastAsia"/>
                <w:sz w:val="24"/>
                <w:szCs w:val="28"/>
              </w:rPr>
              <w:t>财务总监兼</w:t>
            </w:r>
            <w:r>
              <w:rPr>
                <w:rFonts w:ascii="Times New Roman" w:eastAsia="宋体" w:hAnsi="Times New Roman" w:cs="Times New Roman"/>
                <w:sz w:val="24"/>
                <w:szCs w:val="28"/>
              </w:rPr>
              <w:t>董事会秘书：</w:t>
            </w:r>
            <w:r>
              <w:rPr>
                <w:rFonts w:ascii="Times New Roman" w:eastAsia="宋体" w:hAnsi="Times New Roman" w:cs="Times New Roman" w:hint="eastAsia"/>
                <w:sz w:val="24"/>
                <w:szCs w:val="28"/>
              </w:rPr>
              <w:t>张韦</w:t>
            </w:r>
          </w:p>
          <w:p w14:paraId="67A32026" w14:textId="77777777" w:rsidR="004970C3" w:rsidRDefault="00000000">
            <w:pPr>
              <w:spacing w:line="360" w:lineRule="auto"/>
              <w:jc w:val="left"/>
              <w:rPr>
                <w:rFonts w:ascii="Times New Roman" w:eastAsia="宋体" w:hAnsi="Times New Roman" w:cs="Times New Roman"/>
                <w:sz w:val="24"/>
                <w:szCs w:val="28"/>
              </w:rPr>
            </w:pPr>
            <w:r>
              <w:rPr>
                <w:rFonts w:ascii="Times New Roman" w:eastAsia="宋体" w:hAnsi="Times New Roman" w:cs="Times New Roman" w:hint="eastAsia"/>
                <w:sz w:val="24"/>
                <w:szCs w:val="28"/>
              </w:rPr>
              <w:t>投资者关系总监：张莎琳</w:t>
            </w:r>
          </w:p>
        </w:tc>
      </w:tr>
      <w:tr w:rsidR="004970C3" w14:paraId="083E4A42" w14:textId="77777777">
        <w:trPr>
          <w:trHeight w:val="981"/>
        </w:trPr>
        <w:tc>
          <w:tcPr>
            <w:tcW w:w="1526" w:type="dxa"/>
            <w:vAlign w:val="center"/>
          </w:tcPr>
          <w:p w14:paraId="5FA565B2" w14:textId="77777777" w:rsidR="004970C3" w:rsidRDefault="00000000">
            <w:pPr>
              <w:jc w:val="center"/>
              <w:rPr>
                <w:rFonts w:ascii="Times New Roman" w:eastAsia="宋体" w:hAnsi="Times New Roman" w:cs="Times New Roman"/>
                <w:sz w:val="24"/>
                <w:szCs w:val="28"/>
              </w:rPr>
            </w:pPr>
            <w:r>
              <w:rPr>
                <w:rFonts w:ascii="Times New Roman" w:eastAsia="宋体" w:hAnsi="Times New Roman" w:cs="Times New Roman"/>
                <w:sz w:val="24"/>
                <w:szCs w:val="28"/>
              </w:rPr>
              <w:t>投资者关系活动主要</w:t>
            </w:r>
          </w:p>
          <w:p w14:paraId="673B5A45" w14:textId="77777777" w:rsidR="004970C3" w:rsidRDefault="00000000">
            <w:pPr>
              <w:jc w:val="center"/>
              <w:rPr>
                <w:rFonts w:ascii="Times New Roman" w:eastAsia="宋体" w:hAnsi="Times New Roman" w:cs="Times New Roman"/>
                <w:sz w:val="24"/>
                <w:szCs w:val="28"/>
              </w:rPr>
            </w:pPr>
            <w:r>
              <w:rPr>
                <w:rFonts w:ascii="Times New Roman" w:eastAsia="宋体" w:hAnsi="Times New Roman" w:cs="Times New Roman"/>
                <w:sz w:val="24"/>
                <w:szCs w:val="28"/>
              </w:rPr>
              <w:t>内容</w:t>
            </w:r>
          </w:p>
        </w:tc>
        <w:tc>
          <w:tcPr>
            <w:tcW w:w="7513" w:type="dxa"/>
            <w:vAlign w:val="center"/>
          </w:tcPr>
          <w:p w14:paraId="6B02E587" w14:textId="77777777" w:rsidR="004970C3" w:rsidRDefault="00000000">
            <w:pPr>
              <w:spacing w:line="360" w:lineRule="auto"/>
              <w:rPr>
                <w:rFonts w:ascii="宋体" w:eastAsia="宋体" w:hAnsi="宋体" w:cs="宋体" w:hint="eastAsia"/>
                <w:b/>
                <w:bCs/>
                <w:sz w:val="24"/>
                <w:szCs w:val="24"/>
              </w:rPr>
            </w:pPr>
            <w:r>
              <w:rPr>
                <w:rFonts w:ascii="宋体" w:eastAsia="宋体" w:hAnsi="宋体" w:cs="宋体" w:hint="eastAsia"/>
                <w:b/>
                <w:bCs/>
                <w:sz w:val="24"/>
                <w:szCs w:val="24"/>
              </w:rPr>
              <w:t>一、经营简述</w:t>
            </w:r>
          </w:p>
          <w:p w14:paraId="692C4B6D" w14:textId="77777777" w:rsidR="004970C3" w:rsidRDefault="00000000">
            <w:pPr>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2024年在消费恢复弱于预期的背景下，公司营业收入和</w:t>
            </w:r>
            <w:proofErr w:type="gramStart"/>
            <w:r>
              <w:rPr>
                <w:rFonts w:ascii="宋体" w:eastAsia="宋体" w:hAnsi="宋体" w:cs="宋体" w:hint="eastAsia"/>
                <w:sz w:val="24"/>
                <w:szCs w:val="24"/>
              </w:rPr>
              <w:t>归母净利润</w:t>
            </w:r>
            <w:proofErr w:type="gramEnd"/>
            <w:r>
              <w:rPr>
                <w:rFonts w:ascii="宋体" w:eastAsia="宋体" w:hAnsi="宋体" w:cs="宋体" w:hint="eastAsia"/>
                <w:sz w:val="24"/>
                <w:szCs w:val="24"/>
              </w:rPr>
              <w:t>均实现双位数增长。2024年全年，公司实现营业收入4.05亿元，同比增长12.59%；</w:t>
            </w:r>
            <w:proofErr w:type="gramStart"/>
            <w:r>
              <w:rPr>
                <w:rFonts w:ascii="宋体" w:eastAsia="宋体" w:hAnsi="宋体" w:cs="宋体" w:hint="eastAsia"/>
                <w:sz w:val="24"/>
                <w:szCs w:val="24"/>
              </w:rPr>
              <w:t>归母净利润</w:t>
            </w:r>
            <w:proofErr w:type="gramEnd"/>
            <w:r>
              <w:rPr>
                <w:rFonts w:ascii="宋体" w:eastAsia="宋体" w:hAnsi="宋体" w:cs="宋体" w:hint="eastAsia"/>
                <w:sz w:val="24"/>
                <w:szCs w:val="24"/>
              </w:rPr>
              <w:t>6,386万元，同比增长13.16%；扣除非经常性损益后</w:t>
            </w:r>
            <w:proofErr w:type="gramStart"/>
            <w:r>
              <w:rPr>
                <w:rFonts w:ascii="宋体" w:eastAsia="宋体" w:hAnsi="宋体" w:cs="宋体" w:hint="eastAsia"/>
                <w:sz w:val="24"/>
                <w:szCs w:val="24"/>
              </w:rPr>
              <w:t>归母净利润</w:t>
            </w:r>
            <w:proofErr w:type="gramEnd"/>
            <w:r>
              <w:rPr>
                <w:rFonts w:ascii="宋体" w:eastAsia="宋体" w:hAnsi="宋体" w:cs="宋体" w:hint="eastAsia"/>
                <w:sz w:val="24"/>
                <w:szCs w:val="24"/>
              </w:rPr>
              <w:t>5,537万元，同比增长5.59%。经营活动产生的现金流量净额8,653万元，同比增长23.71%。公司以市场需求为导向，持续挖掘、开拓潜力客户，加强产品研发力度，近三年开发的新品销售占比超过50%。分渠道来看，餐饮连锁渠道实现收入2亿元，同比增长22.24%；食品加工渠道实现收入1.4亿元，同比增长</w:t>
            </w:r>
            <w:r>
              <w:rPr>
                <w:rFonts w:ascii="宋体" w:eastAsia="宋体" w:hAnsi="宋体" w:cs="宋体" w:hint="eastAsia"/>
                <w:sz w:val="24"/>
                <w:szCs w:val="24"/>
              </w:rPr>
              <w:lastRenderedPageBreak/>
              <w:t>3.96%；品牌定制渠道实现收入0.52亿元，同比增长15.08%。</w:t>
            </w:r>
          </w:p>
          <w:p w14:paraId="072AC11A" w14:textId="77777777" w:rsidR="004970C3" w:rsidRDefault="00000000">
            <w:pPr>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2025年一季度，在外部环境弱复苏的背景下，公司继续保持战略定力，全面深化提质增效，实现了主营业务的平稳发展。一季度，公司实现营业收入1.01亿元，同比增长10.50%；</w:t>
            </w:r>
            <w:proofErr w:type="gramStart"/>
            <w:r>
              <w:rPr>
                <w:rFonts w:ascii="宋体" w:eastAsia="宋体" w:hAnsi="宋体" w:cs="宋体" w:hint="eastAsia"/>
                <w:sz w:val="24"/>
                <w:szCs w:val="24"/>
              </w:rPr>
              <w:t>归母净利润</w:t>
            </w:r>
            <w:proofErr w:type="gramEnd"/>
            <w:r>
              <w:rPr>
                <w:rFonts w:ascii="宋体" w:eastAsia="宋体" w:hAnsi="宋体" w:cs="宋体" w:hint="eastAsia"/>
                <w:sz w:val="24"/>
                <w:szCs w:val="24"/>
              </w:rPr>
              <w:t>1,766万元，同比增长36.86%；扣除非经常性损益后</w:t>
            </w:r>
            <w:proofErr w:type="gramStart"/>
            <w:r>
              <w:rPr>
                <w:rFonts w:ascii="宋体" w:eastAsia="宋体" w:hAnsi="宋体" w:cs="宋体" w:hint="eastAsia"/>
                <w:sz w:val="24"/>
                <w:szCs w:val="24"/>
              </w:rPr>
              <w:t>归母净利润</w:t>
            </w:r>
            <w:proofErr w:type="gramEnd"/>
            <w:r>
              <w:rPr>
                <w:rFonts w:ascii="宋体" w:eastAsia="宋体" w:hAnsi="宋体" w:cs="宋体" w:hint="eastAsia"/>
                <w:sz w:val="24"/>
                <w:szCs w:val="24"/>
              </w:rPr>
              <w:t>1,757万元，同比增长44.87%，主要系公司产品销售持续增长，产品结构进一步优化及费用管控所致。分渠道来看，餐饮连锁渠道实现收入4,718万元，同比增长9.94%；食品加工渠道实现收入3,245万元，同比增长7.44%；品牌定制渠道实现收入1,967万元，同比增长36.92%。</w:t>
            </w:r>
          </w:p>
          <w:p w14:paraId="0E3EC1EA" w14:textId="77777777" w:rsidR="004970C3" w:rsidRDefault="00000000">
            <w:pPr>
              <w:spacing w:line="360" w:lineRule="auto"/>
              <w:rPr>
                <w:rFonts w:ascii="宋体" w:eastAsia="宋体" w:hAnsi="宋体" w:cs="宋体" w:hint="eastAsia"/>
                <w:b/>
                <w:bCs/>
                <w:sz w:val="24"/>
                <w:szCs w:val="24"/>
              </w:rPr>
            </w:pPr>
            <w:r>
              <w:rPr>
                <w:rFonts w:ascii="宋体" w:eastAsia="宋体" w:hAnsi="宋体" w:cs="宋体" w:hint="eastAsia"/>
                <w:b/>
                <w:bCs/>
                <w:sz w:val="24"/>
                <w:szCs w:val="24"/>
              </w:rPr>
              <w:t>二、投资者提问环节</w:t>
            </w:r>
          </w:p>
          <w:p w14:paraId="18A1DBB8" w14:textId="77777777" w:rsidR="004970C3" w:rsidRDefault="00000000">
            <w:pPr>
              <w:spacing w:line="360" w:lineRule="auto"/>
              <w:ind w:firstLineChars="200" w:firstLine="482"/>
              <w:rPr>
                <w:rFonts w:ascii="宋体" w:eastAsia="宋体" w:hAnsi="宋体" w:cs="宋体" w:hint="eastAsia"/>
                <w:b/>
                <w:bCs/>
                <w:sz w:val="24"/>
                <w:szCs w:val="24"/>
              </w:rPr>
            </w:pPr>
            <w:r>
              <w:rPr>
                <w:rFonts w:ascii="宋体" w:eastAsia="宋体" w:hAnsi="宋体" w:cs="宋体" w:hint="eastAsia"/>
                <w:b/>
                <w:bCs/>
                <w:sz w:val="24"/>
                <w:szCs w:val="24"/>
              </w:rPr>
              <w:t>1、公司如何应对外部环境和餐饮市场的变化？</w:t>
            </w:r>
          </w:p>
          <w:p w14:paraId="7098B61E" w14:textId="1AFC4F21" w:rsidR="004970C3" w:rsidRDefault="00000000">
            <w:pPr>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近两年来，消费市场整体呈现出疲软态势，其中餐饮行业的低迷尤为突出，这一状况超出了多数人的预期。与传统调味品企业单纯销售产品模式不同，我们是一家向客户提供产品解决方案的复合调味品企业，我们的核心不仅仅是销售产品，而是围绕客户需求，提供定制化的产品解决方案。 面对当前充满不确定性的市场环境，我们坚持通过深度挖掘客户需求，在进行充分市场调研的基础上，提供创新且符合市场需求的产品解决方案，以此为客户创造价值。这一增长策略的核心在于能够不断地为客户提供创新产品。正因如此，公司2024年、2025年一季度经营业绩均实现了稳健增长。</w:t>
            </w:r>
          </w:p>
          <w:p w14:paraId="74BF6368" w14:textId="77777777" w:rsidR="004970C3" w:rsidRDefault="00000000">
            <w:pPr>
              <w:spacing w:line="360" w:lineRule="auto"/>
              <w:ind w:firstLineChars="200" w:firstLine="482"/>
              <w:rPr>
                <w:rFonts w:ascii="宋体" w:eastAsia="宋体" w:hAnsi="宋体" w:cs="宋体" w:hint="eastAsia"/>
                <w:b/>
                <w:bCs/>
                <w:sz w:val="24"/>
                <w:szCs w:val="24"/>
              </w:rPr>
            </w:pPr>
            <w:r>
              <w:rPr>
                <w:rFonts w:ascii="宋体" w:eastAsia="宋体" w:hAnsi="宋体" w:cs="宋体" w:hint="eastAsia"/>
                <w:b/>
                <w:bCs/>
                <w:sz w:val="24"/>
                <w:szCs w:val="24"/>
              </w:rPr>
              <w:t>2、公司如何看待毛利率的波动？</w:t>
            </w:r>
          </w:p>
          <w:p w14:paraId="496C9790" w14:textId="1F30961D" w:rsidR="004970C3" w:rsidRDefault="00000000">
            <w:pPr>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公司毛利率有所波动，主要是受产品结构变化所致。不同渠道、不同产品的毛利率各不相同，公司的整体毛利率是不同渠道、不同产品的毛利率加权平均的结果。因此，不同的产品结构会对毛利率产生影响。</w:t>
            </w:r>
            <w:r w:rsidR="002665E4">
              <w:rPr>
                <w:rFonts w:ascii="宋体" w:eastAsia="宋体" w:hAnsi="宋体" w:cs="宋体" w:hint="eastAsia"/>
                <w:sz w:val="24"/>
                <w:szCs w:val="24"/>
              </w:rPr>
              <w:t>2024年</w:t>
            </w:r>
            <w:r w:rsidR="00B74FF5">
              <w:rPr>
                <w:rFonts w:ascii="宋体" w:eastAsia="宋体" w:hAnsi="宋体" w:cs="宋体" w:hint="eastAsia"/>
                <w:sz w:val="24"/>
                <w:szCs w:val="24"/>
              </w:rPr>
              <w:t>公司</w:t>
            </w:r>
            <w:r w:rsidR="002665E4">
              <w:rPr>
                <w:rFonts w:ascii="宋体" w:eastAsia="宋体" w:hAnsi="宋体" w:cs="宋体" w:hint="eastAsia"/>
                <w:sz w:val="24"/>
                <w:szCs w:val="24"/>
              </w:rPr>
              <w:t>毛利率总体保持稳定，主要得益于产品结构、原材料成本及费用管控的影响。</w:t>
            </w:r>
          </w:p>
          <w:p w14:paraId="6D558184" w14:textId="035D4152" w:rsidR="004970C3" w:rsidRDefault="00000000" w:rsidP="00265B9F">
            <w:pPr>
              <w:tabs>
                <w:tab w:val="left" w:pos="3438"/>
              </w:tabs>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我们始终关注毛利率的变化，但与之相比，我们更关注净利率的变化。我们的经营目标是在维持一个相对合理的毛利率水平的基础上，通过</w:t>
            </w:r>
            <w:r w:rsidR="00B74FF5">
              <w:rPr>
                <w:rFonts w:ascii="宋体" w:eastAsia="宋体" w:hAnsi="宋体" w:cs="宋体" w:hint="eastAsia"/>
                <w:sz w:val="24"/>
                <w:szCs w:val="24"/>
              </w:rPr>
              <w:t>营业收入</w:t>
            </w:r>
            <w:r>
              <w:rPr>
                <w:rFonts w:ascii="宋体" w:eastAsia="宋体" w:hAnsi="宋体" w:cs="宋体" w:hint="eastAsia"/>
                <w:sz w:val="24"/>
                <w:szCs w:val="24"/>
              </w:rPr>
              <w:t>的</w:t>
            </w:r>
            <w:r w:rsidR="00B74FF5">
              <w:rPr>
                <w:rFonts w:ascii="宋体" w:eastAsia="宋体" w:hAnsi="宋体" w:cs="宋体" w:hint="eastAsia"/>
                <w:sz w:val="24"/>
                <w:szCs w:val="24"/>
              </w:rPr>
              <w:t>不断</w:t>
            </w:r>
            <w:r>
              <w:rPr>
                <w:rFonts w:ascii="宋体" w:eastAsia="宋体" w:hAnsi="宋体" w:cs="宋体" w:hint="eastAsia"/>
                <w:sz w:val="24"/>
                <w:szCs w:val="24"/>
              </w:rPr>
              <w:t>增长，</w:t>
            </w:r>
            <w:r w:rsidR="002665E4">
              <w:rPr>
                <w:rFonts w:ascii="宋体" w:eastAsia="宋体" w:hAnsi="宋体" w:cs="宋体" w:hint="eastAsia"/>
                <w:sz w:val="24"/>
                <w:szCs w:val="24"/>
              </w:rPr>
              <w:t>优化成本</w:t>
            </w:r>
            <w:r>
              <w:rPr>
                <w:rFonts w:ascii="宋体" w:eastAsia="宋体" w:hAnsi="宋体" w:cs="宋体" w:hint="eastAsia"/>
                <w:sz w:val="24"/>
                <w:szCs w:val="24"/>
              </w:rPr>
              <w:t>费用</w:t>
            </w:r>
            <w:r w:rsidR="002665E4">
              <w:rPr>
                <w:rFonts w:ascii="宋体" w:eastAsia="宋体" w:hAnsi="宋体" w:cs="宋体" w:hint="eastAsia"/>
                <w:sz w:val="24"/>
                <w:szCs w:val="24"/>
              </w:rPr>
              <w:t>，</w:t>
            </w:r>
            <w:r w:rsidR="00B74FF5">
              <w:rPr>
                <w:rFonts w:ascii="宋体" w:eastAsia="宋体" w:hAnsi="宋体" w:cs="宋体" w:hint="eastAsia"/>
                <w:sz w:val="24"/>
                <w:szCs w:val="24"/>
              </w:rPr>
              <w:t>以</w:t>
            </w:r>
            <w:r w:rsidR="002665E4">
              <w:rPr>
                <w:rFonts w:ascii="宋体" w:eastAsia="宋体" w:hAnsi="宋体" w:cs="宋体" w:hint="eastAsia"/>
                <w:sz w:val="24"/>
                <w:szCs w:val="24"/>
              </w:rPr>
              <w:t>提升</w:t>
            </w:r>
            <w:r>
              <w:rPr>
                <w:rFonts w:ascii="宋体" w:eastAsia="宋体" w:hAnsi="宋体" w:cs="宋体" w:hint="eastAsia"/>
                <w:sz w:val="24"/>
                <w:szCs w:val="24"/>
              </w:rPr>
              <w:t>净利率水平。</w:t>
            </w:r>
            <w:r w:rsidR="002665E4" w:rsidRPr="00265B9F">
              <w:rPr>
                <w:rFonts w:ascii="宋体" w:eastAsia="宋体" w:hAnsi="宋体" w:cs="宋体" w:hint="eastAsia"/>
                <w:sz w:val="24"/>
                <w:szCs w:val="24"/>
              </w:rPr>
              <w:lastRenderedPageBreak/>
              <w:t>2024年</w:t>
            </w:r>
            <w:r w:rsidR="00E80865">
              <w:rPr>
                <w:rFonts w:ascii="宋体" w:eastAsia="宋体" w:hAnsi="宋体" w:cs="宋体" w:hint="eastAsia"/>
                <w:sz w:val="24"/>
                <w:szCs w:val="24"/>
              </w:rPr>
              <w:t>及</w:t>
            </w:r>
            <w:r w:rsidR="002665E4" w:rsidRPr="00265B9F">
              <w:rPr>
                <w:rFonts w:ascii="宋体" w:eastAsia="宋体" w:hAnsi="宋体" w:cs="宋体" w:hint="eastAsia"/>
                <w:sz w:val="24"/>
                <w:szCs w:val="24"/>
              </w:rPr>
              <w:t>2025年一季度，公司净利率水平进一步提升。</w:t>
            </w:r>
          </w:p>
          <w:p w14:paraId="0456A529" w14:textId="5DDDBE9B" w:rsidR="004970C3" w:rsidRDefault="00000000">
            <w:pPr>
              <w:spacing w:line="360" w:lineRule="auto"/>
              <w:ind w:firstLineChars="200" w:firstLine="482"/>
              <w:rPr>
                <w:rFonts w:ascii="宋体" w:eastAsia="宋体" w:hAnsi="宋体" w:cs="宋体" w:hint="eastAsia"/>
                <w:b/>
                <w:bCs/>
                <w:sz w:val="24"/>
                <w:szCs w:val="24"/>
              </w:rPr>
            </w:pPr>
            <w:r>
              <w:rPr>
                <w:rFonts w:ascii="宋体" w:eastAsia="宋体" w:hAnsi="宋体" w:cs="宋体" w:hint="eastAsia"/>
                <w:b/>
                <w:bCs/>
                <w:sz w:val="24"/>
                <w:szCs w:val="24"/>
              </w:rPr>
              <w:t>3、公司2024年</w:t>
            </w:r>
            <w:r w:rsidR="00B74FF5">
              <w:rPr>
                <w:rFonts w:ascii="宋体" w:eastAsia="宋体" w:hAnsi="宋体" w:cs="宋体" w:hint="eastAsia"/>
                <w:b/>
                <w:bCs/>
                <w:sz w:val="24"/>
                <w:szCs w:val="24"/>
              </w:rPr>
              <w:t>及2025年一季度</w:t>
            </w:r>
            <w:r>
              <w:rPr>
                <w:rFonts w:ascii="宋体" w:eastAsia="宋体" w:hAnsi="宋体" w:cs="宋体" w:hint="eastAsia"/>
                <w:b/>
                <w:bCs/>
                <w:sz w:val="24"/>
                <w:szCs w:val="24"/>
              </w:rPr>
              <w:t>费用</w:t>
            </w:r>
            <w:r w:rsidR="00B74FF5">
              <w:rPr>
                <w:rFonts w:ascii="宋体" w:eastAsia="宋体" w:hAnsi="宋体" w:cs="宋体" w:hint="eastAsia"/>
                <w:b/>
                <w:bCs/>
                <w:sz w:val="24"/>
                <w:szCs w:val="24"/>
              </w:rPr>
              <w:t>控制情况</w:t>
            </w:r>
            <w:r>
              <w:rPr>
                <w:rFonts w:ascii="宋体" w:eastAsia="宋体" w:hAnsi="宋体" w:cs="宋体" w:hint="eastAsia"/>
                <w:b/>
                <w:bCs/>
                <w:sz w:val="24"/>
                <w:szCs w:val="24"/>
              </w:rPr>
              <w:t>？</w:t>
            </w:r>
          </w:p>
          <w:p w14:paraId="0B0AC148" w14:textId="3EBF9424" w:rsidR="004970C3" w:rsidRDefault="00000000">
            <w:pPr>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2024年，公司经营目标是“开源”和“节流”。一方面，</w:t>
            </w:r>
            <w:r w:rsidR="00B74FF5">
              <w:rPr>
                <w:rFonts w:ascii="宋体" w:eastAsia="宋体" w:hAnsi="宋体" w:cs="宋体" w:hint="eastAsia"/>
                <w:sz w:val="24"/>
                <w:szCs w:val="24"/>
              </w:rPr>
              <w:t>公司</w:t>
            </w:r>
            <w:r>
              <w:rPr>
                <w:rFonts w:ascii="宋体" w:eastAsia="宋体" w:hAnsi="宋体" w:cs="宋体" w:hint="eastAsia"/>
                <w:sz w:val="24"/>
                <w:szCs w:val="24"/>
              </w:rPr>
              <w:t>积极推动</w:t>
            </w:r>
            <w:r w:rsidR="00B74FF5">
              <w:rPr>
                <w:rFonts w:ascii="宋体" w:eastAsia="宋体" w:hAnsi="宋体" w:cs="宋体" w:hint="eastAsia"/>
                <w:sz w:val="24"/>
                <w:szCs w:val="24"/>
              </w:rPr>
              <w:t>业务</w:t>
            </w:r>
            <w:r>
              <w:rPr>
                <w:rFonts w:ascii="宋体" w:eastAsia="宋体" w:hAnsi="宋体" w:cs="宋体" w:hint="eastAsia"/>
                <w:sz w:val="24"/>
                <w:szCs w:val="24"/>
              </w:rPr>
              <w:t>增长，大力发展新客户、新产品；另一方面</w:t>
            </w:r>
            <w:r w:rsidR="00265B9F">
              <w:rPr>
                <w:rFonts w:ascii="宋体" w:eastAsia="宋体" w:hAnsi="宋体" w:cs="宋体" w:hint="eastAsia"/>
                <w:sz w:val="24"/>
                <w:szCs w:val="24"/>
              </w:rPr>
              <w:t>公司</w:t>
            </w:r>
            <w:r>
              <w:rPr>
                <w:rFonts w:ascii="宋体" w:eastAsia="宋体" w:hAnsi="宋体" w:cs="宋体" w:hint="eastAsia"/>
                <w:sz w:val="24"/>
                <w:szCs w:val="24"/>
              </w:rPr>
              <w:t>进行科学的费用管控。从2024年整年及2025年一季度的情况来看，公司各项费用的控制相对</w:t>
            </w:r>
            <w:r w:rsidR="00B74FF5">
              <w:rPr>
                <w:rFonts w:ascii="宋体" w:eastAsia="宋体" w:hAnsi="宋体" w:cs="宋体" w:hint="eastAsia"/>
                <w:sz w:val="24"/>
                <w:szCs w:val="24"/>
              </w:rPr>
              <w:t>合理</w:t>
            </w:r>
            <w:r>
              <w:rPr>
                <w:rFonts w:ascii="宋体" w:eastAsia="宋体" w:hAnsi="宋体" w:cs="宋体" w:hint="eastAsia"/>
                <w:sz w:val="24"/>
                <w:szCs w:val="24"/>
              </w:rPr>
              <w:t>，期间费用</w:t>
            </w:r>
            <w:r w:rsidR="00B74FF5">
              <w:rPr>
                <w:rFonts w:ascii="宋体" w:eastAsia="宋体" w:hAnsi="宋体" w:cs="宋体" w:hint="eastAsia"/>
                <w:sz w:val="24"/>
                <w:szCs w:val="24"/>
              </w:rPr>
              <w:t>率</w:t>
            </w:r>
            <w:r>
              <w:rPr>
                <w:rFonts w:ascii="宋体" w:eastAsia="宋体" w:hAnsi="宋体" w:cs="宋体" w:hint="eastAsia"/>
                <w:sz w:val="24"/>
                <w:szCs w:val="24"/>
              </w:rPr>
              <w:t>同比改善，未来随着</w:t>
            </w:r>
            <w:r w:rsidR="00B74FF5">
              <w:rPr>
                <w:rFonts w:ascii="宋体" w:eastAsia="宋体" w:hAnsi="宋体" w:cs="宋体" w:hint="eastAsia"/>
                <w:sz w:val="24"/>
                <w:szCs w:val="24"/>
              </w:rPr>
              <w:t>销售规模</w:t>
            </w:r>
            <w:r>
              <w:rPr>
                <w:rFonts w:ascii="宋体" w:eastAsia="宋体" w:hAnsi="宋体" w:cs="宋体" w:hint="eastAsia"/>
                <w:sz w:val="24"/>
                <w:szCs w:val="24"/>
              </w:rPr>
              <w:t>的增长，公司的整体</w:t>
            </w:r>
            <w:r w:rsidR="00B74FF5">
              <w:rPr>
                <w:rFonts w:ascii="宋体" w:eastAsia="宋体" w:hAnsi="宋体" w:cs="宋体" w:hint="eastAsia"/>
                <w:sz w:val="24"/>
                <w:szCs w:val="24"/>
              </w:rPr>
              <w:t>期间</w:t>
            </w:r>
            <w:r>
              <w:rPr>
                <w:rFonts w:ascii="宋体" w:eastAsia="宋体" w:hAnsi="宋体" w:cs="宋体" w:hint="eastAsia"/>
                <w:sz w:val="24"/>
                <w:szCs w:val="24"/>
              </w:rPr>
              <w:t>费用率将会进一步优化。</w:t>
            </w:r>
          </w:p>
          <w:p w14:paraId="60AE6609" w14:textId="77777777" w:rsidR="004970C3" w:rsidRDefault="00000000">
            <w:pPr>
              <w:spacing w:line="360" w:lineRule="auto"/>
              <w:ind w:firstLineChars="200" w:firstLine="482"/>
              <w:rPr>
                <w:rFonts w:ascii="宋体" w:eastAsia="宋体" w:hAnsi="宋体" w:cs="宋体" w:hint="eastAsia"/>
                <w:b/>
                <w:bCs/>
                <w:sz w:val="24"/>
                <w:szCs w:val="24"/>
              </w:rPr>
            </w:pPr>
            <w:r>
              <w:rPr>
                <w:rFonts w:ascii="宋体" w:eastAsia="宋体" w:hAnsi="宋体" w:cs="宋体" w:hint="eastAsia"/>
                <w:b/>
                <w:bCs/>
                <w:sz w:val="24"/>
                <w:szCs w:val="24"/>
              </w:rPr>
              <w:t>4、公司在新产品研发方面有何成果？</w:t>
            </w:r>
          </w:p>
          <w:p w14:paraId="6408D077" w14:textId="4AA53C54" w:rsidR="004970C3" w:rsidRPr="00961EED" w:rsidRDefault="00000000" w:rsidP="00961EED">
            <w:pPr>
              <w:spacing w:line="360" w:lineRule="auto"/>
              <w:ind w:firstLineChars="200" w:firstLine="480"/>
              <w:rPr>
                <w:rFonts w:ascii="宋体" w:eastAsia="宋体" w:hAnsi="宋体" w:cs="宋体" w:hint="eastAsia"/>
                <w:szCs w:val="24"/>
              </w:rPr>
            </w:pPr>
            <w:r>
              <w:rPr>
                <w:rFonts w:ascii="宋体" w:eastAsia="宋体" w:hAnsi="宋体" w:cs="宋体" w:hint="eastAsia"/>
                <w:sz w:val="24"/>
                <w:szCs w:val="24"/>
              </w:rPr>
              <w:t>2024年度，公司以市场需求为导向，持续加强产品研发力度，不断丰富产品品类，凭借强大的研发能力实现了以创新驱动的业绩</w:t>
            </w:r>
            <w:r w:rsidR="00EA173F">
              <w:rPr>
                <w:rFonts w:ascii="宋体" w:eastAsia="宋体" w:hAnsi="宋体" w:cs="宋体" w:hint="eastAsia"/>
                <w:sz w:val="24"/>
                <w:szCs w:val="24"/>
              </w:rPr>
              <w:t>增</w:t>
            </w:r>
            <w:r>
              <w:rPr>
                <w:rFonts w:ascii="宋体" w:eastAsia="宋体" w:hAnsi="宋体" w:cs="宋体" w:hint="eastAsia"/>
                <w:sz w:val="24"/>
                <w:szCs w:val="24"/>
              </w:rPr>
              <w:t>长。公司共销售两千多款产品，其中</w:t>
            </w:r>
            <w:bookmarkStart w:id="0" w:name="OLE_LINK1"/>
            <w:r>
              <w:rPr>
                <w:rFonts w:ascii="宋体" w:eastAsia="宋体" w:hAnsi="宋体" w:cs="宋体" w:hint="eastAsia"/>
                <w:sz w:val="24"/>
                <w:szCs w:val="24"/>
              </w:rPr>
              <w:t>近三年开发的新品销售占比超过50%。</w:t>
            </w:r>
            <w:bookmarkEnd w:id="0"/>
            <w:r>
              <w:rPr>
                <w:rFonts w:ascii="宋体" w:eastAsia="宋体" w:hAnsi="宋体" w:cs="宋体" w:hint="eastAsia"/>
                <w:sz w:val="24"/>
                <w:szCs w:val="24"/>
              </w:rPr>
              <w:t>公司在重点研发复合调味品的同时，</w:t>
            </w:r>
            <w:r w:rsidR="006A6199">
              <w:rPr>
                <w:rFonts w:ascii="宋体" w:eastAsia="宋体" w:hAnsi="宋体" w:cs="宋体" w:hint="eastAsia"/>
                <w:sz w:val="24"/>
                <w:szCs w:val="24"/>
              </w:rPr>
              <w:t>不断延伸产品品类</w:t>
            </w:r>
            <w:r>
              <w:rPr>
                <w:rFonts w:ascii="宋体" w:eastAsia="宋体" w:hAnsi="宋体" w:cs="宋体" w:hint="eastAsia"/>
                <w:sz w:val="24"/>
                <w:szCs w:val="24"/>
              </w:rPr>
              <w:t>，公司新</w:t>
            </w:r>
            <w:r w:rsidR="006A6199">
              <w:rPr>
                <w:rFonts w:ascii="宋体" w:eastAsia="宋体" w:hAnsi="宋体" w:cs="宋体" w:hint="eastAsia"/>
                <w:sz w:val="24"/>
                <w:szCs w:val="24"/>
              </w:rPr>
              <w:t>增</w:t>
            </w:r>
            <w:r>
              <w:rPr>
                <w:rFonts w:ascii="宋体" w:eastAsia="宋体" w:hAnsi="宋体" w:cs="宋体" w:hint="eastAsia"/>
                <w:sz w:val="24"/>
                <w:szCs w:val="24"/>
              </w:rPr>
              <w:t>了冷冻</w:t>
            </w:r>
            <w:r w:rsidR="006A6199">
              <w:rPr>
                <w:rFonts w:ascii="宋体" w:eastAsia="宋体" w:hAnsi="宋体" w:cs="宋体" w:hint="eastAsia"/>
                <w:sz w:val="24"/>
                <w:szCs w:val="24"/>
              </w:rPr>
              <w:t>汤及汤类</w:t>
            </w:r>
            <w:r>
              <w:rPr>
                <w:rFonts w:ascii="宋体" w:eastAsia="宋体" w:hAnsi="宋体" w:cs="宋体" w:hint="eastAsia"/>
                <w:sz w:val="24"/>
                <w:szCs w:val="24"/>
              </w:rPr>
              <w:t>调理食品，</w:t>
            </w:r>
            <w:r w:rsidR="006A6199">
              <w:rPr>
                <w:rFonts w:ascii="宋体" w:eastAsia="宋体" w:hAnsi="宋体" w:cs="宋体" w:hint="eastAsia"/>
                <w:sz w:val="24"/>
                <w:szCs w:val="24"/>
              </w:rPr>
              <w:t>不断为客户提供更</w:t>
            </w:r>
            <w:r w:rsidR="007709FA">
              <w:rPr>
                <w:rFonts w:ascii="宋体" w:eastAsia="宋体" w:hAnsi="宋体" w:cs="宋体" w:hint="eastAsia"/>
                <w:sz w:val="24"/>
                <w:szCs w:val="24"/>
              </w:rPr>
              <w:t>多更</w:t>
            </w:r>
            <w:r w:rsidR="006A6199">
              <w:rPr>
                <w:rFonts w:ascii="宋体" w:eastAsia="宋体" w:hAnsi="宋体" w:cs="宋体" w:hint="eastAsia"/>
                <w:sz w:val="24"/>
                <w:szCs w:val="24"/>
              </w:rPr>
              <w:t>丰富的产品</w:t>
            </w:r>
            <w:r w:rsidR="007709FA">
              <w:rPr>
                <w:rFonts w:ascii="宋体" w:eastAsia="宋体" w:hAnsi="宋体" w:cs="宋体" w:hint="eastAsia"/>
                <w:sz w:val="24"/>
                <w:szCs w:val="24"/>
              </w:rPr>
              <w:t>组合方案</w:t>
            </w:r>
            <w:r w:rsidR="006A6199">
              <w:rPr>
                <w:rFonts w:ascii="宋体" w:eastAsia="宋体" w:hAnsi="宋体" w:cs="宋体" w:hint="eastAsia"/>
                <w:sz w:val="24"/>
                <w:szCs w:val="24"/>
              </w:rPr>
              <w:t>。</w:t>
            </w:r>
            <w:r w:rsidR="00DC723B">
              <w:rPr>
                <w:rFonts w:ascii="宋体" w:eastAsia="宋体" w:hAnsi="宋体" w:cs="宋体" w:hint="eastAsia"/>
                <w:sz w:val="24"/>
                <w:szCs w:val="24"/>
              </w:rPr>
              <w:t>同时公司</w:t>
            </w:r>
            <w:r w:rsidR="007709FA">
              <w:rPr>
                <w:rFonts w:ascii="宋体" w:eastAsia="宋体" w:hAnsi="宋体" w:cs="宋体" w:hint="eastAsia"/>
                <w:sz w:val="24"/>
                <w:szCs w:val="24"/>
              </w:rPr>
              <w:t>不断推出创新</w:t>
            </w:r>
            <w:r w:rsidR="00183B1C">
              <w:rPr>
                <w:rFonts w:ascii="宋体" w:eastAsia="宋体" w:hAnsi="宋体" w:cs="宋体" w:hint="eastAsia"/>
                <w:sz w:val="24"/>
                <w:szCs w:val="24"/>
              </w:rPr>
              <w:t>型</w:t>
            </w:r>
            <w:r w:rsidR="007709FA">
              <w:rPr>
                <w:rFonts w:ascii="宋体" w:eastAsia="宋体" w:hAnsi="宋体" w:cs="宋体" w:hint="eastAsia"/>
                <w:sz w:val="24"/>
                <w:szCs w:val="24"/>
              </w:rPr>
              <w:t>产品，</w:t>
            </w:r>
            <w:r w:rsidR="00BF51D9">
              <w:rPr>
                <w:rFonts w:ascii="宋体" w:eastAsia="宋体" w:hAnsi="宋体" w:cs="宋体" w:hint="eastAsia"/>
                <w:sz w:val="24"/>
                <w:szCs w:val="24"/>
              </w:rPr>
              <w:t>研发生产的“</w:t>
            </w:r>
            <w:r w:rsidR="00265B9F" w:rsidRPr="00BF51D9">
              <w:rPr>
                <w:rFonts w:ascii="宋体" w:eastAsia="宋体" w:hAnsi="宋体" w:cs="宋体" w:hint="eastAsia"/>
                <w:sz w:val="24"/>
                <w:szCs w:val="24"/>
              </w:rPr>
              <w:t>元汁味</w:t>
            </w:r>
            <w:r w:rsidR="00265B9F">
              <w:rPr>
                <w:rFonts w:ascii="宋体" w:eastAsia="宋体" w:hAnsi="宋体" w:cs="宋体" w:hint="eastAsia"/>
                <w:sz w:val="24"/>
                <w:szCs w:val="24"/>
              </w:rPr>
              <w:t>黄番茄沙棘火锅底料</w:t>
            </w:r>
            <w:r w:rsidR="00BF51D9">
              <w:rPr>
                <w:rFonts w:ascii="宋体" w:eastAsia="宋体" w:hAnsi="宋体" w:cs="宋体" w:hint="eastAsia"/>
                <w:sz w:val="24"/>
                <w:szCs w:val="24"/>
              </w:rPr>
              <w:t>”</w:t>
            </w:r>
            <w:r w:rsidR="007709FA">
              <w:rPr>
                <w:rFonts w:ascii="宋体" w:eastAsia="宋体" w:hAnsi="宋体" w:cs="宋体" w:hint="eastAsia"/>
                <w:sz w:val="24"/>
                <w:szCs w:val="24"/>
              </w:rPr>
              <w:t>获得了</w:t>
            </w:r>
            <w:proofErr w:type="spellStart"/>
            <w:r w:rsidR="002D2A69">
              <w:rPr>
                <w:rFonts w:ascii="宋体" w:eastAsia="宋体" w:hAnsi="宋体" w:cs="宋体" w:hint="eastAsia"/>
                <w:sz w:val="24"/>
                <w:szCs w:val="24"/>
              </w:rPr>
              <w:t>i</w:t>
            </w:r>
            <w:r w:rsidR="00183B1C">
              <w:rPr>
                <w:rFonts w:ascii="宋体" w:eastAsia="宋体" w:hAnsi="宋体" w:cs="宋体" w:hint="eastAsia"/>
                <w:sz w:val="24"/>
                <w:szCs w:val="24"/>
              </w:rPr>
              <w:t>SEE</w:t>
            </w:r>
            <w:proofErr w:type="spellEnd"/>
            <w:r w:rsidR="00183B1C">
              <w:rPr>
                <w:rFonts w:ascii="宋体" w:eastAsia="宋体" w:hAnsi="宋体" w:cs="宋体" w:hint="eastAsia"/>
                <w:sz w:val="24"/>
                <w:szCs w:val="24"/>
              </w:rPr>
              <w:t>全球食品创新奖、</w:t>
            </w:r>
            <w:r w:rsidR="00BF51D9">
              <w:rPr>
                <w:rFonts w:ascii="宋体" w:eastAsia="宋体" w:hAnsi="宋体" w:cs="宋体" w:hint="eastAsia"/>
                <w:sz w:val="24"/>
                <w:szCs w:val="24"/>
              </w:rPr>
              <w:t>“</w:t>
            </w:r>
            <w:r w:rsidR="00265B9F" w:rsidRPr="00BF51D9">
              <w:rPr>
                <w:rFonts w:ascii="宋体" w:eastAsia="宋体" w:hAnsi="宋体" w:cs="宋体" w:hint="eastAsia"/>
                <w:sz w:val="24"/>
                <w:szCs w:val="24"/>
              </w:rPr>
              <w:t>元汁味</w:t>
            </w:r>
            <w:r w:rsidR="00265B9F">
              <w:rPr>
                <w:rFonts w:ascii="宋体" w:eastAsia="宋体" w:hAnsi="宋体" w:cs="宋体" w:hint="eastAsia"/>
                <w:sz w:val="24"/>
                <w:szCs w:val="24"/>
              </w:rPr>
              <w:t>沙棘爆</w:t>
            </w:r>
            <w:proofErr w:type="gramStart"/>
            <w:r w:rsidR="00265B9F">
              <w:rPr>
                <w:rFonts w:ascii="宋体" w:eastAsia="宋体" w:hAnsi="宋体" w:cs="宋体" w:hint="eastAsia"/>
                <w:sz w:val="24"/>
                <w:szCs w:val="24"/>
              </w:rPr>
              <w:t>爆珠冷</w:t>
            </w:r>
            <w:proofErr w:type="gramEnd"/>
            <w:r w:rsidR="00265B9F">
              <w:rPr>
                <w:rFonts w:ascii="宋体" w:eastAsia="宋体" w:hAnsi="宋体" w:cs="宋体" w:hint="eastAsia"/>
                <w:sz w:val="24"/>
                <w:szCs w:val="24"/>
              </w:rPr>
              <w:t>泡汁</w:t>
            </w:r>
            <w:r w:rsidR="00BF51D9">
              <w:rPr>
                <w:rFonts w:ascii="宋体" w:eastAsia="宋体" w:hAnsi="宋体" w:cs="宋体" w:hint="eastAsia"/>
                <w:sz w:val="24"/>
                <w:szCs w:val="24"/>
              </w:rPr>
              <w:t>”</w:t>
            </w:r>
            <w:r w:rsidR="000E5D96">
              <w:rPr>
                <w:rFonts w:ascii="宋体" w:eastAsia="宋体" w:hAnsi="宋体" w:cs="宋体" w:hint="eastAsia"/>
                <w:sz w:val="24"/>
                <w:szCs w:val="24"/>
              </w:rPr>
              <w:t>获得了</w:t>
            </w:r>
            <w:r w:rsidR="00183B1C">
              <w:rPr>
                <w:rFonts w:ascii="宋体" w:eastAsia="宋体" w:hAnsi="宋体" w:cs="宋体" w:hint="eastAsia"/>
                <w:sz w:val="24"/>
                <w:szCs w:val="24"/>
              </w:rPr>
              <w:t>FBIF年度创新调味品奖</w:t>
            </w:r>
            <w:r w:rsidR="006D4217">
              <w:rPr>
                <w:rFonts w:ascii="宋体" w:eastAsia="宋体" w:hAnsi="宋体" w:cs="宋体" w:hint="eastAsia"/>
                <w:sz w:val="24"/>
                <w:szCs w:val="24"/>
              </w:rPr>
              <w:t>等</w:t>
            </w:r>
            <w:r w:rsidR="007709FA">
              <w:rPr>
                <w:rFonts w:ascii="宋体" w:eastAsia="宋体" w:hAnsi="宋体" w:cs="宋体" w:hint="eastAsia"/>
                <w:sz w:val="24"/>
                <w:szCs w:val="24"/>
              </w:rPr>
              <w:t>；</w:t>
            </w:r>
            <w:r w:rsidR="000E5D96">
              <w:rPr>
                <w:rFonts w:ascii="宋体" w:eastAsia="宋体" w:hAnsi="宋体" w:cs="宋体" w:hint="eastAsia"/>
                <w:sz w:val="24"/>
                <w:szCs w:val="24"/>
              </w:rPr>
              <w:t>公司还推出多款</w:t>
            </w:r>
            <w:r w:rsidRPr="00961EED">
              <w:rPr>
                <w:rFonts w:ascii="宋体" w:eastAsia="宋体" w:hAnsi="宋体" w:cs="宋体" w:hint="eastAsia"/>
                <w:sz w:val="24"/>
                <w:szCs w:val="24"/>
              </w:rPr>
              <w:t>畅销</w:t>
            </w:r>
            <w:r w:rsidR="000E5D96">
              <w:rPr>
                <w:rFonts w:ascii="宋体" w:eastAsia="宋体" w:hAnsi="宋体" w:cs="宋体" w:hint="eastAsia"/>
                <w:sz w:val="24"/>
                <w:szCs w:val="24"/>
              </w:rPr>
              <w:t>产</w:t>
            </w:r>
            <w:r w:rsidRPr="00961EED">
              <w:rPr>
                <w:rFonts w:ascii="宋体" w:eastAsia="宋体" w:hAnsi="宋体" w:cs="宋体" w:hint="eastAsia"/>
                <w:sz w:val="24"/>
                <w:szCs w:val="24"/>
              </w:rPr>
              <w:t>品，</w:t>
            </w:r>
            <w:r w:rsidR="007709FA">
              <w:rPr>
                <w:rFonts w:ascii="宋体" w:eastAsia="宋体" w:hAnsi="宋体" w:cs="宋体" w:hint="eastAsia"/>
                <w:sz w:val="24"/>
                <w:szCs w:val="24"/>
              </w:rPr>
              <w:t>如松</w:t>
            </w:r>
            <w:proofErr w:type="gramStart"/>
            <w:r w:rsidR="007709FA">
              <w:rPr>
                <w:rFonts w:ascii="宋体" w:eastAsia="宋体" w:hAnsi="宋体" w:cs="宋体" w:hint="eastAsia"/>
                <w:sz w:val="24"/>
                <w:szCs w:val="24"/>
              </w:rPr>
              <w:t>饼</w:t>
            </w:r>
            <w:proofErr w:type="gramEnd"/>
            <w:r w:rsidR="007709FA">
              <w:rPr>
                <w:rFonts w:ascii="宋体" w:eastAsia="宋体" w:hAnsi="宋体" w:cs="宋体" w:hint="eastAsia"/>
                <w:sz w:val="24"/>
                <w:szCs w:val="24"/>
              </w:rPr>
              <w:t>捏捏粉等，</w:t>
            </w:r>
            <w:r w:rsidRPr="00961EED">
              <w:rPr>
                <w:rFonts w:ascii="宋体" w:eastAsia="宋体" w:hAnsi="宋体" w:cs="宋体" w:hint="eastAsia"/>
                <w:sz w:val="24"/>
                <w:szCs w:val="24"/>
              </w:rPr>
              <w:t>赢得</w:t>
            </w:r>
            <w:r w:rsidR="007709FA">
              <w:rPr>
                <w:rFonts w:ascii="宋体" w:eastAsia="宋体" w:hAnsi="宋体" w:cs="宋体" w:hint="eastAsia"/>
                <w:sz w:val="24"/>
                <w:szCs w:val="24"/>
              </w:rPr>
              <w:t>了</w:t>
            </w:r>
            <w:r w:rsidRPr="00961EED">
              <w:rPr>
                <w:rFonts w:ascii="宋体" w:eastAsia="宋体" w:hAnsi="宋体" w:cs="宋体" w:hint="eastAsia"/>
                <w:sz w:val="24"/>
                <w:szCs w:val="24"/>
              </w:rPr>
              <w:t>客户</w:t>
            </w:r>
            <w:r w:rsidR="007709FA">
              <w:rPr>
                <w:rFonts w:ascii="宋体" w:eastAsia="宋体" w:hAnsi="宋体" w:cs="宋体" w:hint="eastAsia"/>
                <w:sz w:val="24"/>
                <w:szCs w:val="24"/>
              </w:rPr>
              <w:t>及消费者</w:t>
            </w:r>
            <w:r w:rsidRPr="00961EED">
              <w:rPr>
                <w:rFonts w:ascii="宋体" w:eastAsia="宋体" w:hAnsi="宋体" w:cs="宋体" w:hint="eastAsia"/>
                <w:sz w:val="24"/>
                <w:szCs w:val="24"/>
              </w:rPr>
              <w:t>的高度认可，进一步巩固了</w:t>
            </w:r>
            <w:r w:rsidR="007709FA">
              <w:rPr>
                <w:rFonts w:ascii="宋体" w:eastAsia="宋体" w:hAnsi="宋体" w:cs="宋体" w:hint="eastAsia"/>
                <w:sz w:val="24"/>
                <w:szCs w:val="24"/>
              </w:rPr>
              <w:t>公司产品的</w:t>
            </w:r>
            <w:r w:rsidRPr="00961EED">
              <w:rPr>
                <w:rFonts w:ascii="宋体" w:eastAsia="宋体" w:hAnsi="宋体" w:cs="宋体" w:hint="eastAsia"/>
                <w:sz w:val="24"/>
                <w:szCs w:val="24"/>
              </w:rPr>
              <w:t>市场竞争</w:t>
            </w:r>
            <w:r w:rsidR="007709FA">
              <w:rPr>
                <w:rFonts w:ascii="宋体" w:eastAsia="宋体" w:hAnsi="宋体" w:cs="宋体" w:hint="eastAsia"/>
                <w:sz w:val="24"/>
                <w:szCs w:val="24"/>
              </w:rPr>
              <w:t>优势</w:t>
            </w:r>
            <w:r w:rsidRPr="00961EED">
              <w:rPr>
                <w:rFonts w:ascii="宋体" w:eastAsia="宋体" w:hAnsi="宋体" w:cs="宋体" w:hint="eastAsia"/>
                <w:sz w:val="24"/>
                <w:szCs w:val="24"/>
              </w:rPr>
              <w:t xml:space="preserve">。 </w:t>
            </w:r>
          </w:p>
          <w:p w14:paraId="67DC0458" w14:textId="39DAEFD7" w:rsidR="004970C3" w:rsidRDefault="00000000">
            <w:pPr>
              <w:spacing w:line="360" w:lineRule="auto"/>
              <w:ind w:firstLineChars="200" w:firstLine="482"/>
              <w:rPr>
                <w:rFonts w:ascii="宋体" w:eastAsia="宋体" w:hAnsi="宋体" w:cs="宋体" w:hint="eastAsia"/>
                <w:b/>
                <w:bCs/>
                <w:sz w:val="24"/>
                <w:szCs w:val="24"/>
              </w:rPr>
            </w:pPr>
            <w:r>
              <w:rPr>
                <w:rFonts w:ascii="宋体" w:eastAsia="宋体" w:hAnsi="宋体" w:cs="宋体" w:hint="eastAsia"/>
                <w:b/>
                <w:bCs/>
                <w:sz w:val="24"/>
                <w:szCs w:val="24"/>
              </w:rPr>
              <w:t>5、公司</w:t>
            </w:r>
            <w:r w:rsidR="000E5D96">
              <w:rPr>
                <w:rFonts w:ascii="宋体" w:eastAsia="宋体" w:hAnsi="宋体" w:cs="宋体" w:hint="eastAsia"/>
                <w:b/>
                <w:bCs/>
                <w:sz w:val="24"/>
                <w:szCs w:val="24"/>
              </w:rPr>
              <w:t>如何拓展不同渠道的客户</w:t>
            </w:r>
            <w:r>
              <w:rPr>
                <w:rFonts w:ascii="宋体" w:eastAsia="宋体" w:hAnsi="宋体" w:cs="宋体" w:hint="eastAsia"/>
                <w:b/>
                <w:bCs/>
                <w:sz w:val="24"/>
                <w:szCs w:val="24"/>
              </w:rPr>
              <w:t>？</w:t>
            </w:r>
          </w:p>
          <w:p w14:paraId="6555FDA7" w14:textId="1F43F834" w:rsidR="004970C3" w:rsidRDefault="000E5D96" w:rsidP="00265B9F">
            <w:pPr>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长期以来，公司积累了大量的优质客户，并持续服务于现有连锁餐饮、食品加工、品牌定制等不同渠道的客户。公司持续为现有客户提供优质产品和服务的同时，</w:t>
            </w:r>
            <w:r w:rsidR="00674205">
              <w:rPr>
                <w:rFonts w:ascii="宋体" w:eastAsia="宋体" w:hAnsi="宋体" w:cs="宋体" w:hint="eastAsia"/>
                <w:sz w:val="24"/>
                <w:szCs w:val="24"/>
              </w:rPr>
              <w:t>通过</w:t>
            </w:r>
            <w:r>
              <w:rPr>
                <w:rFonts w:ascii="宋体" w:eastAsia="宋体" w:hAnsi="宋体" w:cs="宋体" w:hint="eastAsia"/>
                <w:sz w:val="24"/>
                <w:szCs w:val="24"/>
              </w:rPr>
              <w:t>持续</w:t>
            </w:r>
            <w:r w:rsidR="00674205">
              <w:rPr>
                <w:rFonts w:ascii="宋体" w:eastAsia="宋体" w:hAnsi="宋体" w:cs="宋体" w:hint="eastAsia"/>
                <w:sz w:val="24"/>
                <w:szCs w:val="24"/>
              </w:rPr>
              <w:t>不断</w:t>
            </w:r>
            <w:r>
              <w:rPr>
                <w:rFonts w:ascii="宋体" w:eastAsia="宋体" w:hAnsi="宋体" w:cs="宋体" w:hint="eastAsia"/>
                <w:sz w:val="24"/>
                <w:szCs w:val="24"/>
              </w:rPr>
              <w:t>地提供创新产品，以扩大现有客户的销售规模</w:t>
            </w:r>
            <w:r w:rsidR="00674205">
              <w:rPr>
                <w:rFonts w:ascii="宋体" w:eastAsia="宋体" w:hAnsi="宋体" w:cs="宋体" w:hint="eastAsia"/>
                <w:sz w:val="24"/>
                <w:szCs w:val="24"/>
              </w:rPr>
              <w:t>，</w:t>
            </w:r>
            <w:r>
              <w:rPr>
                <w:rFonts w:ascii="宋体" w:eastAsia="宋体" w:hAnsi="宋体" w:cs="宋体" w:hint="eastAsia"/>
                <w:sz w:val="24"/>
                <w:szCs w:val="24"/>
              </w:rPr>
              <w:t>同时不断拓展新的客户。公司服务现有大客户的同时，积极拓展中小型的成长型客户，</w:t>
            </w:r>
            <w:r w:rsidR="00674205">
              <w:rPr>
                <w:rFonts w:ascii="宋体" w:eastAsia="宋体" w:hAnsi="宋体" w:cs="宋体" w:hint="eastAsia"/>
                <w:sz w:val="24"/>
                <w:szCs w:val="24"/>
              </w:rPr>
              <w:t>以</w:t>
            </w:r>
            <w:r>
              <w:rPr>
                <w:rFonts w:ascii="宋体" w:eastAsia="宋体" w:hAnsi="宋体" w:cs="宋体" w:hint="eastAsia"/>
                <w:sz w:val="24"/>
                <w:szCs w:val="24"/>
              </w:rPr>
              <w:t>保持合理和良性的客户结构。公司</w:t>
            </w:r>
            <w:r w:rsidR="00674205">
              <w:rPr>
                <w:rFonts w:ascii="宋体" w:eastAsia="宋体" w:hAnsi="宋体" w:cs="宋体" w:hint="eastAsia"/>
                <w:sz w:val="24"/>
                <w:szCs w:val="24"/>
              </w:rPr>
              <w:t>销售</w:t>
            </w:r>
            <w:r>
              <w:rPr>
                <w:rFonts w:ascii="宋体" w:eastAsia="宋体" w:hAnsi="宋体" w:cs="宋体" w:hint="eastAsia"/>
                <w:sz w:val="24"/>
                <w:szCs w:val="24"/>
              </w:rPr>
              <w:t>工作的重点是充分挖掘不同渠道客户的潜力，持续不断</w:t>
            </w:r>
            <w:r w:rsidR="00265B9F">
              <w:rPr>
                <w:rFonts w:ascii="宋体" w:eastAsia="宋体" w:hAnsi="宋体" w:cs="宋体" w:hint="eastAsia"/>
                <w:sz w:val="24"/>
                <w:szCs w:val="24"/>
              </w:rPr>
              <w:t>地</w:t>
            </w:r>
            <w:r>
              <w:rPr>
                <w:rFonts w:ascii="宋体" w:eastAsia="宋体" w:hAnsi="宋体" w:cs="宋体" w:hint="eastAsia"/>
                <w:sz w:val="24"/>
                <w:szCs w:val="24"/>
              </w:rPr>
              <w:t xml:space="preserve">为新老客户提供优质的产品及良好的服务。 </w:t>
            </w:r>
          </w:p>
          <w:p w14:paraId="30123B2C" w14:textId="77777777" w:rsidR="004970C3" w:rsidRDefault="00000000">
            <w:pPr>
              <w:spacing w:line="360" w:lineRule="auto"/>
              <w:ind w:firstLineChars="200" w:firstLine="482"/>
              <w:rPr>
                <w:rFonts w:ascii="宋体" w:eastAsia="宋体" w:hAnsi="宋体" w:cs="宋体" w:hint="eastAsia"/>
                <w:b/>
                <w:bCs/>
                <w:sz w:val="24"/>
                <w:szCs w:val="24"/>
              </w:rPr>
            </w:pPr>
            <w:r>
              <w:rPr>
                <w:rFonts w:ascii="宋体" w:eastAsia="宋体" w:hAnsi="宋体" w:cs="宋体" w:hint="eastAsia"/>
                <w:b/>
                <w:bCs/>
                <w:sz w:val="24"/>
                <w:szCs w:val="24"/>
              </w:rPr>
              <w:t>6、如何看待C端市场？</w:t>
            </w:r>
          </w:p>
          <w:p w14:paraId="4E0E6990" w14:textId="77777777" w:rsidR="004970C3" w:rsidRDefault="00000000">
            <w:pPr>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目前复合调味品C</w:t>
            </w:r>
            <w:proofErr w:type="gramStart"/>
            <w:r>
              <w:rPr>
                <w:rFonts w:ascii="宋体" w:eastAsia="宋体" w:hAnsi="宋体" w:cs="宋体" w:hint="eastAsia"/>
                <w:sz w:val="24"/>
                <w:szCs w:val="24"/>
              </w:rPr>
              <w:t>端市场</w:t>
            </w:r>
            <w:proofErr w:type="gramEnd"/>
            <w:r>
              <w:rPr>
                <w:rFonts w:ascii="宋体" w:eastAsia="宋体" w:hAnsi="宋体" w:cs="宋体" w:hint="eastAsia"/>
                <w:sz w:val="24"/>
                <w:szCs w:val="24"/>
              </w:rPr>
              <w:t>无论线上还是线下渠道，竞争都较为激烈，公司将采取较为谨慎的投入策略，更加关注费用投入产出的效</w:t>
            </w:r>
            <w:r>
              <w:rPr>
                <w:rFonts w:ascii="宋体" w:eastAsia="宋体" w:hAnsi="宋体" w:cs="宋体" w:hint="eastAsia"/>
                <w:sz w:val="24"/>
                <w:szCs w:val="24"/>
              </w:rPr>
              <w:lastRenderedPageBreak/>
              <w:t>果，稳步推进公司C</w:t>
            </w:r>
            <w:proofErr w:type="gramStart"/>
            <w:r>
              <w:rPr>
                <w:rFonts w:ascii="宋体" w:eastAsia="宋体" w:hAnsi="宋体" w:cs="宋体" w:hint="eastAsia"/>
                <w:sz w:val="24"/>
                <w:szCs w:val="24"/>
              </w:rPr>
              <w:t>端业务</w:t>
            </w:r>
            <w:proofErr w:type="gramEnd"/>
            <w:r>
              <w:rPr>
                <w:rFonts w:ascii="宋体" w:eastAsia="宋体" w:hAnsi="宋体" w:cs="宋体" w:hint="eastAsia"/>
                <w:sz w:val="24"/>
                <w:szCs w:val="24"/>
              </w:rPr>
              <w:t>的发展。</w:t>
            </w:r>
          </w:p>
          <w:p w14:paraId="59D0942B" w14:textId="429202BC" w:rsidR="004970C3" w:rsidRDefault="00733E26">
            <w:pPr>
              <w:spacing w:line="360" w:lineRule="auto"/>
              <w:ind w:firstLineChars="200" w:firstLine="482"/>
              <w:rPr>
                <w:rFonts w:ascii="宋体" w:eastAsia="宋体" w:hAnsi="宋体" w:cs="宋体" w:hint="eastAsia"/>
                <w:b/>
                <w:bCs/>
                <w:sz w:val="24"/>
                <w:szCs w:val="24"/>
              </w:rPr>
            </w:pPr>
            <w:r>
              <w:rPr>
                <w:rFonts w:ascii="宋体" w:eastAsia="宋体" w:hAnsi="宋体" w:cs="宋体" w:hint="eastAsia"/>
                <w:b/>
                <w:bCs/>
                <w:sz w:val="24"/>
                <w:szCs w:val="24"/>
              </w:rPr>
              <w:t>7、公司首发“年产15,000吨复合调味品生产基地建设项目”“年产5,000吨汤类抽提生产线建设项目”的建设进度？</w:t>
            </w:r>
            <w:r w:rsidR="00A70EE4">
              <w:rPr>
                <w:rFonts w:ascii="宋体" w:eastAsia="宋体" w:hAnsi="宋体" w:cs="宋体" w:hint="eastAsia"/>
                <w:b/>
                <w:bCs/>
                <w:sz w:val="24"/>
                <w:szCs w:val="24"/>
              </w:rPr>
              <w:t xml:space="preserve"> </w:t>
            </w:r>
          </w:p>
          <w:p w14:paraId="58751A93" w14:textId="2BE795C7" w:rsidR="00674205" w:rsidRDefault="00000000">
            <w:pPr>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公司首发“年产15,000吨复合调味品生产基地建设项目”“年产5,000吨汤类抽提生产线建设项目”的实施主体为公司嘉兴工厂，目前土建工程已完成，处于车间内部装修及设备采购安装阶段，预计2025年底将建成投产。嘉兴工厂全面建成投产后公司将形成青岛、嘉兴双基地布局，构建覆盖</w:t>
            </w:r>
            <w:r w:rsidR="00674205">
              <w:rPr>
                <w:rFonts w:ascii="宋体" w:eastAsia="宋体" w:hAnsi="宋体" w:cs="宋体" w:hint="eastAsia"/>
                <w:sz w:val="24"/>
                <w:szCs w:val="24"/>
              </w:rPr>
              <w:t>南北的</w:t>
            </w:r>
            <w:r>
              <w:rPr>
                <w:rFonts w:ascii="宋体" w:eastAsia="宋体" w:hAnsi="宋体" w:cs="宋体" w:hint="eastAsia"/>
                <w:sz w:val="24"/>
                <w:szCs w:val="24"/>
              </w:rPr>
              <w:t>供应体系，进一步提升公司的多品类供给能力，支撑全国市场拓展。</w:t>
            </w:r>
          </w:p>
          <w:p w14:paraId="5322BF64" w14:textId="43A16D2D" w:rsidR="004970C3" w:rsidRDefault="00265B9F">
            <w:pPr>
              <w:spacing w:line="360" w:lineRule="auto"/>
              <w:ind w:firstLineChars="200" w:firstLine="482"/>
              <w:rPr>
                <w:rFonts w:ascii="宋体" w:eastAsia="宋体" w:hAnsi="宋体" w:cs="宋体" w:hint="eastAsia"/>
                <w:b/>
                <w:bCs/>
                <w:sz w:val="24"/>
                <w:szCs w:val="24"/>
              </w:rPr>
            </w:pPr>
            <w:r>
              <w:rPr>
                <w:rFonts w:ascii="宋体" w:eastAsia="宋体" w:hAnsi="宋体" w:cs="宋体" w:hint="eastAsia"/>
                <w:b/>
                <w:bCs/>
                <w:sz w:val="24"/>
                <w:szCs w:val="24"/>
              </w:rPr>
              <w:t>8</w:t>
            </w:r>
            <w:r w:rsidR="00733E26">
              <w:rPr>
                <w:rFonts w:ascii="宋体" w:eastAsia="宋体" w:hAnsi="宋体" w:cs="宋体" w:hint="eastAsia"/>
                <w:b/>
                <w:bCs/>
                <w:sz w:val="24"/>
                <w:szCs w:val="24"/>
              </w:rPr>
              <w:t>、公司的并购战略？</w:t>
            </w:r>
          </w:p>
          <w:p w14:paraId="77A15447" w14:textId="739DD43F" w:rsidR="004970C3" w:rsidRDefault="00000000">
            <w:pPr>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公司坚持“内生式增长”和“外延式扩张”双轮驱动的发展战略</w:t>
            </w:r>
            <w:r w:rsidR="00674205">
              <w:rPr>
                <w:rFonts w:ascii="宋体" w:eastAsia="宋体" w:hAnsi="宋体" w:cs="宋体" w:hint="eastAsia"/>
                <w:sz w:val="24"/>
                <w:szCs w:val="24"/>
              </w:rPr>
              <w:t>，</w:t>
            </w:r>
            <w:r w:rsidR="00265B9F">
              <w:rPr>
                <w:rFonts w:ascii="宋体" w:eastAsia="宋体" w:hAnsi="宋体" w:cs="宋体" w:hint="eastAsia"/>
                <w:sz w:val="24"/>
                <w:szCs w:val="24"/>
              </w:rPr>
              <w:t>通过不断</w:t>
            </w:r>
            <w:r w:rsidR="00674205">
              <w:rPr>
                <w:rFonts w:ascii="宋体" w:eastAsia="宋体" w:hAnsi="宋体" w:cs="宋体" w:hint="eastAsia"/>
                <w:sz w:val="24"/>
                <w:szCs w:val="24"/>
              </w:rPr>
              <w:t>扩品类，拓渠道，实现公司的跨越式发展。</w:t>
            </w:r>
            <w:r>
              <w:rPr>
                <w:rFonts w:ascii="宋体" w:eastAsia="宋体" w:hAnsi="宋体" w:cs="宋体" w:hint="eastAsia"/>
                <w:sz w:val="24"/>
                <w:szCs w:val="24"/>
              </w:rPr>
              <w:t>未来，公司将在不断发展现有业务的同时，加大投资并购的资源投入力度，积极挖掘产业内外纵横合作的机会。</w:t>
            </w:r>
          </w:p>
          <w:p w14:paraId="575ACB08" w14:textId="3C1FAB20" w:rsidR="004970C3" w:rsidRDefault="00265B9F">
            <w:pPr>
              <w:spacing w:line="360" w:lineRule="auto"/>
              <w:ind w:firstLineChars="200" w:firstLine="482"/>
              <w:rPr>
                <w:rFonts w:ascii="宋体" w:eastAsia="宋体" w:hAnsi="宋体" w:cs="宋体" w:hint="eastAsia"/>
                <w:b/>
                <w:bCs/>
                <w:sz w:val="24"/>
                <w:szCs w:val="24"/>
              </w:rPr>
            </w:pPr>
            <w:r>
              <w:rPr>
                <w:rFonts w:ascii="宋体" w:eastAsia="宋体" w:hAnsi="宋体" w:cs="宋体" w:hint="eastAsia"/>
                <w:b/>
                <w:bCs/>
                <w:sz w:val="24"/>
                <w:szCs w:val="24"/>
              </w:rPr>
              <w:t>9</w:t>
            </w:r>
            <w:r w:rsidR="00733E26">
              <w:rPr>
                <w:rFonts w:ascii="宋体" w:eastAsia="宋体" w:hAnsi="宋体" w:cs="宋体" w:hint="eastAsia"/>
                <w:b/>
                <w:bCs/>
                <w:sz w:val="24"/>
                <w:szCs w:val="24"/>
              </w:rPr>
              <w:t>、公司收购嘉兴</w:t>
            </w:r>
            <w:proofErr w:type="gramStart"/>
            <w:r w:rsidR="00733E26">
              <w:rPr>
                <w:rFonts w:ascii="宋体" w:eastAsia="宋体" w:hAnsi="宋体" w:cs="宋体" w:hint="eastAsia"/>
                <w:b/>
                <w:bCs/>
                <w:sz w:val="24"/>
                <w:szCs w:val="24"/>
              </w:rPr>
              <w:t>艾贝棒食品</w:t>
            </w:r>
            <w:proofErr w:type="gramEnd"/>
            <w:r w:rsidR="00733E26">
              <w:rPr>
                <w:rFonts w:ascii="宋体" w:eastAsia="宋体" w:hAnsi="宋体" w:cs="宋体" w:hint="eastAsia"/>
                <w:b/>
                <w:bCs/>
                <w:sz w:val="24"/>
                <w:szCs w:val="24"/>
              </w:rPr>
              <w:t>有限公司</w:t>
            </w:r>
            <w:r w:rsidR="00674205">
              <w:rPr>
                <w:rFonts w:ascii="宋体" w:eastAsia="宋体" w:hAnsi="宋体" w:cs="宋体" w:hint="eastAsia"/>
                <w:b/>
                <w:bCs/>
                <w:sz w:val="24"/>
                <w:szCs w:val="24"/>
              </w:rPr>
              <w:t>的相关情况</w:t>
            </w:r>
            <w:r w:rsidR="00733E26">
              <w:rPr>
                <w:rFonts w:ascii="宋体" w:eastAsia="宋体" w:hAnsi="宋体" w:cs="宋体" w:hint="eastAsia"/>
                <w:b/>
                <w:bCs/>
                <w:sz w:val="24"/>
                <w:szCs w:val="24"/>
              </w:rPr>
              <w:t>？</w:t>
            </w:r>
          </w:p>
          <w:p w14:paraId="38FC8A87" w14:textId="10F1386B" w:rsidR="00674205" w:rsidRDefault="00000000" w:rsidP="00674205">
            <w:pPr>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公司现有产品主要包括酱汁类</w:t>
            </w:r>
            <w:bookmarkStart w:id="1" w:name="OLE_LINK8"/>
            <w:r>
              <w:rPr>
                <w:rFonts w:ascii="宋体" w:eastAsia="宋体" w:hAnsi="宋体" w:cs="宋体" w:hint="eastAsia"/>
                <w:sz w:val="24"/>
                <w:szCs w:val="24"/>
              </w:rPr>
              <w:t>调味料</w:t>
            </w:r>
            <w:bookmarkEnd w:id="1"/>
            <w:r>
              <w:rPr>
                <w:rFonts w:ascii="宋体" w:eastAsia="宋体" w:hAnsi="宋体" w:cs="宋体" w:hint="eastAsia"/>
                <w:sz w:val="24"/>
                <w:szCs w:val="24"/>
              </w:rPr>
              <w:t>、粉体类调味料以及少量食品添加剂三大类；其中粉体类调味料</w:t>
            </w:r>
            <w:r w:rsidR="00674205">
              <w:rPr>
                <w:rFonts w:ascii="宋体" w:eastAsia="宋体" w:hAnsi="宋体" w:cs="宋体" w:hint="eastAsia"/>
                <w:sz w:val="24"/>
                <w:szCs w:val="24"/>
              </w:rPr>
              <w:t>又可</w:t>
            </w:r>
            <w:proofErr w:type="gramStart"/>
            <w:r w:rsidR="00674205">
              <w:rPr>
                <w:rFonts w:ascii="宋体" w:eastAsia="宋体" w:hAnsi="宋体" w:cs="宋体" w:hint="eastAsia"/>
                <w:sz w:val="24"/>
                <w:szCs w:val="24"/>
              </w:rPr>
              <w:t>分</w:t>
            </w:r>
            <w:r>
              <w:rPr>
                <w:rFonts w:ascii="宋体" w:eastAsia="宋体" w:hAnsi="宋体" w:cs="宋体" w:hint="eastAsia"/>
                <w:sz w:val="24"/>
                <w:szCs w:val="24"/>
              </w:rPr>
              <w:t>为裹粉裹</w:t>
            </w:r>
            <w:proofErr w:type="gramEnd"/>
            <w:r>
              <w:rPr>
                <w:rFonts w:ascii="宋体" w:eastAsia="宋体" w:hAnsi="宋体" w:cs="宋体" w:hint="eastAsia"/>
                <w:sz w:val="24"/>
                <w:szCs w:val="24"/>
              </w:rPr>
              <w:t>浆及烘焙预拌粉</w:t>
            </w:r>
            <w:r w:rsidR="00674205">
              <w:rPr>
                <w:rFonts w:ascii="宋体" w:eastAsia="宋体" w:hAnsi="宋体" w:cs="宋体" w:hint="eastAsia"/>
                <w:sz w:val="24"/>
                <w:szCs w:val="24"/>
              </w:rPr>
              <w:t>等</w:t>
            </w:r>
            <w:r>
              <w:rPr>
                <w:rFonts w:ascii="宋体" w:eastAsia="宋体" w:hAnsi="宋体" w:cs="宋体" w:hint="eastAsia"/>
                <w:sz w:val="24"/>
                <w:szCs w:val="24"/>
              </w:rPr>
              <w:t>。目前公司</w:t>
            </w:r>
            <w:r w:rsidR="00674205">
              <w:rPr>
                <w:rFonts w:ascii="宋体" w:eastAsia="宋体" w:hAnsi="宋体" w:cs="宋体" w:hint="eastAsia"/>
                <w:sz w:val="24"/>
                <w:szCs w:val="24"/>
              </w:rPr>
              <w:t>的粉体调味料</w:t>
            </w:r>
            <w:r>
              <w:rPr>
                <w:rFonts w:ascii="宋体" w:eastAsia="宋体" w:hAnsi="宋体" w:cs="宋体" w:hint="eastAsia"/>
                <w:sz w:val="24"/>
                <w:szCs w:val="24"/>
              </w:rPr>
              <w:t>主要</w:t>
            </w:r>
            <w:proofErr w:type="gramStart"/>
            <w:r w:rsidR="00674205">
              <w:rPr>
                <w:rFonts w:ascii="宋体" w:eastAsia="宋体" w:hAnsi="宋体" w:cs="宋体" w:hint="eastAsia"/>
                <w:sz w:val="24"/>
                <w:szCs w:val="24"/>
              </w:rPr>
              <w:t>为</w:t>
            </w:r>
            <w:r>
              <w:rPr>
                <w:rFonts w:ascii="宋体" w:eastAsia="宋体" w:hAnsi="宋体" w:cs="宋体" w:hint="eastAsia"/>
                <w:sz w:val="24"/>
                <w:szCs w:val="24"/>
              </w:rPr>
              <w:t>裹粉裹</w:t>
            </w:r>
            <w:proofErr w:type="gramEnd"/>
            <w:r>
              <w:rPr>
                <w:rFonts w:ascii="宋体" w:eastAsia="宋体" w:hAnsi="宋体" w:cs="宋体" w:hint="eastAsia"/>
                <w:sz w:val="24"/>
                <w:szCs w:val="24"/>
              </w:rPr>
              <w:t>浆</w:t>
            </w:r>
            <w:r w:rsidR="00674205">
              <w:rPr>
                <w:rFonts w:ascii="宋体" w:eastAsia="宋体" w:hAnsi="宋体" w:cs="宋体" w:hint="eastAsia"/>
                <w:sz w:val="24"/>
                <w:szCs w:val="24"/>
              </w:rPr>
              <w:t>及</w:t>
            </w:r>
            <w:proofErr w:type="gramStart"/>
            <w:r w:rsidR="00674205">
              <w:rPr>
                <w:rFonts w:ascii="宋体" w:eastAsia="宋体" w:hAnsi="宋体" w:cs="宋体" w:hint="eastAsia"/>
                <w:sz w:val="24"/>
                <w:szCs w:val="24"/>
              </w:rPr>
              <w:t>腌料类等</w:t>
            </w:r>
            <w:proofErr w:type="gramEnd"/>
            <w:r>
              <w:rPr>
                <w:rFonts w:ascii="宋体" w:eastAsia="宋体" w:hAnsi="宋体" w:cs="宋体" w:hint="eastAsia"/>
                <w:sz w:val="24"/>
                <w:szCs w:val="24"/>
              </w:rPr>
              <w:t>；在烘焙预拌粉领域，公司已经</w:t>
            </w:r>
            <w:r w:rsidR="00674205">
              <w:rPr>
                <w:rFonts w:ascii="宋体" w:eastAsia="宋体" w:hAnsi="宋体" w:cs="宋体" w:hint="eastAsia"/>
                <w:sz w:val="24"/>
                <w:szCs w:val="24"/>
              </w:rPr>
              <w:t>积累了一定的产品及客户。烘焙市场巨大，作为方便快捷的烘焙预拌粉市场前景广阔。正因如此，未来烘焙预拌粉是公司拓展的重要方向之一。</w:t>
            </w:r>
          </w:p>
          <w:p w14:paraId="2B59E6AE" w14:textId="25F4BAF3" w:rsidR="004970C3" w:rsidRDefault="00000000">
            <w:pPr>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嘉兴</w:t>
            </w:r>
            <w:proofErr w:type="gramStart"/>
            <w:r>
              <w:rPr>
                <w:rFonts w:ascii="宋体" w:eastAsia="宋体" w:hAnsi="宋体" w:cs="宋体" w:hint="eastAsia"/>
                <w:sz w:val="24"/>
                <w:szCs w:val="24"/>
              </w:rPr>
              <w:t>艾贝棒食品</w:t>
            </w:r>
            <w:proofErr w:type="gramEnd"/>
            <w:r>
              <w:rPr>
                <w:rFonts w:ascii="宋体" w:eastAsia="宋体" w:hAnsi="宋体" w:cs="宋体" w:hint="eastAsia"/>
                <w:sz w:val="24"/>
                <w:szCs w:val="24"/>
              </w:rPr>
              <w:t>有限公司主要生产</w:t>
            </w:r>
            <w:r w:rsidR="00674205">
              <w:rPr>
                <w:rFonts w:ascii="宋体" w:eastAsia="宋体" w:hAnsi="宋体" w:cs="宋体" w:hint="eastAsia"/>
                <w:sz w:val="24"/>
                <w:szCs w:val="24"/>
              </w:rPr>
              <w:t>冷冻面团类烘焙产品</w:t>
            </w:r>
            <w:r>
              <w:rPr>
                <w:rFonts w:ascii="宋体" w:eastAsia="宋体" w:hAnsi="宋体" w:cs="宋体" w:hint="eastAsia"/>
                <w:sz w:val="24"/>
                <w:szCs w:val="24"/>
              </w:rPr>
              <w:t>，</w:t>
            </w:r>
            <w:r w:rsidR="00674205">
              <w:rPr>
                <w:rFonts w:ascii="宋体" w:eastAsia="宋体" w:hAnsi="宋体" w:cs="宋体" w:hint="eastAsia"/>
                <w:sz w:val="24"/>
                <w:szCs w:val="24"/>
              </w:rPr>
              <w:t>其</w:t>
            </w:r>
            <w:r>
              <w:rPr>
                <w:rFonts w:ascii="宋体" w:eastAsia="宋体" w:hAnsi="宋体" w:cs="宋体" w:hint="eastAsia"/>
                <w:sz w:val="24"/>
                <w:szCs w:val="24"/>
              </w:rPr>
              <w:t>与烘焙预拌粉</w:t>
            </w:r>
            <w:r w:rsidR="00674205">
              <w:rPr>
                <w:rFonts w:ascii="宋体" w:eastAsia="宋体" w:hAnsi="宋体" w:cs="宋体" w:hint="eastAsia"/>
                <w:sz w:val="24"/>
                <w:szCs w:val="24"/>
              </w:rPr>
              <w:t>是</w:t>
            </w:r>
            <w:r>
              <w:rPr>
                <w:rFonts w:ascii="宋体" w:eastAsia="宋体" w:hAnsi="宋体" w:cs="宋体" w:hint="eastAsia"/>
                <w:sz w:val="24"/>
                <w:szCs w:val="24"/>
              </w:rPr>
              <w:t>不同的</w:t>
            </w:r>
            <w:proofErr w:type="gramStart"/>
            <w:r>
              <w:rPr>
                <w:rFonts w:ascii="宋体" w:eastAsia="宋体" w:hAnsi="宋体" w:cs="宋体" w:hint="eastAsia"/>
                <w:sz w:val="24"/>
                <w:szCs w:val="24"/>
              </w:rPr>
              <w:t>烘培解决</w:t>
            </w:r>
            <w:proofErr w:type="gramEnd"/>
            <w:r>
              <w:rPr>
                <w:rFonts w:ascii="宋体" w:eastAsia="宋体" w:hAnsi="宋体" w:cs="宋体" w:hint="eastAsia"/>
                <w:sz w:val="24"/>
                <w:szCs w:val="24"/>
              </w:rPr>
              <w:t>方案。公司为烘焙类客户提供服务的过程中关注到了不同客户的多样化需求，公司通过收购嘉兴</w:t>
            </w:r>
            <w:proofErr w:type="gramStart"/>
            <w:r>
              <w:rPr>
                <w:rFonts w:ascii="宋体" w:eastAsia="宋体" w:hAnsi="宋体" w:cs="宋体" w:hint="eastAsia"/>
                <w:sz w:val="24"/>
                <w:szCs w:val="24"/>
              </w:rPr>
              <w:t>艾贝棒食品</w:t>
            </w:r>
            <w:proofErr w:type="gramEnd"/>
            <w:r>
              <w:rPr>
                <w:rFonts w:ascii="宋体" w:eastAsia="宋体" w:hAnsi="宋体" w:cs="宋体" w:hint="eastAsia"/>
                <w:sz w:val="24"/>
                <w:szCs w:val="24"/>
              </w:rPr>
              <w:t>有限公司，</w:t>
            </w:r>
            <w:r w:rsidR="00674205">
              <w:rPr>
                <w:rFonts w:ascii="宋体" w:eastAsia="宋体" w:hAnsi="宋体" w:cs="宋体" w:hint="eastAsia"/>
                <w:sz w:val="24"/>
                <w:szCs w:val="24"/>
              </w:rPr>
              <w:t>进一步拓展及丰富了我司产品的品类，</w:t>
            </w:r>
            <w:r>
              <w:rPr>
                <w:rFonts w:ascii="宋体" w:eastAsia="宋体" w:hAnsi="宋体" w:cs="宋体" w:hint="eastAsia"/>
                <w:sz w:val="24"/>
                <w:szCs w:val="24"/>
              </w:rPr>
              <w:t>能够为烘焙类客户提供更为丰富的产品</w:t>
            </w:r>
            <w:r w:rsidR="00674205">
              <w:rPr>
                <w:rFonts w:ascii="宋体" w:eastAsia="宋体" w:hAnsi="宋体" w:cs="宋体" w:hint="eastAsia"/>
                <w:sz w:val="24"/>
                <w:szCs w:val="24"/>
              </w:rPr>
              <w:t>组合</w:t>
            </w:r>
            <w:r>
              <w:rPr>
                <w:rFonts w:ascii="宋体" w:eastAsia="宋体" w:hAnsi="宋体" w:cs="宋体" w:hint="eastAsia"/>
                <w:sz w:val="24"/>
                <w:szCs w:val="24"/>
              </w:rPr>
              <w:t>方案，</w:t>
            </w:r>
            <w:r w:rsidR="00674205">
              <w:rPr>
                <w:rFonts w:ascii="宋体" w:eastAsia="宋体" w:hAnsi="宋体" w:cs="宋体" w:hint="eastAsia"/>
                <w:sz w:val="24"/>
                <w:szCs w:val="24"/>
              </w:rPr>
              <w:t>更好地服务</w:t>
            </w:r>
            <w:r>
              <w:rPr>
                <w:rFonts w:ascii="宋体" w:eastAsia="宋体" w:hAnsi="宋体" w:cs="宋体" w:hint="eastAsia"/>
                <w:sz w:val="24"/>
                <w:szCs w:val="24"/>
              </w:rPr>
              <w:t>烘焙</w:t>
            </w:r>
            <w:r w:rsidR="00674205">
              <w:rPr>
                <w:rFonts w:ascii="宋体" w:eastAsia="宋体" w:hAnsi="宋体" w:cs="宋体" w:hint="eastAsia"/>
                <w:sz w:val="24"/>
                <w:szCs w:val="24"/>
              </w:rPr>
              <w:t>类</w:t>
            </w:r>
            <w:r>
              <w:rPr>
                <w:rFonts w:ascii="宋体" w:eastAsia="宋体" w:hAnsi="宋体" w:cs="宋体" w:hint="eastAsia"/>
                <w:sz w:val="24"/>
                <w:szCs w:val="24"/>
              </w:rPr>
              <w:t>客户</w:t>
            </w:r>
            <w:r w:rsidR="00674205">
              <w:rPr>
                <w:rFonts w:ascii="宋体" w:eastAsia="宋体" w:hAnsi="宋体" w:cs="宋体" w:hint="eastAsia"/>
                <w:sz w:val="24"/>
                <w:szCs w:val="24"/>
              </w:rPr>
              <w:t>，</w:t>
            </w:r>
            <w:r>
              <w:rPr>
                <w:rFonts w:ascii="宋体" w:eastAsia="宋体" w:hAnsi="宋体" w:cs="宋体" w:hint="eastAsia"/>
                <w:sz w:val="24"/>
                <w:szCs w:val="24"/>
              </w:rPr>
              <w:t>提升公司的综合竞争力。</w:t>
            </w:r>
          </w:p>
          <w:p w14:paraId="340EF7D6" w14:textId="0AE92132" w:rsidR="004970C3" w:rsidRDefault="00733E26">
            <w:pPr>
              <w:spacing w:line="360" w:lineRule="auto"/>
              <w:ind w:firstLineChars="200" w:firstLine="482"/>
              <w:rPr>
                <w:rFonts w:ascii="宋体" w:eastAsia="宋体" w:hAnsi="宋体" w:cs="宋体" w:hint="eastAsia"/>
                <w:b/>
                <w:bCs/>
                <w:sz w:val="24"/>
                <w:szCs w:val="24"/>
              </w:rPr>
            </w:pPr>
            <w:r>
              <w:rPr>
                <w:rFonts w:ascii="宋体" w:eastAsia="宋体" w:hAnsi="宋体" w:cs="宋体" w:hint="eastAsia"/>
                <w:b/>
                <w:bCs/>
                <w:sz w:val="24"/>
                <w:szCs w:val="24"/>
              </w:rPr>
              <w:t>1</w:t>
            </w:r>
            <w:r w:rsidR="00265B9F">
              <w:rPr>
                <w:rFonts w:ascii="宋体" w:eastAsia="宋体" w:hAnsi="宋体" w:cs="宋体" w:hint="eastAsia"/>
                <w:b/>
                <w:bCs/>
                <w:sz w:val="24"/>
                <w:szCs w:val="24"/>
              </w:rPr>
              <w:t>0</w:t>
            </w:r>
            <w:r>
              <w:rPr>
                <w:rFonts w:ascii="宋体" w:eastAsia="宋体" w:hAnsi="宋体" w:cs="宋体" w:hint="eastAsia"/>
                <w:b/>
                <w:bCs/>
                <w:sz w:val="24"/>
                <w:szCs w:val="24"/>
              </w:rPr>
              <w:t>、公司后续是否考虑实施新的股权激励计划？</w:t>
            </w:r>
          </w:p>
          <w:p w14:paraId="037A463C" w14:textId="5B82218E" w:rsidR="004970C3" w:rsidRDefault="00000000">
            <w:pPr>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公司将根据实际发展情况审慎评估。员工激励体系的构建是一项</w:t>
            </w:r>
            <w:r>
              <w:rPr>
                <w:rFonts w:ascii="宋体" w:eastAsia="宋体" w:hAnsi="宋体" w:cs="宋体" w:hint="eastAsia"/>
                <w:sz w:val="24"/>
                <w:szCs w:val="24"/>
              </w:rPr>
              <w:lastRenderedPageBreak/>
              <w:t>系统性工程，不仅需要兼顾激励效果与公平性，更要精准把握实施尺度。目前，公司已建立起以人才发展为核心导向的分配激励机制，并构建了完善的薪酬福利体系。未来若有新的激励计划推出，公司将严格按照相关规定和流程，及时履行相关程序</w:t>
            </w:r>
            <w:proofErr w:type="gramStart"/>
            <w:r>
              <w:rPr>
                <w:rFonts w:ascii="宋体" w:eastAsia="宋体" w:hAnsi="宋体" w:cs="宋体" w:hint="eastAsia"/>
                <w:sz w:val="24"/>
                <w:szCs w:val="24"/>
              </w:rPr>
              <w:t>及信披义务</w:t>
            </w:r>
            <w:proofErr w:type="gramEnd"/>
            <w:r>
              <w:rPr>
                <w:rFonts w:ascii="宋体" w:eastAsia="宋体" w:hAnsi="宋体" w:cs="宋体" w:hint="eastAsia"/>
                <w:sz w:val="24"/>
                <w:szCs w:val="24"/>
              </w:rPr>
              <w:t>，确保计划的规范运作与透明公开。</w:t>
            </w:r>
          </w:p>
          <w:p w14:paraId="73A2D9C7" w14:textId="40C9BCFD" w:rsidR="004970C3" w:rsidRDefault="00733E26">
            <w:pPr>
              <w:spacing w:line="360" w:lineRule="auto"/>
              <w:ind w:firstLineChars="200" w:firstLine="482"/>
              <w:rPr>
                <w:rFonts w:ascii="宋体" w:eastAsia="宋体" w:hAnsi="宋体" w:cs="宋体" w:hint="eastAsia"/>
                <w:b/>
                <w:bCs/>
                <w:sz w:val="24"/>
                <w:szCs w:val="24"/>
              </w:rPr>
            </w:pPr>
            <w:r>
              <w:rPr>
                <w:rFonts w:ascii="宋体" w:eastAsia="宋体" w:hAnsi="宋体" w:cs="宋体" w:hint="eastAsia"/>
                <w:b/>
                <w:bCs/>
                <w:sz w:val="24"/>
                <w:szCs w:val="24"/>
              </w:rPr>
              <w:t>1</w:t>
            </w:r>
            <w:r w:rsidR="00265B9F">
              <w:rPr>
                <w:rFonts w:ascii="宋体" w:eastAsia="宋体" w:hAnsi="宋体" w:cs="宋体" w:hint="eastAsia"/>
                <w:b/>
                <w:bCs/>
                <w:sz w:val="24"/>
                <w:szCs w:val="24"/>
              </w:rPr>
              <w:t>1</w:t>
            </w:r>
            <w:r>
              <w:rPr>
                <w:rFonts w:ascii="宋体" w:eastAsia="宋体" w:hAnsi="宋体" w:cs="宋体" w:hint="eastAsia"/>
                <w:b/>
                <w:bCs/>
                <w:sz w:val="24"/>
                <w:szCs w:val="24"/>
              </w:rPr>
              <w:t>、</w:t>
            </w:r>
            <w:proofErr w:type="gramStart"/>
            <w:r>
              <w:rPr>
                <w:rFonts w:ascii="宋体" w:eastAsia="宋体" w:hAnsi="宋体" w:cs="宋体" w:hint="eastAsia"/>
                <w:b/>
                <w:bCs/>
                <w:sz w:val="24"/>
                <w:szCs w:val="24"/>
              </w:rPr>
              <w:t>定增什么</w:t>
            </w:r>
            <w:proofErr w:type="gramEnd"/>
            <w:r>
              <w:rPr>
                <w:rFonts w:ascii="宋体" w:eastAsia="宋体" w:hAnsi="宋体" w:cs="宋体" w:hint="eastAsia"/>
                <w:b/>
                <w:bCs/>
                <w:sz w:val="24"/>
                <w:szCs w:val="24"/>
              </w:rPr>
              <w:t>时候能落实？</w:t>
            </w:r>
          </w:p>
          <w:p w14:paraId="6D17CF0A" w14:textId="77777777" w:rsidR="004970C3" w:rsidRDefault="00000000">
            <w:pPr>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公司于2023年8月收到中国证监会出具的关于公司向特定对象发行股票注册的批复，批复自同意注册之日（2023年8月21日）起12个月内有效。公司取得批复文件后一直积极推进本次向特定对象发行股票的发行事宜，但由于资本市场环境变化和发行时机等多方面原因，公司在批复的有效期内未实施本次向特定对象发行股票事宜，该批复到期自动失效，上述事项不会对公司的生产经营活动产生重大影响。具体内容详见公司在上海证券交易所官方网站披露的《青岛日辰食品股份有限公司关于向特定对象发行股票注册批复到期失效的公告》（公告编号：2024-048）。</w:t>
            </w:r>
          </w:p>
          <w:p w14:paraId="09BABB18" w14:textId="16E29441" w:rsidR="004970C3" w:rsidRDefault="00733E26">
            <w:pPr>
              <w:spacing w:line="360" w:lineRule="auto"/>
              <w:ind w:firstLineChars="200" w:firstLine="482"/>
              <w:rPr>
                <w:rFonts w:ascii="宋体" w:eastAsia="宋体" w:hAnsi="宋体" w:cs="宋体" w:hint="eastAsia"/>
                <w:b/>
                <w:bCs/>
                <w:sz w:val="24"/>
                <w:szCs w:val="24"/>
              </w:rPr>
            </w:pPr>
            <w:r>
              <w:rPr>
                <w:rFonts w:ascii="宋体" w:eastAsia="宋体" w:hAnsi="宋体" w:cs="宋体" w:hint="eastAsia"/>
                <w:b/>
                <w:bCs/>
                <w:sz w:val="24"/>
                <w:szCs w:val="24"/>
              </w:rPr>
              <w:t>1</w:t>
            </w:r>
            <w:r w:rsidR="00265B9F">
              <w:rPr>
                <w:rFonts w:ascii="宋体" w:eastAsia="宋体" w:hAnsi="宋体" w:cs="宋体" w:hint="eastAsia"/>
                <w:b/>
                <w:bCs/>
                <w:sz w:val="24"/>
                <w:szCs w:val="24"/>
              </w:rPr>
              <w:t>2</w:t>
            </w:r>
            <w:r>
              <w:rPr>
                <w:rFonts w:ascii="宋体" w:eastAsia="宋体" w:hAnsi="宋体" w:cs="宋体" w:hint="eastAsia"/>
                <w:b/>
                <w:bCs/>
                <w:sz w:val="24"/>
                <w:szCs w:val="24"/>
              </w:rPr>
              <w:t>、公司最近的公告当中表述的“以简易程序定增”是否表示仍然在</w:t>
            </w:r>
            <w:proofErr w:type="gramStart"/>
            <w:r>
              <w:rPr>
                <w:rFonts w:ascii="宋体" w:eastAsia="宋体" w:hAnsi="宋体" w:cs="宋体" w:hint="eastAsia"/>
                <w:b/>
                <w:bCs/>
                <w:sz w:val="24"/>
                <w:szCs w:val="24"/>
              </w:rPr>
              <w:t>进行定增这一</w:t>
            </w:r>
            <w:proofErr w:type="gramEnd"/>
            <w:r>
              <w:rPr>
                <w:rFonts w:ascii="宋体" w:eastAsia="宋体" w:hAnsi="宋体" w:cs="宋体" w:hint="eastAsia"/>
                <w:b/>
                <w:bCs/>
                <w:sz w:val="24"/>
                <w:szCs w:val="24"/>
              </w:rPr>
              <w:t>事宜。这一事宜在何时会有结果？</w:t>
            </w:r>
          </w:p>
          <w:p w14:paraId="771553D7" w14:textId="77777777" w:rsidR="004970C3" w:rsidRDefault="00000000">
            <w:pPr>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公司于2025年4月26日披露的关于提请股东大会授权董事会以简易程序向特定对象发行股票相关事宜尚需股东大会审议，本次审议事项为年度股东大会授权事项，不涉及具体项目和具体发行对象，与上一问题提及的公司2023年获批的向特定对象发行股票事项并非同一事项。后续如有进展，公司将及时发布相关公告。</w:t>
            </w:r>
          </w:p>
        </w:tc>
      </w:tr>
      <w:tr w:rsidR="004970C3" w14:paraId="39C09AF3" w14:textId="77777777">
        <w:trPr>
          <w:trHeight w:val="951"/>
        </w:trPr>
        <w:tc>
          <w:tcPr>
            <w:tcW w:w="1526" w:type="dxa"/>
            <w:vAlign w:val="center"/>
          </w:tcPr>
          <w:p w14:paraId="58B36FDC" w14:textId="77777777" w:rsidR="004970C3" w:rsidRDefault="00000000">
            <w:pPr>
              <w:jc w:val="center"/>
              <w:rPr>
                <w:rFonts w:ascii="Times New Roman" w:eastAsia="宋体" w:hAnsi="Times New Roman" w:cs="Times New Roman"/>
                <w:sz w:val="24"/>
                <w:szCs w:val="28"/>
              </w:rPr>
            </w:pPr>
            <w:r>
              <w:rPr>
                <w:rFonts w:ascii="Times New Roman" w:eastAsia="宋体" w:hAnsi="Times New Roman" w:cs="Times New Roman"/>
                <w:sz w:val="24"/>
                <w:szCs w:val="28"/>
              </w:rPr>
              <w:lastRenderedPageBreak/>
              <w:t>风险提示</w:t>
            </w:r>
          </w:p>
        </w:tc>
        <w:tc>
          <w:tcPr>
            <w:tcW w:w="7513" w:type="dxa"/>
            <w:vAlign w:val="center"/>
          </w:tcPr>
          <w:p w14:paraId="76D7395D" w14:textId="77777777" w:rsidR="004970C3" w:rsidRDefault="00000000">
            <w:pPr>
              <w:spacing w:line="360" w:lineRule="auto"/>
              <w:ind w:firstLineChars="200" w:firstLine="480"/>
              <w:jc w:val="left"/>
              <w:rPr>
                <w:rFonts w:ascii="Times New Roman" w:eastAsia="宋体" w:hAnsi="Times New Roman" w:cs="Times New Roman"/>
                <w:b/>
                <w:bCs/>
                <w:sz w:val="24"/>
                <w:szCs w:val="24"/>
              </w:rPr>
            </w:pPr>
            <w:r>
              <w:rPr>
                <w:rFonts w:ascii="Times New Roman" w:eastAsia="宋体" w:hAnsi="Times New Roman" w:cs="Times New Roman"/>
                <w:sz w:val="24"/>
                <w:szCs w:val="24"/>
              </w:rPr>
              <w:t>以上如涉及对行业发展趋势、公司战略规划、未来经营情况等内容的预测，不能视作公司或管理层对相关事项的承诺和保证，实际情况以公司在法定信息披露渠道发布的公告为准。敬请广大投资者注意投资风险！</w:t>
            </w:r>
          </w:p>
        </w:tc>
      </w:tr>
      <w:tr w:rsidR="004970C3" w14:paraId="2A386102" w14:textId="77777777">
        <w:trPr>
          <w:trHeight w:val="711"/>
        </w:trPr>
        <w:tc>
          <w:tcPr>
            <w:tcW w:w="1526" w:type="dxa"/>
            <w:vAlign w:val="center"/>
          </w:tcPr>
          <w:p w14:paraId="2D0520FD" w14:textId="77777777" w:rsidR="004970C3" w:rsidRDefault="00000000">
            <w:pPr>
              <w:jc w:val="center"/>
              <w:rPr>
                <w:rFonts w:ascii="Times New Roman" w:eastAsia="宋体" w:hAnsi="Times New Roman" w:cs="Times New Roman"/>
                <w:sz w:val="24"/>
                <w:szCs w:val="28"/>
              </w:rPr>
            </w:pPr>
            <w:r>
              <w:rPr>
                <w:rFonts w:ascii="Times New Roman" w:eastAsia="宋体" w:hAnsi="Times New Roman" w:cs="Times New Roman"/>
                <w:sz w:val="24"/>
                <w:szCs w:val="28"/>
              </w:rPr>
              <w:t>附件清单</w:t>
            </w:r>
          </w:p>
          <w:p w14:paraId="38CF530A" w14:textId="77777777" w:rsidR="004970C3" w:rsidRDefault="00000000">
            <w:pPr>
              <w:jc w:val="center"/>
              <w:rPr>
                <w:rFonts w:ascii="Times New Roman" w:eastAsia="宋体" w:hAnsi="Times New Roman" w:cs="Times New Roman"/>
                <w:sz w:val="24"/>
                <w:szCs w:val="28"/>
              </w:rPr>
            </w:pPr>
            <w:r>
              <w:rPr>
                <w:rFonts w:ascii="Times New Roman" w:eastAsia="宋体" w:hAnsi="Times New Roman" w:cs="Times New Roman"/>
                <w:sz w:val="24"/>
                <w:szCs w:val="28"/>
              </w:rPr>
              <w:t>（如有）</w:t>
            </w:r>
          </w:p>
        </w:tc>
        <w:tc>
          <w:tcPr>
            <w:tcW w:w="7513" w:type="dxa"/>
            <w:vAlign w:val="center"/>
          </w:tcPr>
          <w:p w14:paraId="04B18B44" w14:textId="77777777" w:rsidR="004970C3" w:rsidRDefault="00000000">
            <w:pPr>
              <w:jc w:val="left"/>
              <w:rPr>
                <w:rFonts w:ascii="Times New Roman" w:eastAsia="宋体" w:hAnsi="Times New Roman" w:cs="Times New Roman"/>
                <w:sz w:val="24"/>
                <w:szCs w:val="28"/>
              </w:rPr>
            </w:pPr>
            <w:r>
              <w:rPr>
                <w:rFonts w:ascii="Times New Roman" w:eastAsia="宋体" w:hAnsi="Times New Roman" w:cs="Times New Roman"/>
                <w:sz w:val="24"/>
                <w:szCs w:val="28"/>
              </w:rPr>
              <w:t>无。</w:t>
            </w:r>
          </w:p>
        </w:tc>
      </w:tr>
    </w:tbl>
    <w:p w14:paraId="4FEE5122" w14:textId="77777777" w:rsidR="004970C3" w:rsidRDefault="004970C3">
      <w:pPr>
        <w:jc w:val="left"/>
        <w:rPr>
          <w:rFonts w:ascii="华文宋体" w:eastAsia="华文宋体" w:hAnsi="华文宋体" w:hint="eastAsia"/>
          <w:sz w:val="24"/>
          <w:szCs w:val="28"/>
        </w:rPr>
      </w:pPr>
    </w:p>
    <w:sectPr w:rsidR="004970C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28D88E" w14:textId="77777777" w:rsidR="00477D6D" w:rsidRDefault="00477D6D" w:rsidP="00733E26">
      <w:pPr>
        <w:rPr>
          <w:rFonts w:hint="eastAsia"/>
        </w:rPr>
      </w:pPr>
      <w:r>
        <w:separator/>
      </w:r>
    </w:p>
  </w:endnote>
  <w:endnote w:type="continuationSeparator" w:id="0">
    <w:p w14:paraId="5D2F9C15" w14:textId="77777777" w:rsidR="00477D6D" w:rsidRDefault="00477D6D" w:rsidP="00733E26">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华文宋体">
    <w:panose1 w:val="02010600040101010101"/>
    <w:charset w:val="86"/>
    <w:family w:val="auto"/>
    <w:pitch w:val="variable"/>
    <w:sig w:usb0="00000287" w:usb1="080F0000" w:usb2="00000010" w:usb3="00000000" w:csb0="0004009F" w:csb1="00000000"/>
  </w:font>
  <w:font w:name="Wingdings 2">
    <w:panose1 w:val="050201020105070707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3EC8BF" w14:textId="77777777" w:rsidR="00477D6D" w:rsidRDefault="00477D6D" w:rsidP="00733E26">
      <w:pPr>
        <w:rPr>
          <w:rFonts w:hint="eastAsia"/>
        </w:rPr>
      </w:pPr>
      <w:r>
        <w:separator/>
      </w:r>
    </w:p>
  </w:footnote>
  <w:footnote w:type="continuationSeparator" w:id="0">
    <w:p w14:paraId="16E4E437" w14:textId="77777777" w:rsidR="00477D6D" w:rsidRDefault="00477D6D" w:rsidP="00733E26">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bordersDoNotSurroundHeader/>
  <w:bordersDoNotSurroundFooter/>
  <w:proofState w:spelling="clean" w:grammar="clean"/>
  <w:defaultTabStop w:val="420"/>
  <w:noPunctuationKerning/>
  <w:characterSpacingControl w:val="doNotCompress"/>
  <w:hdrShapeDefaults>
    <o:shapedefaults v:ext="edit" spidmax="2050"/>
  </w:hdrShapeDefault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2"/>
    <w:compatSetting w:name="useWord2013TrackBottomHyphenation" w:uri="http://schemas.microsoft.com/office/word" w:val="1"/>
  </w:compat>
  <w:docVars>
    <w:docVar w:name="commondata" w:val="eyJoZGlkIjoiNDVkZjcyNTZmMjA4YjJjZTkzZWM1M2FiZGMyYWRiYzIifQ=="/>
  </w:docVars>
  <w:rsids>
    <w:rsidRoot w:val="00172A27"/>
    <w:rsid w:val="00015689"/>
    <w:rsid w:val="000174F0"/>
    <w:rsid w:val="0002603D"/>
    <w:rsid w:val="000465C7"/>
    <w:rsid w:val="00046B5D"/>
    <w:rsid w:val="00060DA4"/>
    <w:rsid w:val="00067963"/>
    <w:rsid w:val="0007431E"/>
    <w:rsid w:val="0009229A"/>
    <w:rsid w:val="00094A1C"/>
    <w:rsid w:val="000B2FF0"/>
    <w:rsid w:val="000C07BA"/>
    <w:rsid w:val="000D07BB"/>
    <w:rsid w:val="000D3C76"/>
    <w:rsid w:val="000D4BE6"/>
    <w:rsid w:val="000D6723"/>
    <w:rsid w:val="000E59D7"/>
    <w:rsid w:val="000E5D96"/>
    <w:rsid w:val="000F6013"/>
    <w:rsid w:val="00103834"/>
    <w:rsid w:val="00104F9F"/>
    <w:rsid w:val="00105E5D"/>
    <w:rsid w:val="001072D7"/>
    <w:rsid w:val="00107333"/>
    <w:rsid w:val="00116725"/>
    <w:rsid w:val="001205BC"/>
    <w:rsid w:val="00125C5E"/>
    <w:rsid w:val="001279A1"/>
    <w:rsid w:val="001329A8"/>
    <w:rsid w:val="0013488A"/>
    <w:rsid w:val="0014025D"/>
    <w:rsid w:val="00144162"/>
    <w:rsid w:val="00153FCF"/>
    <w:rsid w:val="00155CE7"/>
    <w:rsid w:val="0016766B"/>
    <w:rsid w:val="00172A27"/>
    <w:rsid w:val="00172FD7"/>
    <w:rsid w:val="001734F5"/>
    <w:rsid w:val="00175E1D"/>
    <w:rsid w:val="00177D75"/>
    <w:rsid w:val="00183B1C"/>
    <w:rsid w:val="00191054"/>
    <w:rsid w:val="001934BE"/>
    <w:rsid w:val="001937C4"/>
    <w:rsid w:val="001B3085"/>
    <w:rsid w:val="001B4CA4"/>
    <w:rsid w:val="001C2262"/>
    <w:rsid w:val="001C3779"/>
    <w:rsid w:val="001E5282"/>
    <w:rsid w:val="00213EA1"/>
    <w:rsid w:val="00216AA6"/>
    <w:rsid w:val="00217C40"/>
    <w:rsid w:val="002471E6"/>
    <w:rsid w:val="002503AC"/>
    <w:rsid w:val="0025691E"/>
    <w:rsid w:val="00261E0B"/>
    <w:rsid w:val="00265B9F"/>
    <w:rsid w:val="002665E4"/>
    <w:rsid w:val="0028019C"/>
    <w:rsid w:val="00287AE7"/>
    <w:rsid w:val="002944EA"/>
    <w:rsid w:val="002D2A69"/>
    <w:rsid w:val="002D743E"/>
    <w:rsid w:val="002D79DF"/>
    <w:rsid w:val="002E11F4"/>
    <w:rsid w:val="002E7FDD"/>
    <w:rsid w:val="0030286C"/>
    <w:rsid w:val="00330822"/>
    <w:rsid w:val="00330F52"/>
    <w:rsid w:val="003315B2"/>
    <w:rsid w:val="003323B7"/>
    <w:rsid w:val="00332D67"/>
    <w:rsid w:val="00333433"/>
    <w:rsid w:val="00337005"/>
    <w:rsid w:val="00344250"/>
    <w:rsid w:val="003532FD"/>
    <w:rsid w:val="003637F3"/>
    <w:rsid w:val="003655A4"/>
    <w:rsid w:val="00367D22"/>
    <w:rsid w:val="0038240A"/>
    <w:rsid w:val="00382C6D"/>
    <w:rsid w:val="003A037E"/>
    <w:rsid w:val="003A2F36"/>
    <w:rsid w:val="003B11B0"/>
    <w:rsid w:val="003B6097"/>
    <w:rsid w:val="003C75AD"/>
    <w:rsid w:val="003D536E"/>
    <w:rsid w:val="003E35FE"/>
    <w:rsid w:val="003E3C1A"/>
    <w:rsid w:val="003E6355"/>
    <w:rsid w:val="0040556E"/>
    <w:rsid w:val="00413664"/>
    <w:rsid w:val="004225C5"/>
    <w:rsid w:val="0043064C"/>
    <w:rsid w:val="0043742D"/>
    <w:rsid w:val="0045354F"/>
    <w:rsid w:val="0046113B"/>
    <w:rsid w:val="00464695"/>
    <w:rsid w:val="00473B8B"/>
    <w:rsid w:val="00473CD0"/>
    <w:rsid w:val="00477D6D"/>
    <w:rsid w:val="00490A4E"/>
    <w:rsid w:val="00490CD3"/>
    <w:rsid w:val="00490FB4"/>
    <w:rsid w:val="004970C3"/>
    <w:rsid w:val="004C0A6C"/>
    <w:rsid w:val="004D334D"/>
    <w:rsid w:val="004D633E"/>
    <w:rsid w:val="004E16D1"/>
    <w:rsid w:val="004E7E43"/>
    <w:rsid w:val="004F2226"/>
    <w:rsid w:val="004F6165"/>
    <w:rsid w:val="004F732F"/>
    <w:rsid w:val="005049A1"/>
    <w:rsid w:val="00504C02"/>
    <w:rsid w:val="00525502"/>
    <w:rsid w:val="00532D0D"/>
    <w:rsid w:val="00534984"/>
    <w:rsid w:val="00541C70"/>
    <w:rsid w:val="00551832"/>
    <w:rsid w:val="00553A03"/>
    <w:rsid w:val="0056401E"/>
    <w:rsid w:val="005645A7"/>
    <w:rsid w:val="00565707"/>
    <w:rsid w:val="005759BB"/>
    <w:rsid w:val="00577512"/>
    <w:rsid w:val="00584C4A"/>
    <w:rsid w:val="00585C90"/>
    <w:rsid w:val="005A08FA"/>
    <w:rsid w:val="005A5ED2"/>
    <w:rsid w:val="005B2A26"/>
    <w:rsid w:val="005D54D1"/>
    <w:rsid w:val="005D5760"/>
    <w:rsid w:val="005E3CEB"/>
    <w:rsid w:val="005E750C"/>
    <w:rsid w:val="006052E3"/>
    <w:rsid w:val="0061004A"/>
    <w:rsid w:val="0061477B"/>
    <w:rsid w:val="00620A11"/>
    <w:rsid w:val="00630123"/>
    <w:rsid w:val="00630B17"/>
    <w:rsid w:val="00640C0C"/>
    <w:rsid w:val="006410E2"/>
    <w:rsid w:val="006432FE"/>
    <w:rsid w:val="00644859"/>
    <w:rsid w:val="0064558E"/>
    <w:rsid w:val="006638C8"/>
    <w:rsid w:val="00664F19"/>
    <w:rsid w:val="00674205"/>
    <w:rsid w:val="006A6199"/>
    <w:rsid w:val="006A647B"/>
    <w:rsid w:val="006B18AF"/>
    <w:rsid w:val="006C6698"/>
    <w:rsid w:val="006C7D31"/>
    <w:rsid w:val="006D24A0"/>
    <w:rsid w:val="006D4217"/>
    <w:rsid w:val="006E1066"/>
    <w:rsid w:val="006E286B"/>
    <w:rsid w:val="006E56DE"/>
    <w:rsid w:val="006E6B68"/>
    <w:rsid w:val="006F35D1"/>
    <w:rsid w:val="00710906"/>
    <w:rsid w:val="007141A7"/>
    <w:rsid w:val="00715A1F"/>
    <w:rsid w:val="00727BE5"/>
    <w:rsid w:val="00732EB4"/>
    <w:rsid w:val="00733E26"/>
    <w:rsid w:val="007346C8"/>
    <w:rsid w:val="00744939"/>
    <w:rsid w:val="00754498"/>
    <w:rsid w:val="00762833"/>
    <w:rsid w:val="007638F4"/>
    <w:rsid w:val="007661E2"/>
    <w:rsid w:val="007709FA"/>
    <w:rsid w:val="007727FB"/>
    <w:rsid w:val="00776567"/>
    <w:rsid w:val="00777FBE"/>
    <w:rsid w:val="00780F1D"/>
    <w:rsid w:val="00796DCF"/>
    <w:rsid w:val="007A198E"/>
    <w:rsid w:val="007A456B"/>
    <w:rsid w:val="007B535C"/>
    <w:rsid w:val="007D32ED"/>
    <w:rsid w:val="007E1EED"/>
    <w:rsid w:val="007F39FC"/>
    <w:rsid w:val="007F75AB"/>
    <w:rsid w:val="00804DCC"/>
    <w:rsid w:val="008202BA"/>
    <w:rsid w:val="00834CEC"/>
    <w:rsid w:val="0084106C"/>
    <w:rsid w:val="0085240F"/>
    <w:rsid w:val="00852F50"/>
    <w:rsid w:val="00860CD8"/>
    <w:rsid w:val="008717C7"/>
    <w:rsid w:val="00876B01"/>
    <w:rsid w:val="008B20B4"/>
    <w:rsid w:val="008B2D0B"/>
    <w:rsid w:val="008B3B98"/>
    <w:rsid w:val="008F475C"/>
    <w:rsid w:val="008F477B"/>
    <w:rsid w:val="00901FD9"/>
    <w:rsid w:val="009076CC"/>
    <w:rsid w:val="00915B2C"/>
    <w:rsid w:val="00916516"/>
    <w:rsid w:val="00922CF6"/>
    <w:rsid w:val="00923B97"/>
    <w:rsid w:val="00942050"/>
    <w:rsid w:val="009464E6"/>
    <w:rsid w:val="00955871"/>
    <w:rsid w:val="00961EED"/>
    <w:rsid w:val="0096687F"/>
    <w:rsid w:val="00980AF3"/>
    <w:rsid w:val="0098548B"/>
    <w:rsid w:val="00994FF9"/>
    <w:rsid w:val="009B24FA"/>
    <w:rsid w:val="009B5FEF"/>
    <w:rsid w:val="009B7894"/>
    <w:rsid w:val="009C125B"/>
    <w:rsid w:val="009C364B"/>
    <w:rsid w:val="009C463D"/>
    <w:rsid w:val="009C5B6C"/>
    <w:rsid w:val="009D6ECE"/>
    <w:rsid w:val="009D7531"/>
    <w:rsid w:val="009D79F5"/>
    <w:rsid w:val="009E4533"/>
    <w:rsid w:val="009E6387"/>
    <w:rsid w:val="009F037B"/>
    <w:rsid w:val="009F0C1B"/>
    <w:rsid w:val="009F11CD"/>
    <w:rsid w:val="00A00CE4"/>
    <w:rsid w:val="00A13D78"/>
    <w:rsid w:val="00A22999"/>
    <w:rsid w:val="00A350C7"/>
    <w:rsid w:val="00A35F39"/>
    <w:rsid w:val="00A57387"/>
    <w:rsid w:val="00A668A5"/>
    <w:rsid w:val="00A70EE4"/>
    <w:rsid w:val="00A82D5C"/>
    <w:rsid w:val="00A82DB4"/>
    <w:rsid w:val="00A83F3A"/>
    <w:rsid w:val="00A86B72"/>
    <w:rsid w:val="00A91911"/>
    <w:rsid w:val="00A9682D"/>
    <w:rsid w:val="00AA0DB2"/>
    <w:rsid w:val="00AB3E07"/>
    <w:rsid w:val="00AB5983"/>
    <w:rsid w:val="00AC23B8"/>
    <w:rsid w:val="00AC4572"/>
    <w:rsid w:val="00AD3857"/>
    <w:rsid w:val="00AE03C4"/>
    <w:rsid w:val="00AE3AA7"/>
    <w:rsid w:val="00AE50D7"/>
    <w:rsid w:val="00AE74E9"/>
    <w:rsid w:val="00AF216F"/>
    <w:rsid w:val="00AF4E4D"/>
    <w:rsid w:val="00B04699"/>
    <w:rsid w:val="00B10FE6"/>
    <w:rsid w:val="00B13F25"/>
    <w:rsid w:val="00B363FB"/>
    <w:rsid w:val="00B420D5"/>
    <w:rsid w:val="00B42756"/>
    <w:rsid w:val="00B709D5"/>
    <w:rsid w:val="00B70DFA"/>
    <w:rsid w:val="00B744E2"/>
    <w:rsid w:val="00B74FF5"/>
    <w:rsid w:val="00B85372"/>
    <w:rsid w:val="00BB01F3"/>
    <w:rsid w:val="00BB0CA5"/>
    <w:rsid w:val="00BB1AC4"/>
    <w:rsid w:val="00BB6243"/>
    <w:rsid w:val="00BB7582"/>
    <w:rsid w:val="00BC4D6C"/>
    <w:rsid w:val="00BD4594"/>
    <w:rsid w:val="00BF2E37"/>
    <w:rsid w:val="00BF51D9"/>
    <w:rsid w:val="00C06C8F"/>
    <w:rsid w:val="00C12FCF"/>
    <w:rsid w:val="00C14BDF"/>
    <w:rsid w:val="00C3134F"/>
    <w:rsid w:val="00C36F63"/>
    <w:rsid w:val="00C406F5"/>
    <w:rsid w:val="00C413E7"/>
    <w:rsid w:val="00C42541"/>
    <w:rsid w:val="00C644ED"/>
    <w:rsid w:val="00C649C5"/>
    <w:rsid w:val="00C73CE9"/>
    <w:rsid w:val="00C75A95"/>
    <w:rsid w:val="00C84BB6"/>
    <w:rsid w:val="00C852DF"/>
    <w:rsid w:val="00C93C0D"/>
    <w:rsid w:val="00C96FE7"/>
    <w:rsid w:val="00CA34D4"/>
    <w:rsid w:val="00CA4A0A"/>
    <w:rsid w:val="00CA5005"/>
    <w:rsid w:val="00CC02E8"/>
    <w:rsid w:val="00CC2227"/>
    <w:rsid w:val="00CE0E27"/>
    <w:rsid w:val="00CE7E91"/>
    <w:rsid w:val="00CF4C3F"/>
    <w:rsid w:val="00CF5921"/>
    <w:rsid w:val="00D01EB2"/>
    <w:rsid w:val="00D146BF"/>
    <w:rsid w:val="00D163BB"/>
    <w:rsid w:val="00D367D9"/>
    <w:rsid w:val="00D51C75"/>
    <w:rsid w:val="00D54577"/>
    <w:rsid w:val="00D54824"/>
    <w:rsid w:val="00D62F17"/>
    <w:rsid w:val="00D711CC"/>
    <w:rsid w:val="00D865F7"/>
    <w:rsid w:val="00D970F2"/>
    <w:rsid w:val="00DA1739"/>
    <w:rsid w:val="00DA4897"/>
    <w:rsid w:val="00DB53D7"/>
    <w:rsid w:val="00DC2C15"/>
    <w:rsid w:val="00DC47AF"/>
    <w:rsid w:val="00DC723B"/>
    <w:rsid w:val="00DC76A1"/>
    <w:rsid w:val="00DE4BC0"/>
    <w:rsid w:val="00DF6364"/>
    <w:rsid w:val="00E026BE"/>
    <w:rsid w:val="00E36126"/>
    <w:rsid w:val="00E517E1"/>
    <w:rsid w:val="00E555EE"/>
    <w:rsid w:val="00E6068B"/>
    <w:rsid w:val="00E621D3"/>
    <w:rsid w:val="00E64E6F"/>
    <w:rsid w:val="00E80386"/>
    <w:rsid w:val="00E80865"/>
    <w:rsid w:val="00E81080"/>
    <w:rsid w:val="00E936EA"/>
    <w:rsid w:val="00EA0F50"/>
    <w:rsid w:val="00EA173F"/>
    <w:rsid w:val="00EB2180"/>
    <w:rsid w:val="00EB234F"/>
    <w:rsid w:val="00EB3F8B"/>
    <w:rsid w:val="00EC235A"/>
    <w:rsid w:val="00EC5FAC"/>
    <w:rsid w:val="00EE0ACE"/>
    <w:rsid w:val="00EF76DC"/>
    <w:rsid w:val="00EF7B58"/>
    <w:rsid w:val="00F13641"/>
    <w:rsid w:val="00F141A1"/>
    <w:rsid w:val="00F157FA"/>
    <w:rsid w:val="00F247BA"/>
    <w:rsid w:val="00F40B20"/>
    <w:rsid w:val="00F762C9"/>
    <w:rsid w:val="00F84CD2"/>
    <w:rsid w:val="00F850AD"/>
    <w:rsid w:val="00F92F54"/>
    <w:rsid w:val="00F937D2"/>
    <w:rsid w:val="00FA14DD"/>
    <w:rsid w:val="00FB2F32"/>
    <w:rsid w:val="00FB4C39"/>
    <w:rsid w:val="00FB7315"/>
    <w:rsid w:val="00FC1B6E"/>
    <w:rsid w:val="00FC53F4"/>
    <w:rsid w:val="00FC664E"/>
    <w:rsid w:val="00FD4303"/>
    <w:rsid w:val="00FD6198"/>
    <w:rsid w:val="00FF0B68"/>
    <w:rsid w:val="012A2737"/>
    <w:rsid w:val="015F1B2E"/>
    <w:rsid w:val="01FD3964"/>
    <w:rsid w:val="04F759ED"/>
    <w:rsid w:val="05303CD9"/>
    <w:rsid w:val="06BE6F41"/>
    <w:rsid w:val="076F17EB"/>
    <w:rsid w:val="081A3B52"/>
    <w:rsid w:val="08B03E69"/>
    <w:rsid w:val="0E2D63FB"/>
    <w:rsid w:val="0EC57B9A"/>
    <w:rsid w:val="0F5658D0"/>
    <w:rsid w:val="106F4CF2"/>
    <w:rsid w:val="10A253EA"/>
    <w:rsid w:val="119B54E0"/>
    <w:rsid w:val="12DD0F83"/>
    <w:rsid w:val="13255113"/>
    <w:rsid w:val="13C92160"/>
    <w:rsid w:val="14B720DC"/>
    <w:rsid w:val="157C2BE3"/>
    <w:rsid w:val="15806971"/>
    <w:rsid w:val="15826B8D"/>
    <w:rsid w:val="16175951"/>
    <w:rsid w:val="162D4D4B"/>
    <w:rsid w:val="16473933"/>
    <w:rsid w:val="16B47290"/>
    <w:rsid w:val="16BA330A"/>
    <w:rsid w:val="18B904BA"/>
    <w:rsid w:val="1A0E18C6"/>
    <w:rsid w:val="1A596D13"/>
    <w:rsid w:val="1AAC1FB7"/>
    <w:rsid w:val="1B082A65"/>
    <w:rsid w:val="1BCC74C3"/>
    <w:rsid w:val="1D412A89"/>
    <w:rsid w:val="1D470C5B"/>
    <w:rsid w:val="1D7414B2"/>
    <w:rsid w:val="1DEC7916"/>
    <w:rsid w:val="1F875CE6"/>
    <w:rsid w:val="21026C3B"/>
    <w:rsid w:val="21515502"/>
    <w:rsid w:val="22E21510"/>
    <w:rsid w:val="23F52C20"/>
    <w:rsid w:val="24404761"/>
    <w:rsid w:val="2681391F"/>
    <w:rsid w:val="27541676"/>
    <w:rsid w:val="282E29DA"/>
    <w:rsid w:val="293A1222"/>
    <w:rsid w:val="29C84547"/>
    <w:rsid w:val="2A2910AB"/>
    <w:rsid w:val="2AD76BDC"/>
    <w:rsid w:val="2DCA6ECC"/>
    <w:rsid w:val="2E025C97"/>
    <w:rsid w:val="2E4E3659"/>
    <w:rsid w:val="2E5D045D"/>
    <w:rsid w:val="2EB55486"/>
    <w:rsid w:val="2EF04710"/>
    <w:rsid w:val="30A10814"/>
    <w:rsid w:val="319C3325"/>
    <w:rsid w:val="320E08E5"/>
    <w:rsid w:val="32190A90"/>
    <w:rsid w:val="32643B50"/>
    <w:rsid w:val="349A37A6"/>
    <w:rsid w:val="359B745C"/>
    <w:rsid w:val="35B42198"/>
    <w:rsid w:val="365C6843"/>
    <w:rsid w:val="39081C6C"/>
    <w:rsid w:val="396E2A17"/>
    <w:rsid w:val="3A326A07"/>
    <w:rsid w:val="3ABD76FE"/>
    <w:rsid w:val="3C5502A8"/>
    <w:rsid w:val="3D733747"/>
    <w:rsid w:val="3D7742F0"/>
    <w:rsid w:val="3E3363C7"/>
    <w:rsid w:val="41127EAA"/>
    <w:rsid w:val="41237C3B"/>
    <w:rsid w:val="41AF0CC7"/>
    <w:rsid w:val="451A2926"/>
    <w:rsid w:val="461F3F36"/>
    <w:rsid w:val="48F3339C"/>
    <w:rsid w:val="4972249A"/>
    <w:rsid w:val="4A802994"/>
    <w:rsid w:val="4AD06D17"/>
    <w:rsid w:val="4AD43F54"/>
    <w:rsid w:val="4B9E1324"/>
    <w:rsid w:val="4C015761"/>
    <w:rsid w:val="4EF53AC1"/>
    <w:rsid w:val="4F1639D2"/>
    <w:rsid w:val="507E55E1"/>
    <w:rsid w:val="51240372"/>
    <w:rsid w:val="520E6AC4"/>
    <w:rsid w:val="52412102"/>
    <w:rsid w:val="52AB0F7B"/>
    <w:rsid w:val="54BE2A37"/>
    <w:rsid w:val="54C72DC0"/>
    <w:rsid w:val="5531128E"/>
    <w:rsid w:val="57D025E0"/>
    <w:rsid w:val="58581EE0"/>
    <w:rsid w:val="58CE5813"/>
    <w:rsid w:val="59F61A44"/>
    <w:rsid w:val="5B731FC6"/>
    <w:rsid w:val="5B7441C0"/>
    <w:rsid w:val="5C4B1CFA"/>
    <w:rsid w:val="5CDB7257"/>
    <w:rsid w:val="5D441ED1"/>
    <w:rsid w:val="5DB61185"/>
    <w:rsid w:val="5EC944B2"/>
    <w:rsid w:val="5F4D3B84"/>
    <w:rsid w:val="5FC058B5"/>
    <w:rsid w:val="5FE72AA2"/>
    <w:rsid w:val="60350178"/>
    <w:rsid w:val="607D3635"/>
    <w:rsid w:val="60E6759D"/>
    <w:rsid w:val="60E71F73"/>
    <w:rsid w:val="60F054B1"/>
    <w:rsid w:val="633821FD"/>
    <w:rsid w:val="63750765"/>
    <w:rsid w:val="64DB7C2E"/>
    <w:rsid w:val="663911F2"/>
    <w:rsid w:val="66507267"/>
    <w:rsid w:val="680254F4"/>
    <w:rsid w:val="68722C30"/>
    <w:rsid w:val="68A651D0"/>
    <w:rsid w:val="68B9426A"/>
    <w:rsid w:val="695864A9"/>
    <w:rsid w:val="69705A0B"/>
    <w:rsid w:val="6A306A17"/>
    <w:rsid w:val="6A633BA6"/>
    <w:rsid w:val="6AFE1987"/>
    <w:rsid w:val="6BDB3A86"/>
    <w:rsid w:val="6CC369E5"/>
    <w:rsid w:val="6F375DD6"/>
    <w:rsid w:val="6F5D28DA"/>
    <w:rsid w:val="70943802"/>
    <w:rsid w:val="71BC5265"/>
    <w:rsid w:val="71F418D7"/>
    <w:rsid w:val="72627F63"/>
    <w:rsid w:val="749F7D37"/>
    <w:rsid w:val="74AF784E"/>
    <w:rsid w:val="74B60855"/>
    <w:rsid w:val="74EF5E74"/>
    <w:rsid w:val="750156D5"/>
    <w:rsid w:val="761402B1"/>
    <w:rsid w:val="77C55229"/>
    <w:rsid w:val="77F263D0"/>
    <w:rsid w:val="7924080B"/>
    <w:rsid w:val="7A884E4D"/>
    <w:rsid w:val="7A9B68B6"/>
    <w:rsid w:val="7B7FB566"/>
    <w:rsid w:val="7C33094A"/>
    <w:rsid w:val="7D100418"/>
    <w:rsid w:val="7E3D6A17"/>
    <w:rsid w:val="7F49018D"/>
    <w:rsid w:val="7FBF6A81"/>
    <w:rsid w:val="7FCF31C7"/>
    <w:rsid w:val="7FE225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6DF4A1"/>
  <w15:docId w15:val="{09830436-FD70-4893-88B2-CD8BC9DCF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pPr>
      <w:jc w:val="left"/>
    </w:pPr>
  </w:style>
  <w:style w:type="paragraph" w:styleId="a4">
    <w:name w:val="footer"/>
    <w:basedOn w:val="a"/>
    <w:link w:val="a5"/>
    <w:autoRedefine/>
    <w:uiPriority w:val="99"/>
    <w:unhideWhenUsed/>
    <w:qFormat/>
    <w:pPr>
      <w:tabs>
        <w:tab w:val="center" w:pos="4153"/>
        <w:tab w:val="right" w:pos="8306"/>
      </w:tabs>
      <w:snapToGrid w:val="0"/>
      <w:jc w:val="left"/>
    </w:pPr>
    <w:rPr>
      <w:sz w:val="18"/>
      <w:szCs w:val="18"/>
    </w:rPr>
  </w:style>
  <w:style w:type="paragraph" w:styleId="a6">
    <w:name w:val="header"/>
    <w:basedOn w:val="a"/>
    <w:link w:val="a7"/>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semiHidden/>
    <w:unhideWhenUsed/>
    <w:pPr>
      <w:spacing w:beforeAutospacing="1" w:afterAutospacing="1"/>
      <w:jc w:val="left"/>
    </w:pPr>
    <w:rPr>
      <w:rFonts w:cs="Times New Roman"/>
      <w:kern w:val="0"/>
      <w:sz w:val="24"/>
    </w:rPr>
  </w:style>
  <w:style w:type="table" w:styleId="a9">
    <w:name w:val="Table Grid"/>
    <w:basedOn w:val="a1"/>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qFormat/>
    <w:rPr>
      <w:sz w:val="21"/>
      <w:szCs w:val="21"/>
    </w:rPr>
  </w:style>
  <w:style w:type="character" w:customStyle="1" w:styleId="a7">
    <w:name w:val="页眉 字符"/>
    <w:basedOn w:val="a0"/>
    <w:link w:val="a6"/>
    <w:autoRedefine/>
    <w:uiPriority w:val="99"/>
    <w:qFormat/>
    <w:rPr>
      <w:sz w:val="18"/>
      <w:szCs w:val="18"/>
    </w:rPr>
  </w:style>
  <w:style w:type="character" w:customStyle="1" w:styleId="a5">
    <w:name w:val="页脚 字符"/>
    <w:basedOn w:val="a0"/>
    <w:link w:val="a4"/>
    <w:autoRedefine/>
    <w:uiPriority w:val="99"/>
    <w:qFormat/>
    <w:rPr>
      <w:sz w:val="18"/>
      <w:szCs w:val="18"/>
    </w:rPr>
  </w:style>
  <w:style w:type="paragraph" w:styleId="ab">
    <w:name w:val="List Paragraph"/>
    <w:basedOn w:val="a"/>
    <w:autoRedefine/>
    <w:uiPriority w:val="34"/>
    <w:qFormat/>
    <w:pPr>
      <w:ind w:firstLineChars="200" w:firstLine="420"/>
    </w:pPr>
  </w:style>
  <w:style w:type="paragraph" w:customStyle="1" w:styleId="1">
    <w:name w:val="修订1"/>
    <w:autoRedefine/>
    <w:hidden/>
    <w:uiPriority w:val="99"/>
    <w:semiHidden/>
    <w:qFormat/>
    <w:rPr>
      <w:rFonts w:asciiTheme="minorHAnsi" w:eastAsiaTheme="minorEastAsia" w:hAnsiTheme="minorHAnsi" w:cstheme="minorBidi"/>
      <w:kern w:val="2"/>
      <w:sz w:val="21"/>
      <w:szCs w:val="22"/>
    </w:rPr>
  </w:style>
  <w:style w:type="paragraph" w:customStyle="1" w:styleId="2">
    <w:name w:val="修订2"/>
    <w:autoRedefine/>
    <w:hidden/>
    <w:uiPriority w:val="99"/>
    <w:unhideWhenUsed/>
    <w:qFormat/>
    <w:rPr>
      <w:rFonts w:asciiTheme="minorHAnsi" w:eastAsiaTheme="minorEastAsia" w:hAnsiTheme="minorHAnsi" w:cstheme="minorBidi"/>
      <w:kern w:val="2"/>
      <w:sz w:val="21"/>
      <w:szCs w:val="22"/>
    </w:rPr>
  </w:style>
  <w:style w:type="paragraph" w:customStyle="1" w:styleId="3">
    <w:name w:val="修订3"/>
    <w:hidden/>
    <w:uiPriority w:val="99"/>
    <w:unhideWhenUsed/>
    <w:qFormat/>
    <w:rPr>
      <w:rFonts w:asciiTheme="minorHAnsi" w:eastAsiaTheme="minorEastAsia" w:hAnsiTheme="minorHAnsi" w:cstheme="minorBidi"/>
      <w:kern w:val="2"/>
      <w:sz w:val="21"/>
      <w:szCs w:val="22"/>
    </w:rPr>
  </w:style>
  <w:style w:type="paragraph" w:styleId="ac">
    <w:name w:val="Revision"/>
    <w:hidden/>
    <w:uiPriority w:val="99"/>
    <w:unhideWhenUsed/>
    <w:rsid w:val="00733E26"/>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301</TotalTime>
  <Pages>5</Pages>
  <Words>590</Words>
  <Characters>3367</Characters>
  <Application>Microsoft Office Word</Application>
  <DocSecurity>0</DocSecurity>
  <Lines>28</Lines>
  <Paragraphs>7</Paragraphs>
  <ScaleCrop>false</ScaleCrop>
  <Company/>
  <LinksUpToDate>false</LinksUpToDate>
  <CharactersWithSpaces>3950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刘耀雷</dc:creator>
  <cp:lastModifiedBy>houyaxi@richen.com</cp:lastModifiedBy>
  <cp:revision>150</cp:revision>
  <cp:lastPrinted>2025-05-21T09:10:00Z</cp:lastPrinted>
  <dcterms:created xsi:type="dcterms:W3CDTF">2022-05-24T17:39:00Z</dcterms:created>
  <dcterms:modified xsi:type="dcterms:W3CDTF">2025-05-22T00:29:00Z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AFD28CE253F540AABC34E4F6DFB5B343</vt:lpwstr>
  </property>
  <property fmtid="{D5CDD505-2E9C-101B-9397-08002B2CF9AE}" pid="4" name="KSOTemplateDocerSaveRecord">
    <vt:lpwstr>eyJoZGlkIjoiODViY2JkMjU3NGYzZTEwMzZmMGFkZWViYmNkYWU3NDIiLCJ1c2VySWQiOiI2Nzc1Mjg4MzUifQ==</vt:lpwstr>
  </property>
</Properties>
</file>