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0F009">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601015                             </w:t>
      </w:r>
      <w:r>
        <w:rPr>
          <w:rFonts w:hAnsi="宋体"/>
          <w:bCs/>
          <w:iCs/>
          <w:color w:val="000000"/>
          <w:sz w:val="24"/>
        </w:rPr>
        <w:t>证券简称：</w:t>
      </w:r>
      <w:r>
        <w:rPr>
          <w:color w:val="000000"/>
          <w:sz w:val="24"/>
        </w:rPr>
        <w:t>陕西黑猫</w:t>
      </w:r>
    </w:p>
    <w:p w14:paraId="1859A44A">
      <w:pPr>
        <w:spacing w:before="156" w:beforeLines="50" w:after="156" w:afterLines="50" w:line="400" w:lineRule="exact"/>
        <w:jc w:val="center"/>
        <w:rPr>
          <w:rFonts w:hint="default" w:ascii="宋体" w:hAnsi="宋体"/>
          <w:b/>
          <w:bCs/>
          <w:iCs/>
          <w:color w:val="000000"/>
          <w:sz w:val="32"/>
          <w:szCs w:val="32"/>
        </w:rPr>
      </w:pPr>
    </w:p>
    <w:p w14:paraId="62960528">
      <w:pPr>
        <w:spacing w:before="156" w:beforeLines="50" w:after="156" w:afterLines="50" w:line="400" w:lineRule="exact"/>
        <w:jc w:val="center"/>
        <w:rPr>
          <w:rFonts w:hint="eastAsia" w:ascii="宋体" w:hAnsi="宋体"/>
          <w:bCs/>
          <w:iCs/>
          <w:color w:val="000000"/>
          <w:sz w:val="24"/>
        </w:rPr>
      </w:pPr>
      <w:r>
        <w:rPr>
          <w:rFonts w:hint="default" w:ascii="宋体" w:hAnsi="宋体"/>
          <w:b/>
          <w:bCs/>
          <w:iCs/>
          <w:color w:val="000000"/>
          <w:sz w:val="32"/>
          <w:szCs w:val="32"/>
        </w:rPr>
        <w:t>陕西黑猫焦化股份有限公司</w:t>
      </w:r>
      <w:r>
        <w:rPr>
          <w:rFonts w:hint="eastAsia" w:ascii="宋体" w:hAnsi="宋体"/>
          <w:b/>
          <w:bCs/>
          <w:iCs/>
          <w:color w:val="000000"/>
          <w:sz w:val="32"/>
          <w:szCs w:val="32"/>
          <w:lang w:val="en-US" w:eastAsia="zh-CN"/>
        </w:rPr>
        <w:t>投资者关系活动记录表</w:t>
      </w:r>
      <w:r>
        <w:rPr>
          <w:rFonts w:hint="eastAsia" w:ascii="宋体" w:hAnsi="宋体"/>
          <w:bCs/>
          <w:iCs/>
          <w:color w:val="000000"/>
          <w:sz w:val="24"/>
        </w:rPr>
        <w:t xml:space="preserve">  </w:t>
      </w:r>
    </w:p>
    <w:p w14:paraId="24D8B5E4">
      <w:pPr>
        <w:spacing w:before="156" w:beforeLines="50" w:after="156" w:afterLines="50" w:line="400" w:lineRule="exact"/>
        <w:jc w:val="center"/>
        <w:rPr>
          <w:bCs/>
          <w:iCs/>
          <w:color w:val="000000"/>
          <w:sz w:val="24"/>
        </w:rPr>
      </w:pPr>
      <w:r>
        <w:rPr>
          <w:rFonts w:hint="eastAsia" w:ascii="宋体" w:hAnsi="宋体"/>
          <w:bCs/>
          <w:iCs/>
          <w:color w:val="000000"/>
          <w:sz w:val="24"/>
        </w:rPr>
        <w:t xml:space="preserve">                               </w:t>
      </w:r>
    </w:p>
    <w:tbl>
      <w:tblPr>
        <w:tblStyle w:val="5"/>
        <w:tblW w:w="911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7635"/>
      </w:tblGrid>
      <w:tr w14:paraId="534F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2" w:type="dxa"/>
            <w:tcBorders>
              <w:top w:val="single" w:color="auto" w:sz="4" w:space="0"/>
              <w:left w:val="single" w:color="auto" w:sz="4" w:space="0"/>
              <w:bottom w:val="single" w:color="auto" w:sz="4" w:space="0"/>
              <w:right w:val="single" w:color="auto" w:sz="4" w:space="0"/>
            </w:tcBorders>
            <w:noWrap w:val="0"/>
            <w:vAlign w:val="top"/>
          </w:tcPr>
          <w:p w14:paraId="6E3001FC">
            <w:pPr>
              <w:spacing w:line="420" w:lineRule="exact"/>
              <w:rPr>
                <w:b/>
                <w:bCs w:val="0"/>
                <w:iCs/>
                <w:color w:val="000000"/>
                <w:sz w:val="24"/>
              </w:rPr>
            </w:pPr>
            <w:r>
              <w:rPr>
                <w:rFonts w:hAnsi="宋体"/>
                <w:b/>
                <w:bCs w:val="0"/>
                <w:iCs/>
                <w:color w:val="000000"/>
                <w:kern w:val="0"/>
                <w:sz w:val="24"/>
              </w:rPr>
              <w:t>投资者关系活动类别</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04C01F6F">
            <w:pPr>
              <w:spacing w:line="420" w:lineRule="exact"/>
              <w:jc w:val="both"/>
              <w:rPr>
                <w:bCs/>
                <w:iCs/>
                <w:color w:val="000000"/>
                <w:sz w:val="24"/>
              </w:rPr>
            </w:pPr>
            <w:r>
              <w:rPr>
                <w:rFonts w:hAnsi="宋体"/>
                <w:kern w:val="0"/>
                <w:sz w:val="24"/>
              </w:rPr>
              <w:t>业绩说明会</w:t>
            </w:r>
          </w:p>
        </w:tc>
      </w:tr>
      <w:tr w14:paraId="3693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BA2C3">
            <w:pPr>
              <w:rPr>
                <w:rFonts w:ascii="Times New Roman" w:hAnsi="Times New Roman" w:eastAsia="宋体" w:cs="Times New Roman"/>
                <w:b/>
                <w:bCs w:val="0"/>
                <w:kern w:val="2"/>
                <w:sz w:val="24"/>
                <w:szCs w:val="24"/>
                <w:lang w:val="en-US" w:eastAsia="zh-CN" w:bidi="ar-SA"/>
              </w:rPr>
            </w:pPr>
            <w:r>
              <w:rPr>
                <w:rFonts w:hint="eastAsia"/>
                <w:b/>
                <w:bCs w:val="0"/>
                <w:sz w:val="24"/>
                <w:szCs w:val="24"/>
              </w:rPr>
              <w:t>活动主题</w:t>
            </w:r>
          </w:p>
        </w:tc>
        <w:tc>
          <w:tcPr>
            <w:tcW w:w="76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D88863">
            <w:pPr>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2025 年陕西辖区上市公司投资者集体接待日暨 2024 </w:t>
            </w:r>
            <w:r>
              <w:rPr>
                <w:rFonts w:hint="eastAsia" w:ascii="Times New Roman" w:hAnsi="Times New Roman" w:eastAsia="宋体" w:cs="Times New Roman"/>
                <w:kern w:val="2"/>
                <w:sz w:val="24"/>
                <w:szCs w:val="24"/>
                <w:lang w:val="en-US" w:eastAsia="zh-CN" w:bidi="ar-SA"/>
              </w:rPr>
              <w:t>年度业绩说明会</w:t>
            </w:r>
          </w:p>
        </w:tc>
      </w:tr>
      <w:tr w14:paraId="7AE4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82" w:type="dxa"/>
            <w:tcBorders>
              <w:top w:val="single" w:color="auto" w:sz="4" w:space="0"/>
              <w:left w:val="single" w:color="auto" w:sz="4" w:space="0"/>
              <w:bottom w:val="single" w:color="auto" w:sz="4" w:space="0"/>
              <w:right w:val="single" w:color="auto" w:sz="4" w:space="0"/>
            </w:tcBorders>
            <w:noWrap w:val="0"/>
            <w:vAlign w:val="top"/>
          </w:tcPr>
          <w:p w14:paraId="1493AA65">
            <w:pPr>
              <w:spacing w:line="420" w:lineRule="exact"/>
              <w:rPr>
                <w:rFonts w:hint="eastAsia" w:ascii="Times New Roman" w:hAnsi="Times New Roman" w:eastAsia="宋体" w:cs="Times New Roman"/>
                <w:b/>
                <w:bCs w:val="0"/>
                <w:iCs/>
                <w:color w:val="000000"/>
                <w:kern w:val="0"/>
                <w:sz w:val="24"/>
                <w:szCs w:val="24"/>
                <w:lang w:val="en-US" w:eastAsia="zh-CN" w:bidi="ar-SA"/>
              </w:rPr>
            </w:pPr>
            <w:r>
              <w:rPr>
                <w:rFonts w:hAnsi="宋体"/>
                <w:b/>
                <w:bCs w:val="0"/>
                <w:iCs/>
                <w:color w:val="000000"/>
                <w:kern w:val="0"/>
                <w:sz w:val="24"/>
              </w:rPr>
              <w:t>时间</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23E782CC">
            <w:pPr>
              <w:spacing w:line="420" w:lineRule="exact"/>
              <w:jc w:val="both"/>
              <w:rPr>
                <w:rFonts w:hint="eastAsia" w:ascii="Times New Roman" w:hAnsi="Times New Roman" w:eastAsia="宋体" w:cs="Times New Roman"/>
                <w:bCs/>
                <w:iCs/>
                <w:color w:val="000000"/>
                <w:kern w:val="2"/>
                <w:sz w:val="24"/>
                <w:szCs w:val="24"/>
                <w:lang w:val="en-US" w:eastAsia="zh-CN" w:bidi="ar-SA"/>
              </w:rPr>
            </w:pPr>
            <w:r>
              <w:rPr>
                <w:bCs/>
                <w:iCs/>
                <w:color w:val="000000"/>
                <w:sz w:val="24"/>
              </w:rPr>
              <w:t>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5</w:t>
            </w:r>
            <w:r>
              <w:rPr>
                <w:bCs/>
                <w:iCs/>
                <w:color w:val="000000"/>
                <w:sz w:val="24"/>
              </w:rPr>
              <w:t>月</w:t>
            </w:r>
            <w:r>
              <w:rPr>
                <w:rFonts w:hint="eastAsia"/>
                <w:bCs/>
                <w:iCs/>
                <w:color w:val="000000"/>
                <w:sz w:val="24"/>
                <w:lang w:val="en-US" w:eastAsia="zh-CN"/>
              </w:rPr>
              <w:t>20</w:t>
            </w:r>
            <w:r>
              <w:rPr>
                <w:bCs/>
                <w:iCs/>
                <w:color w:val="000000"/>
                <w:sz w:val="24"/>
              </w:rPr>
              <w:t xml:space="preserve">日  </w:t>
            </w:r>
            <w:r>
              <w:rPr>
                <w:rFonts w:hint="eastAsia"/>
                <w:bCs/>
                <w:iCs/>
                <w:color w:val="000000"/>
                <w:sz w:val="24"/>
                <w:lang w:val="en-US" w:eastAsia="zh-CN"/>
              </w:rPr>
              <w:t>下午14</w:t>
            </w:r>
            <w:r>
              <w:rPr>
                <w:bCs/>
                <w:iCs/>
                <w:color w:val="000000"/>
                <w:sz w:val="24"/>
              </w:rPr>
              <w:t>:00~</w:t>
            </w:r>
            <w:r>
              <w:rPr>
                <w:rFonts w:hint="eastAsia"/>
                <w:bCs/>
                <w:iCs/>
                <w:color w:val="000000"/>
                <w:sz w:val="24"/>
                <w:lang w:val="en-US" w:eastAsia="zh-CN"/>
              </w:rPr>
              <w:t>17</w:t>
            </w:r>
            <w:r>
              <w:rPr>
                <w:bCs/>
                <w:iCs/>
                <w:color w:val="000000"/>
                <w:sz w:val="24"/>
              </w:rPr>
              <w:t>:00</w:t>
            </w:r>
          </w:p>
        </w:tc>
      </w:tr>
      <w:tr w14:paraId="68AF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82" w:type="dxa"/>
            <w:tcBorders>
              <w:top w:val="single" w:color="auto" w:sz="4" w:space="0"/>
              <w:left w:val="single" w:color="auto" w:sz="4" w:space="0"/>
              <w:bottom w:val="single" w:color="auto" w:sz="4" w:space="0"/>
              <w:right w:val="single" w:color="auto" w:sz="4" w:space="0"/>
            </w:tcBorders>
            <w:noWrap w:val="0"/>
            <w:vAlign w:val="top"/>
          </w:tcPr>
          <w:p w14:paraId="298481BE">
            <w:pPr>
              <w:spacing w:line="420" w:lineRule="exact"/>
              <w:rPr>
                <w:rFonts w:hint="default" w:ascii="Times New Roman" w:hAnsi="Times New Roman" w:eastAsia="宋体" w:cs="Times New Roman"/>
                <w:b/>
                <w:bCs w:val="0"/>
                <w:iCs/>
                <w:color w:val="000000"/>
                <w:kern w:val="0"/>
                <w:sz w:val="24"/>
                <w:szCs w:val="24"/>
                <w:lang w:val="en-US" w:eastAsia="zh-CN" w:bidi="ar-SA"/>
              </w:rPr>
            </w:pPr>
            <w:r>
              <w:rPr>
                <w:rFonts w:hint="eastAsia" w:hAnsi="宋体"/>
                <w:b/>
                <w:bCs w:val="0"/>
                <w:iCs/>
                <w:color w:val="000000"/>
                <w:kern w:val="0"/>
                <w:sz w:val="24"/>
                <w:lang w:val="en-US" w:eastAsia="zh-CN"/>
              </w:rPr>
              <w:t>地点/方式</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567FDEE7">
            <w:pPr>
              <w:spacing w:line="420" w:lineRule="exact"/>
              <w:jc w:val="both"/>
              <w:rPr>
                <w:rFonts w:ascii="Times New Roman" w:hAnsi="Times New Roman" w:eastAsia="宋体" w:cs="Times New Roman"/>
                <w:bCs/>
                <w:iCs/>
                <w:color w:val="000000"/>
                <w:kern w:val="2"/>
                <w:sz w:val="24"/>
                <w:szCs w:val="24"/>
                <w:lang w:val="en-US" w:eastAsia="zh-CN" w:bidi="ar-SA"/>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1E6E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482" w:type="dxa"/>
            <w:tcBorders>
              <w:top w:val="single" w:color="auto" w:sz="4" w:space="0"/>
              <w:left w:val="single" w:color="auto" w:sz="4" w:space="0"/>
              <w:bottom w:val="single" w:color="auto" w:sz="4" w:space="0"/>
              <w:right w:val="single" w:color="auto" w:sz="4" w:space="0"/>
            </w:tcBorders>
            <w:noWrap w:val="0"/>
            <w:vAlign w:val="top"/>
          </w:tcPr>
          <w:p w14:paraId="4271EFB5">
            <w:pPr>
              <w:spacing w:line="420" w:lineRule="exact"/>
              <w:rPr>
                <w:rFonts w:hint="default" w:eastAsia="宋体"/>
                <w:b/>
                <w:bCs w:val="0"/>
                <w:iCs/>
                <w:color w:val="000000"/>
                <w:kern w:val="0"/>
                <w:sz w:val="24"/>
                <w:lang w:val="en-US" w:eastAsia="zh-CN"/>
              </w:rPr>
            </w:pPr>
            <w:r>
              <w:rPr>
                <w:rFonts w:hint="eastAsia" w:hAnsi="宋体"/>
                <w:b/>
                <w:bCs w:val="0"/>
                <w:iCs/>
                <w:color w:val="000000"/>
                <w:kern w:val="0"/>
                <w:sz w:val="24"/>
                <w:lang w:val="en-US" w:eastAsia="zh-CN"/>
              </w:rPr>
              <w:t>参会人员</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2EF4F694">
            <w:pPr>
              <w:spacing w:line="420" w:lineRule="exact"/>
              <w:jc w:val="both"/>
              <w:rPr>
                <w:rFonts w:hint="default" w:ascii="宋体" w:hAnsi="宋体"/>
                <w:bCs/>
                <w:sz w:val="24"/>
              </w:rPr>
            </w:pPr>
            <w:r>
              <w:rPr>
                <w:rFonts w:hint="default" w:ascii="宋体" w:hAnsi="宋体"/>
                <w:bCs/>
                <w:sz w:val="24"/>
              </w:rPr>
              <w:t>1</w:t>
            </w:r>
            <w:r>
              <w:rPr>
                <w:rFonts w:hint="default" w:ascii="宋体" w:hAnsi="宋体"/>
                <w:bCs/>
                <w:sz w:val="24"/>
                <w:lang w:val="en-US"/>
              </w:rPr>
              <w:t>.</w:t>
            </w:r>
            <w:r>
              <w:rPr>
                <w:rFonts w:hint="default" w:ascii="宋体" w:hAnsi="宋体"/>
                <w:bCs/>
                <w:sz w:val="24"/>
              </w:rPr>
              <w:t>董事长、总经理</w:t>
            </w:r>
            <w:r>
              <w:rPr>
                <w:rFonts w:hint="eastAsia" w:ascii="宋体" w:hAnsi="宋体"/>
                <w:bCs/>
                <w:sz w:val="24"/>
                <w:lang w:eastAsia="zh-CN"/>
              </w:rPr>
              <w:t>：</w:t>
            </w:r>
            <w:r>
              <w:rPr>
                <w:rFonts w:hint="default" w:ascii="宋体" w:hAnsi="宋体"/>
                <w:bCs/>
                <w:sz w:val="24"/>
              </w:rPr>
              <w:t>张林兴</w:t>
            </w:r>
          </w:p>
          <w:p w14:paraId="736557CA">
            <w:pPr>
              <w:spacing w:line="420" w:lineRule="exact"/>
              <w:jc w:val="both"/>
              <w:rPr>
                <w:rFonts w:hint="default" w:ascii="宋体" w:hAnsi="宋体"/>
                <w:bCs/>
                <w:sz w:val="24"/>
              </w:rPr>
            </w:pPr>
            <w:r>
              <w:rPr>
                <w:rFonts w:hint="default" w:ascii="宋体" w:hAnsi="宋体"/>
                <w:bCs/>
                <w:sz w:val="24"/>
              </w:rPr>
              <w:t>2</w:t>
            </w:r>
            <w:r>
              <w:rPr>
                <w:rFonts w:hint="default" w:ascii="宋体" w:hAnsi="宋体"/>
                <w:bCs/>
                <w:sz w:val="24"/>
                <w:lang w:val="en-US"/>
              </w:rPr>
              <w:t>.</w:t>
            </w:r>
            <w:r>
              <w:rPr>
                <w:rFonts w:hint="default" w:ascii="宋体" w:hAnsi="宋体"/>
                <w:bCs/>
                <w:sz w:val="24"/>
              </w:rPr>
              <w:t>副总经理、财务总监</w:t>
            </w:r>
            <w:r>
              <w:rPr>
                <w:rFonts w:hint="eastAsia" w:ascii="宋体" w:hAnsi="宋体"/>
                <w:bCs/>
                <w:sz w:val="24"/>
                <w:lang w:eastAsia="zh-CN"/>
              </w:rPr>
              <w:t>：</w:t>
            </w:r>
            <w:r>
              <w:rPr>
                <w:rFonts w:hint="default" w:ascii="宋体" w:hAnsi="宋体"/>
                <w:bCs/>
                <w:sz w:val="24"/>
              </w:rPr>
              <w:t>刘芬燕</w:t>
            </w:r>
          </w:p>
          <w:p w14:paraId="0E27A0D7">
            <w:pPr>
              <w:spacing w:line="420" w:lineRule="exact"/>
              <w:jc w:val="both"/>
              <w:rPr>
                <w:rFonts w:hint="default" w:ascii="宋体" w:hAnsi="宋体"/>
                <w:bCs/>
                <w:sz w:val="24"/>
              </w:rPr>
            </w:pPr>
            <w:r>
              <w:rPr>
                <w:rFonts w:hint="default" w:ascii="宋体" w:hAnsi="宋体"/>
                <w:bCs/>
                <w:sz w:val="24"/>
              </w:rPr>
              <w:t>3</w:t>
            </w:r>
            <w:r>
              <w:rPr>
                <w:rFonts w:hint="default" w:ascii="宋体" w:hAnsi="宋体"/>
                <w:bCs/>
                <w:sz w:val="24"/>
                <w:lang w:val="en-US"/>
              </w:rPr>
              <w:t>.</w:t>
            </w:r>
            <w:r>
              <w:rPr>
                <w:rFonts w:hint="default" w:ascii="宋体" w:hAnsi="宋体"/>
                <w:bCs/>
                <w:sz w:val="24"/>
              </w:rPr>
              <w:t>董事会秘书</w:t>
            </w:r>
            <w:r>
              <w:rPr>
                <w:rFonts w:hint="eastAsia" w:ascii="宋体" w:hAnsi="宋体"/>
                <w:bCs/>
                <w:sz w:val="24"/>
                <w:lang w:eastAsia="zh-CN"/>
              </w:rPr>
              <w:t>：</w:t>
            </w:r>
            <w:r>
              <w:rPr>
                <w:rFonts w:hint="default" w:ascii="宋体" w:hAnsi="宋体"/>
                <w:bCs/>
                <w:sz w:val="24"/>
              </w:rPr>
              <w:t>李斌</w:t>
            </w:r>
          </w:p>
          <w:p w14:paraId="166E1F9C">
            <w:pPr>
              <w:spacing w:line="420" w:lineRule="exact"/>
              <w:jc w:val="both"/>
              <w:rPr>
                <w:rFonts w:hint="eastAsia" w:ascii="宋体" w:hAnsi="宋体"/>
                <w:bCs/>
                <w:sz w:val="24"/>
                <w:lang w:val="en-US" w:eastAsia="zh-CN"/>
              </w:rPr>
            </w:pPr>
            <w:r>
              <w:rPr>
                <w:rFonts w:hint="default" w:ascii="宋体" w:hAnsi="宋体"/>
                <w:bCs/>
                <w:sz w:val="24"/>
              </w:rPr>
              <w:t>4</w:t>
            </w:r>
            <w:r>
              <w:rPr>
                <w:rFonts w:hint="default" w:ascii="宋体" w:hAnsi="宋体"/>
                <w:bCs/>
                <w:sz w:val="24"/>
                <w:lang w:val="en-US"/>
              </w:rPr>
              <w:t>.</w:t>
            </w:r>
            <w:r>
              <w:rPr>
                <w:rFonts w:hint="eastAsia" w:ascii="宋体" w:hAnsi="宋体"/>
                <w:bCs/>
                <w:sz w:val="24"/>
                <w:lang w:val="en-US" w:eastAsia="zh-CN"/>
              </w:rPr>
              <w:t>证券事务代表：樊海笑</w:t>
            </w:r>
          </w:p>
          <w:p w14:paraId="45433DE4">
            <w:pPr>
              <w:spacing w:line="420" w:lineRule="exact"/>
              <w:jc w:val="both"/>
              <w:rPr>
                <w:rFonts w:hint="default" w:ascii="宋体" w:hAnsi="宋体"/>
                <w:bCs/>
                <w:sz w:val="24"/>
                <w:lang w:val="en-US" w:eastAsia="zh-CN"/>
              </w:rPr>
            </w:pPr>
            <w:r>
              <w:rPr>
                <w:rFonts w:hint="eastAsia" w:ascii="宋体" w:hAnsi="宋体"/>
                <w:bCs/>
                <w:sz w:val="24"/>
                <w:lang w:val="en-US" w:eastAsia="zh-CN"/>
              </w:rPr>
              <w:t>5.财务负责人：吕燕</w:t>
            </w:r>
          </w:p>
        </w:tc>
      </w:tr>
      <w:tr w14:paraId="66B2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1482" w:type="dxa"/>
            <w:tcBorders>
              <w:top w:val="single" w:color="auto" w:sz="4" w:space="0"/>
              <w:left w:val="single" w:color="auto" w:sz="4" w:space="0"/>
              <w:bottom w:val="single" w:color="auto" w:sz="4" w:space="0"/>
              <w:right w:val="single" w:color="auto" w:sz="4" w:space="0"/>
            </w:tcBorders>
            <w:noWrap w:val="0"/>
            <w:vAlign w:val="center"/>
          </w:tcPr>
          <w:p w14:paraId="1FC03E30">
            <w:pPr>
              <w:spacing w:line="420" w:lineRule="exact"/>
              <w:rPr>
                <w:rFonts w:hint="eastAsia" w:eastAsia="宋体"/>
                <w:b/>
                <w:bCs w:val="0"/>
                <w:iCs/>
                <w:color w:val="000000"/>
                <w:kern w:val="0"/>
                <w:sz w:val="24"/>
                <w:lang w:val="en-US" w:eastAsia="zh-CN"/>
              </w:rPr>
            </w:pPr>
            <w:r>
              <w:rPr>
                <w:rFonts w:hint="eastAsia" w:hAnsi="宋体"/>
                <w:b/>
                <w:bCs w:val="0"/>
                <w:iCs/>
                <w:color w:val="000000"/>
                <w:kern w:val="0"/>
                <w:sz w:val="24"/>
                <w:lang w:val="en-US" w:eastAsia="zh-CN"/>
              </w:rPr>
              <w:t>投资者关系</w:t>
            </w:r>
            <w:r>
              <w:rPr>
                <w:rFonts w:hAnsi="宋体"/>
                <w:b/>
                <w:bCs w:val="0"/>
                <w:iCs/>
                <w:color w:val="000000"/>
                <w:kern w:val="0"/>
                <w:sz w:val="24"/>
              </w:rPr>
              <w:t>活动</w:t>
            </w:r>
            <w:r>
              <w:rPr>
                <w:rFonts w:hint="eastAsia" w:hAnsi="宋体"/>
                <w:b/>
                <w:bCs w:val="0"/>
                <w:iCs/>
                <w:color w:val="000000"/>
                <w:kern w:val="0"/>
                <w:sz w:val="24"/>
                <w:lang w:val="en-US" w:eastAsia="zh-CN"/>
              </w:rPr>
              <w:t>主要</w:t>
            </w:r>
            <w:r>
              <w:rPr>
                <w:rFonts w:hAnsi="宋体"/>
                <w:b/>
                <w:bCs w:val="0"/>
                <w:iCs/>
                <w:color w:val="000000"/>
                <w:kern w:val="0"/>
                <w:sz w:val="24"/>
              </w:rPr>
              <w:t>内容</w:t>
            </w:r>
            <w:r>
              <w:rPr>
                <w:rFonts w:hint="eastAsia" w:hAnsi="宋体"/>
                <w:b/>
                <w:bCs w:val="0"/>
                <w:iCs/>
                <w:color w:val="000000"/>
                <w:kern w:val="0"/>
                <w:sz w:val="24"/>
                <w:lang w:val="en-US" w:eastAsia="zh-CN"/>
              </w:rPr>
              <w:t>介绍</w:t>
            </w:r>
          </w:p>
          <w:p w14:paraId="7BF5BA8F">
            <w:pPr>
              <w:spacing w:line="420" w:lineRule="exact"/>
              <w:rPr>
                <w:b/>
                <w:bCs w:val="0"/>
                <w:iCs/>
                <w:color w:val="000000"/>
                <w:sz w:val="24"/>
              </w:rPr>
            </w:pPr>
          </w:p>
        </w:tc>
        <w:tc>
          <w:tcPr>
            <w:tcW w:w="7635" w:type="dxa"/>
            <w:tcBorders>
              <w:top w:val="single" w:color="auto" w:sz="4" w:space="0"/>
              <w:left w:val="single" w:color="auto" w:sz="4" w:space="0"/>
              <w:bottom w:val="single" w:color="auto" w:sz="4" w:space="0"/>
              <w:right w:val="single" w:color="auto" w:sz="4" w:space="0"/>
            </w:tcBorders>
            <w:noWrap w:val="0"/>
            <w:vAlign w:val="top"/>
          </w:tcPr>
          <w:p w14:paraId="39F75BEF">
            <w:pPr>
              <w:spacing w:before="156" w:beforeLines="50" w:line="460" w:lineRule="exact"/>
              <w:rPr>
                <w:rFonts w:ascii="宋体" w:hAnsi="宋体"/>
                <w:b/>
                <w:sz w:val="24"/>
              </w:rPr>
            </w:pPr>
            <w:r>
              <w:rPr>
                <w:rFonts w:ascii="宋体" w:hAnsi="宋体"/>
                <w:b/>
                <w:sz w:val="24"/>
              </w:rPr>
              <w:t>投资者提出的问题及公司回复情况</w:t>
            </w:r>
          </w:p>
          <w:p w14:paraId="5DECC025">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1、2024年分红比例维持15%，但公司货币资金占总资产比例下降至18%，在100万吨/年焦炉煤气制甲醇项目扩建与股东回报之间如何权衡？未来是否有通过发行绿色公司债或引入产业基金支持氢能项目的计划？</w:t>
            </w:r>
          </w:p>
          <w:p w14:paraId="442F87DE">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w:t>
            </w:r>
            <w:r>
              <w:rPr>
                <w:rFonts w:hint="eastAsia" w:ascii="宋体" w:hAnsi="宋体"/>
                <w:sz w:val="24"/>
                <w:szCs w:val="24"/>
                <w:lang w:val="en-US" w:eastAsia="zh-CN"/>
              </w:rPr>
              <w:t>因公司2024年度业绩亏损，根据《公司章程》的相关规定，</w:t>
            </w:r>
            <w:r>
              <w:rPr>
                <w:rFonts w:hint="default" w:ascii="宋体" w:hAnsi="宋体"/>
                <w:sz w:val="24"/>
                <w:szCs w:val="24"/>
              </w:rPr>
              <w:t>公司2024年度不分红，没有您所说的100万吨/年焦炉煤气制甲醇项目扩建项目，尚未开展氢能项目。感谢关注</w:t>
            </w:r>
            <w:r>
              <w:rPr>
                <w:rFonts w:hint="eastAsia" w:ascii="宋体" w:hAnsi="宋体"/>
                <w:sz w:val="24"/>
                <w:szCs w:val="24"/>
                <w:lang w:eastAsia="zh-CN"/>
              </w:rPr>
              <w:t>！</w:t>
            </w:r>
          </w:p>
          <w:p w14:paraId="7419D06D">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2、2024年应收账款坏账准备计提比例同比持平，但账龄1年以上占比提升至35%，如何评估长账龄应收账款的可回收性？是否有通过与区块链平台合作煤炭贸易确权或债权证券化加速清收的计划？</w:t>
            </w:r>
          </w:p>
          <w:p w14:paraId="11263869">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您好，公司2024年末，公司两笔长账龄应收账款已全额计提坏账损失，其余均为1年以内账龄。公司没有通过与区块链平台合作煤炭贸易确权或债权证券化加速清收的计划。感谢关注</w:t>
            </w:r>
            <w:r>
              <w:rPr>
                <w:rFonts w:hint="eastAsia" w:ascii="宋体" w:hAnsi="宋体"/>
                <w:sz w:val="24"/>
                <w:szCs w:val="24"/>
                <w:lang w:eastAsia="zh-CN"/>
              </w:rPr>
              <w:t>！</w:t>
            </w:r>
          </w:p>
          <w:p w14:paraId="2920A702">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3、2024年行业展会（如全国炼焦化学年会、中国国际煤化工展览会）恢复线下举办，公司如何通过展会营销提升品牌影响力？是否有通过虚拟现实技术展示焦化全流程、线上技术研讨会或发布《现代焦化技术发展白皮书》拓展获客渠道的计划？</w:t>
            </w:r>
          </w:p>
          <w:p w14:paraId="3B24A2F2">
            <w:pPr>
              <w:pStyle w:val="9"/>
              <w:spacing w:line="460" w:lineRule="exact"/>
              <w:ind w:left="-2" w:leftChars="-1" w:firstLine="480"/>
              <w:rPr>
                <w:rFonts w:hint="default" w:ascii="宋体" w:hAnsi="宋体"/>
                <w:sz w:val="24"/>
                <w:szCs w:val="24"/>
              </w:rPr>
            </w:pPr>
            <w:r>
              <w:rPr>
                <w:rFonts w:hint="default" w:ascii="宋体" w:hAnsi="宋体"/>
                <w:sz w:val="24"/>
                <w:szCs w:val="24"/>
              </w:rPr>
              <w:t>您好，公司无此项计划</w:t>
            </w:r>
            <w:r>
              <w:rPr>
                <w:rFonts w:hint="eastAsia" w:ascii="宋体" w:hAnsi="宋体"/>
                <w:sz w:val="24"/>
                <w:szCs w:val="24"/>
                <w:lang w:eastAsia="zh-CN"/>
              </w:rPr>
              <w:t>。</w:t>
            </w:r>
            <w:r>
              <w:rPr>
                <w:rFonts w:hint="default" w:ascii="宋体" w:hAnsi="宋体"/>
                <w:sz w:val="24"/>
                <w:szCs w:val="24"/>
              </w:rPr>
              <w:t>感谢关注！</w:t>
            </w:r>
          </w:p>
          <w:p w14:paraId="1666935E">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4、2024年员工总数同比增长9%，但技术人员占比下降至24%，如何通过人才结构优化（如引入煤化工过程模拟专家、碳资产管理师）或培训体系（如焦化工艺仿真培训中心）支撑技术创新？是否有通过股权激励绑定核心团队的计划？</w:t>
            </w:r>
          </w:p>
          <w:p w14:paraId="5439C471">
            <w:pPr>
              <w:pStyle w:val="9"/>
              <w:spacing w:line="460" w:lineRule="exact"/>
              <w:ind w:left="-2" w:leftChars="-1" w:firstLine="480"/>
              <w:rPr>
                <w:rFonts w:hint="default" w:ascii="宋体" w:hAnsi="宋体"/>
                <w:sz w:val="24"/>
                <w:szCs w:val="24"/>
              </w:rPr>
            </w:pPr>
            <w:r>
              <w:rPr>
                <w:rFonts w:hint="default" w:ascii="宋体" w:hAnsi="宋体"/>
                <w:sz w:val="24"/>
                <w:szCs w:val="24"/>
              </w:rPr>
              <w:t>您好，公司无股权激励计划</w:t>
            </w:r>
            <w:r>
              <w:rPr>
                <w:rFonts w:hint="eastAsia" w:ascii="宋体" w:hAnsi="宋体"/>
                <w:sz w:val="24"/>
                <w:szCs w:val="24"/>
                <w:lang w:eastAsia="zh-CN"/>
              </w:rPr>
              <w:t>。</w:t>
            </w:r>
            <w:r>
              <w:rPr>
                <w:rFonts w:hint="default" w:ascii="宋体" w:hAnsi="宋体"/>
                <w:sz w:val="24"/>
                <w:szCs w:val="24"/>
              </w:rPr>
              <w:t>感谢关注！</w:t>
            </w:r>
          </w:p>
          <w:p w14:paraId="05BB166B">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5、2024年售后服务收入占比不足3%，但客户对节能降耗需求提升，如何通过焦化设备远程运维平台（基于SCADA系统）、能源管理系统（EMS）优化或与保险公司合作设备能效险提升客户粘性？服务收入是否有向按节能效益分成转型的规划？</w:t>
            </w:r>
          </w:p>
          <w:p w14:paraId="04CD8E25">
            <w:pPr>
              <w:pStyle w:val="9"/>
              <w:spacing w:line="460" w:lineRule="exact"/>
              <w:ind w:left="-2" w:leftChars="-1" w:firstLine="480"/>
              <w:rPr>
                <w:rFonts w:hint="default" w:ascii="宋体" w:hAnsi="宋体"/>
                <w:sz w:val="24"/>
                <w:szCs w:val="24"/>
              </w:rPr>
            </w:pPr>
            <w:r>
              <w:rPr>
                <w:rFonts w:hint="default" w:ascii="宋体" w:hAnsi="宋体"/>
                <w:sz w:val="24"/>
                <w:szCs w:val="24"/>
              </w:rPr>
              <w:t>您好，公司没有服务性收入</w:t>
            </w:r>
            <w:r>
              <w:rPr>
                <w:rFonts w:hint="eastAsia" w:ascii="宋体" w:hAnsi="宋体"/>
                <w:sz w:val="24"/>
                <w:szCs w:val="24"/>
                <w:lang w:eastAsia="zh-CN"/>
              </w:rPr>
              <w:t>。</w:t>
            </w:r>
            <w:r>
              <w:rPr>
                <w:rFonts w:hint="default" w:ascii="宋体" w:hAnsi="宋体"/>
                <w:sz w:val="24"/>
                <w:szCs w:val="24"/>
              </w:rPr>
              <w:t>感谢关注！</w:t>
            </w:r>
          </w:p>
          <w:p w14:paraId="5E0FD792">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6、2024年环保投入同比增长58%，但未披露具体碳减排数据，如何通过焦炉上升管余热回收（ORC发电）、焦化废水深度处理（超临界水氧化）或碳捕集与封存（CCS）技术降低生产碳足迹？是否有通过“零碳工厂”认证或加入碳交易市场提升ESG评级？</w:t>
            </w:r>
          </w:p>
          <w:p w14:paraId="32927563">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一直采用先进、适用的环保治理技术，从环境管理、环境监测、环境保护等方面开展多方面的工作，开展多项设备、技术、工艺改造，减少能源消耗，提高能效，通过减少能耗实现削减二氧化碳排放；增加企业员工的减排低碳意识，从节能降耗小事做起。感谢关注</w:t>
            </w:r>
            <w:r>
              <w:rPr>
                <w:rFonts w:hint="eastAsia" w:ascii="宋体" w:hAnsi="宋体"/>
                <w:sz w:val="24"/>
                <w:szCs w:val="24"/>
                <w:lang w:eastAsia="zh-CN"/>
              </w:rPr>
              <w:t>！</w:t>
            </w:r>
          </w:p>
          <w:p w14:paraId="1C597BA3">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7、2024年政府补助占净利润比例达28%，主要因环保设备购置补贴与西部大开发税收优惠，未来补贴可持续性如何评估？是否有通过拓展煤制天然气、煤基特种燃料等非传统焦化领域降低盈利波动性的计划？</w:t>
            </w:r>
          </w:p>
          <w:p w14:paraId="62C4DD93">
            <w:pPr>
              <w:pStyle w:val="9"/>
              <w:spacing w:line="460" w:lineRule="exact"/>
              <w:ind w:left="-2" w:leftChars="-1" w:firstLine="480"/>
              <w:rPr>
                <w:rFonts w:hint="default" w:ascii="宋体" w:hAnsi="宋体"/>
                <w:sz w:val="24"/>
                <w:szCs w:val="24"/>
              </w:rPr>
            </w:pPr>
            <w:r>
              <w:rPr>
                <w:rFonts w:hint="default" w:ascii="宋体" w:hAnsi="宋体"/>
                <w:sz w:val="24"/>
                <w:szCs w:val="24"/>
              </w:rPr>
              <w:t>您好，公司没有此项计划</w:t>
            </w:r>
            <w:r>
              <w:rPr>
                <w:rFonts w:hint="eastAsia" w:ascii="宋体" w:hAnsi="宋体"/>
                <w:sz w:val="24"/>
                <w:szCs w:val="24"/>
                <w:lang w:eastAsia="zh-CN"/>
              </w:rPr>
              <w:t>。</w:t>
            </w:r>
            <w:r>
              <w:rPr>
                <w:rFonts w:hint="default" w:ascii="宋体" w:hAnsi="宋体"/>
                <w:sz w:val="24"/>
                <w:szCs w:val="24"/>
              </w:rPr>
              <w:t>感谢关注！</w:t>
            </w:r>
          </w:p>
          <w:p w14:paraId="4EACFD4D">
            <w:pPr>
              <w:pStyle w:val="9"/>
              <w:numPr>
                <w:ilvl w:val="0"/>
                <w:numId w:val="0"/>
              </w:numPr>
              <w:spacing w:line="460" w:lineRule="exact"/>
              <w:ind w:left="413" w:leftChars="0"/>
              <w:rPr>
                <w:rFonts w:ascii="宋体" w:hAnsi="宋体"/>
                <w:b/>
                <w:sz w:val="24"/>
                <w:szCs w:val="24"/>
              </w:rPr>
            </w:pPr>
            <w:r>
              <w:rPr>
                <w:rFonts w:hint="default" w:ascii="宋体" w:hAnsi="宋体"/>
                <w:b/>
                <w:sz w:val="24"/>
                <w:szCs w:val="24"/>
              </w:rPr>
              <w:t>8、对于新疆黑猫增资实施进度</w:t>
            </w:r>
          </w:p>
          <w:p w14:paraId="241C75FD">
            <w:pPr>
              <w:pStyle w:val="9"/>
              <w:spacing w:line="460" w:lineRule="exact"/>
              <w:ind w:left="-2" w:leftChars="-1" w:firstLine="480"/>
              <w:rPr>
                <w:rFonts w:hint="default" w:ascii="宋体" w:hAnsi="宋体"/>
                <w:sz w:val="24"/>
                <w:szCs w:val="24"/>
              </w:rPr>
            </w:pPr>
            <w:r>
              <w:rPr>
                <w:rFonts w:hint="default" w:ascii="宋体" w:hAnsi="宋体"/>
                <w:sz w:val="24"/>
                <w:szCs w:val="24"/>
              </w:rPr>
              <w:t>您好，公司子公司新疆黑猫煤业增资主要用于加快新疆煤炭板块项目建设，公司运用自有资金和自筹资金逐步增资</w:t>
            </w:r>
            <w:r>
              <w:rPr>
                <w:rFonts w:hint="eastAsia" w:ascii="宋体" w:hAnsi="宋体"/>
                <w:sz w:val="24"/>
                <w:szCs w:val="24"/>
                <w:lang w:eastAsia="zh-CN"/>
              </w:rPr>
              <w:t>。</w:t>
            </w:r>
            <w:r>
              <w:rPr>
                <w:rFonts w:hint="default" w:ascii="宋体" w:hAnsi="宋体"/>
                <w:sz w:val="24"/>
                <w:szCs w:val="24"/>
              </w:rPr>
              <w:t>感谢关注！</w:t>
            </w:r>
          </w:p>
          <w:p w14:paraId="0251A9B0">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9、2024年研发费用同比增长31%至2.3亿元，但研发费用率仅1.4%，如何平衡焦化行业技术迭代（如焦炉煤气制乙二醇）与现有装置改造？是否有针对焦化废水零排放（膜生物反应器+蒸发结晶）或焦炉烟气脱硫脱硝协同处置的产业化中试布局？</w:t>
            </w:r>
          </w:p>
          <w:p w14:paraId="14DDFE7D">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您好，公司近年来持续进行环保设备更新改造。感谢关注</w:t>
            </w:r>
            <w:r>
              <w:rPr>
                <w:rFonts w:hint="eastAsia" w:ascii="宋体" w:hAnsi="宋体"/>
                <w:sz w:val="24"/>
                <w:szCs w:val="24"/>
                <w:lang w:eastAsia="zh-CN"/>
              </w:rPr>
              <w:t>！</w:t>
            </w:r>
          </w:p>
          <w:p w14:paraId="493A9CAC">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10、2024年公司焦炭单位生产成本同比上升12%，但吨焦利润下降至85元，如何通过干熄焦余热发电效率提升（如汽轮机改造）、配煤模型优化（AI算法替代人工经验）或低阶煤热解提质技术降低原料成本？是否有针对氢基竖炉直接还原铁（DRI）的焦炭品质定制化研发计划？</w:t>
            </w:r>
          </w:p>
          <w:p w14:paraId="48954155">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您好，公司干熄焦余热发电项目已投产。感谢关注</w:t>
            </w:r>
            <w:r>
              <w:rPr>
                <w:rFonts w:hint="eastAsia" w:ascii="宋体" w:hAnsi="宋体"/>
                <w:sz w:val="24"/>
                <w:szCs w:val="24"/>
                <w:lang w:eastAsia="zh-CN"/>
              </w:rPr>
              <w:t>！</w:t>
            </w:r>
          </w:p>
          <w:p w14:paraId="37E43C1A">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11、2024年欧盟碳边境调节机制（CBAM）对出口焦炭影响初显，公司如何通过焦化副产品高值化利用（如煤焦油制高端碳材料）、海外布局焦化产能（如东南亚炼焦项目）或参与国际碳信用交易对冲政策风险？是否有建立焦化行业碳足迹核算体系的计划？</w:t>
            </w:r>
          </w:p>
          <w:p w14:paraId="656A1131">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您好。公司目前没有布局海外焦化产能的计划。感谢关注</w:t>
            </w:r>
            <w:r>
              <w:rPr>
                <w:rFonts w:hint="eastAsia" w:ascii="宋体" w:hAnsi="宋体"/>
                <w:sz w:val="24"/>
                <w:szCs w:val="24"/>
                <w:lang w:eastAsia="zh-CN"/>
              </w:rPr>
              <w:t>！</w:t>
            </w:r>
          </w:p>
          <w:p w14:paraId="0F11205D">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12、2024年存货周转天数延长至48天，主要因精煤库存积压，如何通过与山西焦煤集团建立长协价格动态调整机制、引入区块链技术实现煤炭供应链金融或建设智能配煤仓储系统降低库存成本？是否有通过废焦油渣资源化利用（生产针状焦）优化供应链？</w:t>
            </w:r>
          </w:p>
          <w:p w14:paraId="7FE5AB2A">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您好，公司没有生产针状焦。感谢关注</w:t>
            </w:r>
            <w:r>
              <w:rPr>
                <w:rFonts w:hint="eastAsia" w:ascii="宋体" w:hAnsi="宋体"/>
                <w:sz w:val="24"/>
                <w:szCs w:val="24"/>
                <w:lang w:eastAsia="zh-CN"/>
              </w:rPr>
              <w:t>！</w:t>
            </w:r>
          </w:p>
          <w:p w14:paraId="718C593C">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13、2024年甲醇产量同比增长18%，但毛利率仅为9.7%，如何通过CO₂加氢制甲醇催化剂活性提升（如铜基催化剂改性）、合成气净化工艺优化（低温甲醇洗系统升级）或副产氢气回收利用（燃料电池发电）提高产品附加值？是否有布局绿氢耦合甲醇生产的规划？</w:t>
            </w:r>
          </w:p>
          <w:p w14:paraId="0C99F600">
            <w:pPr>
              <w:pStyle w:val="9"/>
              <w:spacing w:line="460" w:lineRule="exact"/>
              <w:ind w:left="-2" w:leftChars="-1" w:firstLine="480"/>
              <w:rPr>
                <w:rFonts w:hint="default" w:ascii="宋体" w:hAnsi="宋体"/>
                <w:sz w:val="24"/>
                <w:szCs w:val="24"/>
              </w:rPr>
            </w:pPr>
            <w:r>
              <w:rPr>
                <w:rFonts w:hint="default" w:ascii="宋体" w:hAnsi="宋体"/>
                <w:sz w:val="24"/>
                <w:szCs w:val="24"/>
              </w:rPr>
              <w:t>您好，公司没有布局绿氢耦合甲醇生产的规划</w:t>
            </w:r>
            <w:r>
              <w:rPr>
                <w:rFonts w:hint="eastAsia" w:ascii="宋体" w:hAnsi="宋体"/>
                <w:sz w:val="24"/>
                <w:szCs w:val="24"/>
                <w:lang w:eastAsia="zh-CN"/>
              </w:rPr>
              <w:t>。</w:t>
            </w:r>
            <w:r>
              <w:rPr>
                <w:rFonts w:hint="default" w:ascii="宋体" w:hAnsi="宋体"/>
                <w:sz w:val="24"/>
                <w:szCs w:val="24"/>
              </w:rPr>
              <w:t>感谢关注！</w:t>
            </w:r>
          </w:p>
          <w:p w14:paraId="771F1A1D">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14、2024年核心客户（如宝武钢铁、河钢集团）收入占比超65%，如何通过拓展钢焦联合企业（如与沙钢共建氢基还原铁项目）、布局西北地区新能源电解铝企业或参与“北煤南运”通道建设降低客户集中度风险？是否有通过技术授权或联合研发模式扩大客户群体的计划？</w:t>
            </w:r>
          </w:p>
          <w:p w14:paraId="67889A58">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您好，公司2024年前十大客户中没有宝武钢铁、河钢集团，不存在客户集中风险。公司没有参与氢还原铁项目、电解铝项目、北煤南运通道项目，没有通过技术授权或联合研发模式扩大客户群体的计划。感谢关注</w:t>
            </w:r>
            <w:r>
              <w:rPr>
                <w:rFonts w:hint="eastAsia" w:ascii="宋体" w:hAnsi="宋体"/>
                <w:sz w:val="24"/>
                <w:szCs w:val="24"/>
                <w:lang w:eastAsia="zh-CN"/>
              </w:rPr>
              <w:t>！</w:t>
            </w:r>
          </w:p>
          <w:p w14:paraId="4C1AD871">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15、2024年行业对“煤-化-能”协同创新需求提升，公司如何通过与中石化洛阳工程共建煤化工联合实验室、参与国家能源局“十四五”煤化工示范项目或拓展煤基生物可降解材料（如PGA）等新兴领域提升价值链地位？是否有建立煤化工工艺数据库或与高校联合培养能源化工人才的计划？</w:t>
            </w:r>
          </w:p>
          <w:p w14:paraId="4EF43861">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您好，目前公司尚未有您所说的新兴领域投资。在人才培养上，公司一直与相关的院校开展合作。感谢关注</w:t>
            </w:r>
            <w:r>
              <w:rPr>
                <w:rFonts w:hint="eastAsia" w:ascii="宋体" w:hAnsi="宋体"/>
                <w:sz w:val="24"/>
                <w:szCs w:val="24"/>
                <w:lang w:eastAsia="zh-CN"/>
              </w:rPr>
              <w:t>！</w:t>
            </w:r>
          </w:p>
          <w:p w14:paraId="2965B143">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16、2024年供应链安全（如主焦煤进口依赖、炼焦催化剂供应）成为行业焦点，如何通过蒙古国焦煤资源开发（参股煤矿）、国内低灰低硫煤配比技术突破或与化工企业共建催化剂生产基地降低供应风险？是否有与军工企业合作特种煤基材料战略储备的计划？</w:t>
            </w:r>
          </w:p>
          <w:p w14:paraId="74B24422">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您好，公司内蒙生产基地的主要原料煤，主要通过央国企从蒙古国采购。公司没有涉及您所说的特种材料业务。</w:t>
            </w:r>
            <w:r>
              <w:rPr>
                <w:rFonts w:hint="eastAsia" w:ascii="宋体" w:hAnsi="宋体"/>
                <w:sz w:val="24"/>
                <w:szCs w:val="24"/>
                <w:lang w:val="en-US" w:eastAsia="zh-CN"/>
              </w:rPr>
              <w:t>感谢</w:t>
            </w:r>
            <w:r>
              <w:rPr>
                <w:rFonts w:hint="default" w:ascii="宋体" w:hAnsi="宋体"/>
                <w:sz w:val="24"/>
                <w:szCs w:val="24"/>
              </w:rPr>
              <w:t>关注</w:t>
            </w:r>
            <w:r>
              <w:rPr>
                <w:rFonts w:hint="eastAsia" w:ascii="宋体" w:hAnsi="宋体"/>
                <w:sz w:val="24"/>
                <w:szCs w:val="24"/>
                <w:lang w:eastAsia="zh-CN"/>
              </w:rPr>
              <w:t>！</w:t>
            </w:r>
          </w:p>
          <w:p w14:paraId="60E228AF">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17、公司吸收合并子公司进展情况。</w:t>
            </w:r>
          </w:p>
          <w:p w14:paraId="5E15947B">
            <w:pPr>
              <w:pStyle w:val="9"/>
              <w:spacing w:line="460" w:lineRule="exact"/>
              <w:ind w:left="-2" w:leftChars="-1" w:firstLine="480"/>
              <w:rPr>
                <w:rFonts w:hint="default" w:ascii="宋体" w:hAnsi="宋体"/>
                <w:sz w:val="24"/>
                <w:szCs w:val="24"/>
              </w:rPr>
            </w:pPr>
            <w:r>
              <w:rPr>
                <w:rFonts w:hint="default" w:ascii="宋体" w:hAnsi="宋体"/>
                <w:sz w:val="24"/>
                <w:szCs w:val="24"/>
              </w:rPr>
              <w:t>您好，2024年公司已完成对两家子公司黄河销售、新丰科技的吸收合并</w:t>
            </w:r>
            <w:r>
              <w:rPr>
                <w:rFonts w:hint="eastAsia" w:ascii="宋体" w:hAnsi="宋体"/>
                <w:sz w:val="24"/>
                <w:szCs w:val="24"/>
                <w:lang w:eastAsia="zh-CN"/>
              </w:rPr>
              <w:t>。</w:t>
            </w:r>
            <w:r>
              <w:rPr>
                <w:rFonts w:hint="default" w:ascii="宋体" w:hAnsi="宋体"/>
                <w:sz w:val="24"/>
                <w:szCs w:val="24"/>
              </w:rPr>
              <w:t>感谢关注！</w:t>
            </w:r>
          </w:p>
          <w:p w14:paraId="0A7839E3">
            <w:pPr>
              <w:pStyle w:val="9"/>
              <w:numPr>
                <w:ilvl w:val="0"/>
                <w:numId w:val="0"/>
              </w:numPr>
              <w:spacing w:line="460" w:lineRule="exact"/>
              <w:ind w:left="413" w:leftChars="0"/>
              <w:rPr>
                <w:rFonts w:ascii="宋体" w:hAnsi="宋体"/>
                <w:b/>
                <w:sz w:val="24"/>
                <w:szCs w:val="24"/>
              </w:rPr>
            </w:pPr>
            <w:r>
              <w:rPr>
                <w:rFonts w:hint="default" w:ascii="宋体" w:hAnsi="宋体"/>
                <w:b/>
                <w:sz w:val="24"/>
                <w:szCs w:val="24"/>
              </w:rPr>
              <w:t>18、2024年行业技术迭代加速（如全流程智能化焦化、氢基竖炉），公司如何通过产学研合作（如与中科院大连化物所共建煤化工实验室）或技术引进（如德国鲁奇煤气化技术）突破技术瓶颈？是否有通过设备国产化替代（如大型化产焦炉）降低投资成本的计划？</w:t>
            </w:r>
          </w:p>
          <w:p w14:paraId="7A8DC4D6">
            <w:pPr>
              <w:pStyle w:val="9"/>
              <w:spacing w:line="460" w:lineRule="exact"/>
              <w:ind w:left="-2" w:leftChars="-1" w:firstLine="480"/>
              <w:rPr>
                <w:rFonts w:hint="default" w:ascii="宋体" w:hAnsi="宋体"/>
                <w:sz w:val="24"/>
                <w:szCs w:val="24"/>
              </w:rPr>
            </w:pPr>
            <w:r>
              <w:rPr>
                <w:rFonts w:hint="default" w:ascii="宋体" w:hAnsi="宋体"/>
                <w:sz w:val="24"/>
                <w:szCs w:val="24"/>
              </w:rPr>
              <w:t>您好，公司无此项计划</w:t>
            </w:r>
            <w:r>
              <w:rPr>
                <w:rFonts w:hint="eastAsia" w:ascii="宋体" w:hAnsi="宋体"/>
                <w:sz w:val="24"/>
                <w:szCs w:val="24"/>
                <w:lang w:eastAsia="zh-CN"/>
              </w:rPr>
              <w:t>。</w:t>
            </w:r>
            <w:r>
              <w:rPr>
                <w:rFonts w:hint="default" w:ascii="宋体" w:hAnsi="宋体"/>
                <w:sz w:val="24"/>
                <w:szCs w:val="24"/>
              </w:rPr>
              <w:t>感谢关注！</w:t>
            </w:r>
          </w:p>
          <w:p w14:paraId="7AE0DD54">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19、2024年数字化工厂建设进度落后于预期，如何通过MES（制造执行系统）、数字孪生或AI焦炉热工控制提升生产透明度？是否有通过5G+工业互联网实现跨基地协同制造或焦炭质量追溯的规划？</w:t>
            </w:r>
          </w:p>
          <w:p w14:paraId="41247E71">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您好，近年来，公司不断通过数字化改造提升生产管理水平，未来仍将继续运用先进的科技手段服务生产、运营。</w:t>
            </w:r>
            <w:r>
              <w:rPr>
                <w:rFonts w:hint="eastAsia" w:ascii="宋体" w:hAnsi="宋体"/>
                <w:sz w:val="24"/>
                <w:szCs w:val="24"/>
                <w:lang w:val="en-US" w:eastAsia="zh-CN"/>
              </w:rPr>
              <w:t>感</w:t>
            </w:r>
            <w:r>
              <w:rPr>
                <w:rFonts w:hint="default" w:ascii="宋体" w:hAnsi="宋体"/>
                <w:sz w:val="24"/>
                <w:szCs w:val="24"/>
              </w:rPr>
              <w:t>谢关注</w:t>
            </w:r>
            <w:r>
              <w:rPr>
                <w:rFonts w:hint="eastAsia" w:ascii="宋体" w:hAnsi="宋体"/>
                <w:sz w:val="24"/>
                <w:szCs w:val="24"/>
                <w:lang w:eastAsia="zh-CN"/>
              </w:rPr>
              <w:t>！</w:t>
            </w:r>
          </w:p>
          <w:p w14:paraId="65008BAF">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20、2024年竞争对手（如美锦能源、旭阳集团）通过规模化生产降低成本，公司如何通过技术升级（如氢基还原铁项目达产）或服务模式创新（如焦化行业碳资产管理服务）缩小差距？是否有通过并购整合区域性焦化企业的计划？</w:t>
            </w:r>
            <w:bookmarkStart w:id="0" w:name="_GoBack"/>
            <w:bookmarkEnd w:id="0"/>
          </w:p>
          <w:p w14:paraId="493108EB">
            <w:pPr>
              <w:pStyle w:val="9"/>
              <w:spacing w:line="460" w:lineRule="exact"/>
              <w:ind w:left="-2" w:leftChars="-1" w:firstLine="480"/>
              <w:rPr>
                <w:rFonts w:hint="default" w:ascii="宋体" w:hAnsi="宋体"/>
                <w:sz w:val="24"/>
                <w:szCs w:val="24"/>
              </w:rPr>
            </w:pPr>
            <w:r>
              <w:rPr>
                <w:rFonts w:hint="default" w:ascii="宋体" w:hAnsi="宋体"/>
                <w:sz w:val="24"/>
                <w:szCs w:val="24"/>
              </w:rPr>
              <w:t>您好，公司无并购整合区域性焦化企业的计划</w:t>
            </w:r>
            <w:r>
              <w:rPr>
                <w:rFonts w:hint="eastAsia" w:ascii="宋体" w:hAnsi="宋体"/>
                <w:sz w:val="24"/>
                <w:szCs w:val="24"/>
                <w:lang w:eastAsia="zh-CN"/>
              </w:rPr>
              <w:t>。</w:t>
            </w:r>
            <w:r>
              <w:rPr>
                <w:rFonts w:hint="default" w:ascii="宋体" w:hAnsi="宋体"/>
                <w:sz w:val="24"/>
                <w:szCs w:val="24"/>
              </w:rPr>
              <w:t>感谢关注！</w:t>
            </w:r>
          </w:p>
          <w:p w14:paraId="2410FABB">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21、2024年LNG业务收入占比提升至22%，但单位能耗高于行业平均水平，如何通过焦炉煤气制LNG冷箱效率提升（混合制冷剂优化）、分子筛脱水工艺改进或与中石油西气东输管网互联互通降低运营成本？是否有针对LNG加注站网络的区域性并购计划？</w:t>
            </w:r>
          </w:p>
          <w:p w14:paraId="535C48A6">
            <w:pPr>
              <w:pStyle w:val="9"/>
              <w:spacing w:line="460" w:lineRule="exact"/>
              <w:rPr>
                <w:rFonts w:hint="eastAsia" w:ascii="宋体" w:hAnsi="宋体" w:eastAsia="宋体"/>
                <w:sz w:val="24"/>
                <w:szCs w:val="24"/>
                <w:lang w:eastAsia="zh-CN"/>
              </w:rPr>
            </w:pPr>
            <w:r>
              <w:rPr>
                <w:rFonts w:hint="default" w:ascii="宋体" w:hAnsi="宋体"/>
                <w:sz w:val="24"/>
                <w:szCs w:val="24"/>
              </w:rPr>
              <w:t>您好，公司LNG产品主要销往周边加气站，目前没有</w:t>
            </w:r>
            <w:r>
              <w:rPr>
                <w:rFonts w:hint="eastAsia" w:ascii="宋体" w:hAnsi="宋体"/>
                <w:sz w:val="24"/>
                <w:szCs w:val="24"/>
                <w:lang w:val="en-US" w:eastAsia="zh-CN"/>
              </w:rPr>
              <w:t>并购</w:t>
            </w:r>
            <w:r>
              <w:rPr>
                <w:rFonts w:hint="default" w:ascii="宋体" w:hAnsi="宋体"/>
                <w:sz w:val="24"/>
                <w:szCs w:val="24"/>
              </w:rPr>
              <w:t>加气站的计划；目前销售模式为款到发货。</w:t>
            </w:r>
            <w:r>
              <w:rPr>
                <w:rFonts w:hint="eastAsia" w:ascii="宋体" w:hAnsi="宋体"/>
                <w:sz w:val="24"/>
                <w:szCs w:val="24"/>
                <w:lang w:val="en-US" w:eastAsia="zh-CN"/>
              </w:rPr>
              <w:t>感</w:t>
            </w:r>
            <w:r>
              <w:rPr>
                <w:rFonts w:hint="default" w:ascii="宋体" w:hAnsi="宋体"/>
                <w:sz w:val="24"/>
                <w:szCs w:val="24"/>
              </w:rPr>
              <w:t>谢关注</w:t>
            </w:r>
            <w:r>
              <w:rPr>
                <w:rFonts w:hint="eastAsia" w:ascii="宋体" w:hAnsi="宋体"/>
                <w:sz w:val="24"/>
                <w:szCs w:val="24"/>
                <w:lang w:eastAsia="zh-CN"/>
              </w:rPr>
              <w:t>！</w:t>
            </w:r>
          </w:p>
          <w:p w14:paraId="42C53BFD">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22、2024年资产负债率同比上升7个百分点至64%，但有息负债率仍较低，如何看待当前债务结构？是否有通过发行可转债或优化融资渠道（如供应链金融ABS）降低财务成本的计划？</w:t>
            </w:r>
          </w:p>
          <w:p w14:paraId="2E69821A">
            <w:pPr>
              <w:pStyle w:val="9"/>
              <w:spacing w:line="460" w:lineRule="exact"/>
              <w:ind w:left="-2" w:leftChars="-1" w:firstLine="480"/>
              <w:rPr>
                <w:rFonts w:hint="eastAsia" w:ascii="宋体" w:hAnsi="宋体" w:eastAsia="宋体"/>
                <w:sz w:val="24"/>
                <w:szCs w:val="24"/>
                <w:lang w:eastAsia="zh-CN"/>
              </w:rPr>
            </w:pPr>
            <w:r>
              <w:rPr>
                <w:rFonts w:hint="default" w:ascii="宋体" w:hAnsi="宋体"/>
                <w:sz w:val="24"/>
                <w:szCs w:val="24"/>
              </w:rPr>
              <w:t>您好，公司2024年末资产负债率为60.09%。公司拓展多种融资渠道，持续优化负债结构，降低融资成本。</w:t>
            </w:r>
            <w:r>
              <w:rPr>
                <w:rFonts w:hint="eastAsia" w:ascii="宋体" w:hAnsi="宋体"/>
                <w:sz w:val="24"/>
                <w:szCs w:val="24"/>
                <w:lang w:val="en-US" w:eastAsia="zh-CN"/>
              </w:rPr>
              <w:t>感</w:t>
            </w:r>
            <w:r>
              <w:rPr>
                <w:rFonts w:hint="default" w:ascii="宋体" w:hAnsi="宋体"/>
                <w:sz w:val="24"/>
                <w:szCs w:val="24"/>
              </w:rPr>
              <w:t>谢关注</w:t>
            </w:r>
            <w:r>
              <w:rPr>
                <w:rFonts w:hint="eastAsia" w:ascii="宋体" w:hAnsi="宋体"/>
                <w:sz w:val="24"/>
                <w:szCs w:val="24"/>
                <w:lang w:eastAsia="zh-CN"/>
              </w:rPr>
              <w:t>！</w:t>
            </w:r>
          </w:p>
          <w:p w14:paraId="3B556293">
            <w:pPr>
              <w:pStyle w:val="9"/>
              <w:numPr>
                <w:ilvl w:val="0"/>
                <w:numId w:val="0"/>
              </w:numPr>
              <w:spacing w:line="460" w:lineRule="exact"/>
              <w:ind w:firstLine="482" w:firstLineChars="200"/>
              <w:rPr>
                <w:rFonts w:ascii="宋体" w:hAnsi="宋体"/>
                <w:b/>
                <w:sz w:val="24"/>
                <w:szCs w:val="24"/>
              </w:rPr>
            </w:pPr>
            <w:r>
              <w:rPr>
                <w:rFonts w:hint="default" w:ascii="宋体" w:hAnsi="宋体"/>
                <w:b/>
                <w:sz w:val="24"/>
                <w:szCs w:val="24"/>
              </w:rPr>
              <w:t>23、2024年行业竞争加剧导致焦炭价格承压，公司如何通过“焦化+化工”耦合发展（如焦炉煤气制费托合成蜡）、开发高附加值焦化副产品（如煤沥青制备碳纤维）或提供焦化行业碳资产管理服务提升议价能力？是否有通过并购补强煤化工下游产业链的计划？</w:t>
            </w:r>
          </w:p>
          <w:p w14:paraId="1E992BB1">
            <w:pPr>
              <w:pStyle w:val="9"/>
              <w:spacing w:line="460" w:lineRule="exact"/>
              <w:ind w:left="-2" w:leftChars="-1" w:firstLine="480"/>
              <w:rPr>
                <w:rFonts w:hint="default" w:ascii="宋体"/>
                <w:sz w:val="24"/>
                <w:lang w:val="en-US"/>
              </w:rPr>
            </w:pPr>
            <w:r>
              <w:rPr>
                <w:rFonts w:hint="default" w:ascii="宋体" w:hAnsi="宋体"/>
                <w:sz w:val="24"/>
                <w:szCs w:val="24"/>
              </w:rPr>
              <w:t>您好，公司没有此项计划</w:t>
            </w:r>
            <w:r>
              <w:rPr>
                <w:rFonts w:hint="eastAsia" w:ascii="宋体" w:hAnsi="宋体"/>
                <w:sz w:val="24"/>
                <w:szCs w:val="24"/>
                <w:lang w:eastAsia="zh-CN"/>
              </w:rPr>
              <w:t>。</w:t>
            </w:r>
            <w:r>
              <w:rPr>
                <w:rFonts w:hint="default" w:ascii="宋体" w:hAnsi="宋体"/>
                <w:sz w:val="24"/>
                <w:szCs w:val="24"/>
              </w:rPr>
              <w:t>感谢关注！</w:t>
            </w:r>
          </w:p>
        </w:tc>
      </w:tr>
    </w:tbl>
    <w:p w14:paraId="27124A5B"/>
    <w:sectPr>
      <w:headerReference r:id="rId3" w:type="default"/>
      <w:footerReference r:id="rId4"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E827">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A977">
    <w:pPr>
      <w:pStyle w:val="3"/>
      <w:pBdr>
        <w:bottom w:val="none" w:color="auto" w:sz="0" w:space="0"/>
      </w:pBdr>
      <w:jc w:val="left"/>
      <w:rPr>
        <w:rFonts w:hint="eastAsia" w:eastAsia="宋体"/>
        <w:lang w:eastAsia="zh-CN"/>
      </w:rPr>
    </w:pPr>
    <w:r>
      <w:rPr>
        <w:rFonts w:hint="eastAsia" w:eastAsia="宋体"/>
        <w:lang w:eastAsia="zh-CN"/>
      </w:rPr>
      <w:drawing>
        <wp:inline distT="0" distB="0" distL="114300" distR="114300">
          <wp:extent cx="652145" cy="410845"/>
          <wp:effectExtent l="0" t="0" r="0" b="7620"/>
          <wp:docPr id="1" name="图片 1" descr="陕西黑猫logo标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陕西黑猫logo标识图"/>
                  <pic:cNvPicPr>
                    <a:picLocks noChangeAspect="1"/>
                  </pic:cNvPicPr>
                </pic:nvPicPr>
                <pic:blipFill>
                  <a:blip r:embed="rId1"/>
                  <a:stretch>
                    <a:fillRect/>
                  </a:stretch>
                </pic:blipFill>
                <pic:spPr>
                  <a:xfrm>
                    <a:off x="0" y="0"/>
                    <a:ext cx="652145" cy="4108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OTNjYmEwZGY3MzdhMjEwNTg2NDEwZTdhOGYyMG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4076FB0"/>
    <w:rsid w:val="07F97E53"/>
    <w:rsid w:val="0C7B2B1E"/>
    <w:rsid w:val="17DA010E"/>
    <w:rsid w:val="183C2DBE"/>
    <w:rsid w:val="18E7060B"/>
    <w:rsid w:val="1B2418A5"/>
    <w:rsid w:val="1B8737DB"/>
    <w:rsid w:val="1FBFC074"/>
    <w:rsid w:val="28CE2C0F"/>
    <w:rsid w:val="2A0E6DD8"/>
    <w:rsid w:val="327051E1"/>
    <w:rsid w:val="344C66B2"/>
    <w:rsid w:val="36FB9E1F"/>
    <w:rsid w:val="3BFA3B96"/>
    <w:rsid w:val="3CEF3472"/>
    <w:rsid w:val="3ECC3D76"/>
    <w:rsid w:val="3EFF16E9"/>
    <w:rsid w:val="4480244F"/>
    <w:rsid w:val="4FA3522E"/>
    <w:rsid w:val="513E61B7"/>
    <w:rsid w:val="531509BD"/>
    <w:rsid w:val="533F066B"/>
    <w:rsid w:val="541754B5"/>
    <w:rsid w:val="5680158C"/>
    <w:rsid w:val="5F8D6007"/>
    <w:rsid w:val="5FC37153"/>
    <w:rsid w:val="628D5542"/>
    <w:rsid w:val="62D5283E"/>
    <w:rsid w:val="637801ED"/>
    <w:rsid w:val="722C6AD9"/>
    <w:rsid w:val="77CF73AC"/>
    <w:rsid w:val="78FF0116"/>
    <w:rsid w:val="7E3655CD"/>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nhideWhenUsed/>
    <w:qFormat/>
    <w:uiPriority w:val="99"/>
    <w:rPr>
      <w:color w:val="0563C1"/>
      <w:u w:val="single"/>
    </w:rPr>
  </w:style>
  <w:style w:type="paragraph" w:customStyle="1" w:styleId="9">
    <w:name w:val="_Style 6"/>
    <w:basedOn w:val="1"/>
    <w:qFormat/>
    <w:uiPriority w:val="34"/>
    <w:pPr>
      <w:ind w:firstLine="420" w:firstLineChars="200"/>
    </w:pPr>
    <w:rPr>
      <w:rFonts w:ascii="Calibri" w:hAnsi="Calibri" w:eastAsia="宋体" w:cs="Times New Roman"/>
      <w:szCs w:val="22"/>
    </w:rPr>
  </w:style>
  <w:style w:type="paragraph" w:customStyle="1" w:styleId="10">
    <w:name w:val="Char Char Char"/>
    <w:basedOn w:val="1"/>
    <w:qFormat/>
    <w:uiPriority w:val="0"/>
    <w:rPr>
      <w:szCs w:val="21"/>
    </w:rPr>
  </w:style>
  <w:style w:type="paragraph" w:customStyle="1" w:styleId="11">
    <w:name w:val="Char Char Char Char Char Char Char Char Char Char Char Char Char Char Char Char"/>
    <w:basedOn w:val="1"/>
    <w:autoRedefine/>
    <w:qFormat/>
    <w:uiPriority w:val="0"/>
  </w:style>
  <w:style w:type="paragraph" w:customStyle="1" w:styleId="12">
    <w:name w:val=" Char Char Char"/>
    <w:basedOn w:val="1"/>
    <w:qFormat/>
    <w:uiPriority w:val="0"/>
  </w:style>
  <w:style w:type="character" w:customStyle="1" w:styleId="13">
    <w:name w:val="页脚 Char"/>
    <w:basedOn w:val="7"/>
    <w:link w:val="2"/>
    <w:qFormat/>
    <w:uiPriority w:val="0"/>
    <w:rPr>
      <w:kern w:val="2"/>
      <w:sz w:val="18"/>
      <w:szCs w:val="18"/>
    </w:rPr>
  </w:style>
  <w:style w:type="character" w:customStyle="1" w:styleId="14">
    <w:name w:val="页眉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3412</Words>
  <Characters>3636</Characters>
  <Lines>60</Lines>
  <Paragraphs>17</Paragraphs>
  <TotalTime>66</TotalTime>
  <ScaleCrop>false</ScaleCrop>
  <LinksUpToDate>false</LinksUpToDate>
  <CharactersWithSpaces>3704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心晴</cp:lastModifiedBy>
  <cp:lastPrinted>2014-02-21T05:34:00Z</cp:lastPrinted>
  <dcterms:modified xsi:type="dcterms:W3CDTF">2025-05-22T03:09:02Z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CB03CC77AA6D4999902765EFFC9CFCBA_13</vt:lpwstr>
  </property>
  <property fmtid="{D5CDD505-2E9C-101B-9397-08002B2CF9AE}" pid="4" name="KSOTemplateDocerSaveRecord">
    <vt:lpwstr>eyJoZGlkIjoiMDIxOTNjYmEwZGY3MzdhMjEwNTg2NDEwZTdhOGYyMGQiLCJ1c2VySWQiOiIzMDM3Mzg0NzIifQ==</vt:lpwstr>
  </property>
</Properties>
</file>