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59784">
      <w:pPr>
        <w:pStyle w:val="2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/>
        </w:rPr>
        <w:t>证券代码：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600818</w:t>
      </w:r>
      <w:r>
        <w:rPr>
          <w:rFonts w:hint="eastAsia" w:ascii="宋体" w:hAnsi="宋体" w:eastAsia="宋体" w:cs="宋体"/>
          <w:sz w:val="20"/>
          <w:szCs w:val="20"/>
          <w:lang w:val="en-US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 xml:space="preserve">    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证券简称：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中路股份</w:t>
      </w:r>
    </w:p>
    <w:p w14:paraId="66129AE2">
      <w:p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 xml:space="preserve">          900915                                                     中路B股</w:t>
      </w:r>
    </w:p>
    <w:p w14:paraId="0B7DD9AC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0250CE5B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中路股份有限公司</w:t>
      </w:r>
    </w:p>
    <w:p w14:paraId="46301AE5">
      <w:pPr>
        <w:spacing w:line="360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投资者关系活动记录表</w:t>
      </w:r>
    </w:p>
    <w:p w14:paraId="492D8187">
      <w:pPr>
        <w:spacing w:before="51" w:after="32"/>
        <w:ind w:right="619"/>
        <w:jc w:val="right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</w:rPr>
        <w:t>编号：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2025</w:t>
      </w:r>
      <w:r>
        <w:rPr>
          <w:rFonts w:hint="eastAsia" w:ascii="宋体" w:hAnsi="宋体" w:eastAsia="宋体" w:cs="宋体"/>
          <w:sz w:val="20"/>
          <w:szCs w:val="20"/>
        </w:rPr>
        <w:t xml:space="preserve"> -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001</w:t>
      </w:r>
    </w:p>
    <w:tbl>
      <w:tblPr>
        <w:tblStyle w:val="9"/>
        <w:tblW w:w="8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2580"/>
        <w:gridCol w:w="5945"/>
      </w:tblGrid>
      <w:tr w14:paraId="2678D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2580" w:type="dxa"/>
          </w:tcPr>
          <w:p w14:paraId="4DC668B3">
            <w:pPr>
              <w:pStyle w:val="12"/>
              <w:spacing w:before="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660E2CF0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3666CC7F">
            <w:pPr>
              <w:pStyle w:val="12"/>
              <w:spacing w:before="7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56F2EBE8">
            <w:pPr>
              <w:pStyle w:val="12"/>
              <w:tabs>
                <w:tab w:val="left" w:pos="2418"/>
              </w:tabs>
              <w:spacing w:before="1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调研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析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议</w:t>
            </w:r>
          </w:p>
          <w:p w14:paraId="48118664"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532C1D1B"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媒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采访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Wingdings 2" w:hAnsi="Wingdings 2" w:eastAsia="MS Gothic" w:cs="宋体"/>
                    <w:sz w:val="20"/>
                    <w:szCs w:val="20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绩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</w:p>
          <w:p w14:paraId="1A1790DA"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5302AFF1"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新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闻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路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活动</w:t>
            </w:r>
          </w:p>
          <w:p w14:paraId="36A1195D"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15F37932"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现场参观</w:t>
            </w:r>
          </w:p>
          <w:p w14:paraId="5B2ED719"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25F3DB57"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其他（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>请文字说明其他活动内容）</w:t>
            </w:r>
          </w:p>
        </w:tc>
      </w:tr>
      <w:tr w14:paraId="28711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2580" w:type="dxa"/>
            <w:vAlign w:val="center"/>
          </w:tcPr>
          <w:p w14:paraId="325DBCA1">
            <w:pPr>
              <w:pStyle w:val="12"/>
              <w:spacing w:line="560" w:lineRule="exact"/>
              <w:ind w:left="107" w:right="96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40C01C7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hint="default" w:eastAsia="宋体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线上参加公司2024年度暨2025年第一季度业绩说明会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>的全体投资者</w:t>
            </w:r>
          </w:p>
        </w:tc>
      </w:tr>
      <w:tr w14:paraId="2FC50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1FD28EAE"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09E22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2025年05月22日 15:00-16:00</w:t>
            </w:r>
          </w:p>
        </w:tc>
      </w:tr>
      <w:tr w14:paraId="51C60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80" w:type="dxa"/>
            <w:vAlign w:val="center"/>
          </w:tcPr>
          <w:p w14:paraId="70B00D77"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5AF76F8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sz w:val="20"/>
                <w:szCs w:val="20"/>
              </w:rPr>
              <w:t>价值在线（https://www.ir-online.cn/）网络互动</w:t>
            </w:r>
          </w:p>
        </w:tc>
      </w:tr>
      <w:tr w14:paraId="10546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51EB5772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767E0D6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董事长兼总经理 陈闪先生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独立董事 魏晓雁女士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董事会秘书 朱智女士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财务负责人 龚平先生</w:t>
            </w:r>
          </w:p>
        </w:tc>
      </w:tr>
      <w:tr w14:paraId="58753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0" w:hRule="atLeast"/>
          <w:jc w:val="center"/>
        </w:trPr>
        <w:tc>
          <w:tcPr>
            <w:tcW w:w="2580" w:type="dxa"/>
          </w:tcPr>
          <w:p w14:paraId="538B9C8D"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4EDDB7CB"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1BB7527E">
            <w:pPr>
              <w:pStyle w:val="12"/>
              <w:spacing w:before="5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5F08ADC5">
            <w:pPr>
              <w:pStyle w:val="12"/>
              <w:spacing w:before="1" w:line="499" w:lineRule="auto"/>
              <w:ind w:left="107" w:right="96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4F36223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ind w:firstLine="402" w:firstLineChars="200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问题</w:t>
            </w:r>
            <w:r>
              <w:rPr>
                <w:rFonts w:ascii="宋体" w:hAnsi="宋体" w:eastAsia="宋体" w:cs="宋体"/>
                <w:b/>
                <w:sz w:val="20"/>
              </w:rPr>
              <w:t>1</w:t>
            </w:r>
            <w:r>
              <w:rPr>
                <w:rFonts w:hint="eastAsia" w:ascii="宋体" w:hAnsi="宋体" w:eastAsia="宋体" w:cs="宋体"/>
                <w:b/>
                <w:sz w:val="20"/>
                <w:lang w:eastAsia="zh-CN"/>
              </w:rPr>
              <w:t>：</w:t>
            </w:r>
            <w:r>
              <w:rPr>
                <w:rFonts w:ascii="宋体" w:hAnsi="宋体" w:eastAsia="宋体" w:cs="宋体"/>
                <w:b/>
                <w:sz w:val="20"/>
              </w:rPr>
              <w:t>2025年及未来几年的发展战略是什么，有哪些重点布局和规划?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，您好！公司坚持以“环保低碳、绿色康体”为宗旨，积极倡导“绿色运动、健康生活”的经营理念。未来，公司将继续以传承为本，围绕市场需求推动自行车产品结构升级，公司旗下各品牌将持续发力，树立品牌特色，增强差异化竞争优势。同时公司期望后续通过与Factor的进一步合作，形成自主研发国际顶级碳纤维自行车的技术能力，以此推进高端碳纤维自行车品类的产品升级。公司也将通过对自行车产业链如零部件制造、销售渠道、赛事运营等进行延伸和整合，挖掘更多盈利点、争取实现多元化的收益增长。在其他业务布局方面，公司将完善股权投资与产业协同，加大对高空风能发电技术的研发投入，并提升产业园区的建设及运维管理水平。感谢您的关注！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问题2：</w:t>
            </w:r>
            <w:r>
              <w:rPr>
                <w:rFonts w:ascii="宋体" w:hAnsi="宋体" w:eastAsia="宋体" w:cs="宋体"/>
                <w:b/>
                <w:sz w:val="20"/>
              </w:rPr>
              <w:t>2024年公司主营业务收入构成中，各板块的占比情况如何?与前一年相比，哪些板块的增长较为明显?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，您好！2024年公司经营业务划分为以下四个经营分部：自行车与童车、电动自行车、房屋租赁及仓储、高空风能及其他。分别占总收入的71.35%、21.81%、4.40%和2.44%。其中电动自行车、房屋租赁及仓储业务分别较上年度同期增长6.56%和18.29%。感谢您的关注！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问题3：请</w:t>
            </w:r>
            <w:r>
              <w:rPr>
                <w:rFonts w:ascii="宋体" w:hAnsi="宋体" w:eastAsia="宋体" w:cs="宋体"/>
                <w:b/>
                <w:sz w:val="20"/>
              </w:rPr>
              <w:t>问独立董事，如何维护中小股东利益</w:t>
            </w:r>
            <w:r>
              <w:rPr>
                <w:rFonts w:hint="eastAsia" w:ascii="宋体" w:hAnsi="宋体" w:eastAsia="宋体" w:cs="宋体"/>
                <w:b/>
                <w:sz w:val="20"/>
                <w:lang w:eastAsia="zh-CN"/>
              </w:rPr>
              <w:t>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，您好！作为独立董事，我们始终秉持独立、客观、公正的原则，积极履行监督职责，切实维护中小股东的合法权益。在日常履职中，我们深入参与公司重大事项的决策过程，通过审慎研究议案、充分发表专业意见，</w:t>
            </w:r>
            <w:bookmarkStart w:id="0" w:name="_GoBack"/>
            <w:bookmarkEnd w:id="0"/>
            <w:r>
              <w:rPr>
                <w:rFonts w:ascii="宋体" w:hAnsi="宋体" w:eastAsia="宋体" w:cs="宋体"/>
                <w:b w:val="0"/>
                <w:sz w:val="20"/>
              </w:rPr>
              <w:t>确保公司决策的科学性和合理性。我们定期与管理层进行沟通，核查公司内部控制、运营数据和财务状况，保障公司经营的合规性与透明度。此外，我们还注重加强与中小股东的沟通交流，积极参与公司业绩说明会与股东大会，充分了解中小投资者诉求，并将合理意见及时反馈至公司管理层，推动公司治理结构的持续优化。未来，我们将继续提升专业素养，进一步强化监督职能，为维护中小股东利益不懈努力。感谢您的关注！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问题4：</w:t>
            </w:r>
            <w:r>
              <w:rPr>
                <w:rFonts w:ascii="宋体" w:hAnsi="宋体" w:eastAsia="宋体" w:cs="宋体"/>
                <w:b/>
                <w:sz w:val="20"/>
              </w:rPr>
              <w:t>请问2024年独立董事履职情况如何?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您好，2024年度，公司独立董事严格按照相关规定，认真履行职责，充分发挥外部监督与专业支持作用。2024年全年公司共召开董事会10次、独立董事专门会议2次、审计委员会6次，时任独立董事均悉数出席，认真审议各项议案，并依法行使表决权。公司独立董事以维护公司整体利益和全体投资者合法权益为出发点，充分发表专业意见，为公司科学决策和规范治理提供了有力支撑，切实履行了独立董事职责。感谢您的关注！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问题5：</w:t>
            </w:r>
            <w:r>
              <w:rPr>
                <w:rFonts w:ascii="宋体" w:hAnsi="宋体" w:eastAsia="宋体" w:cs="宋体"/>
                <w:b/>
                <w:sz w:val="20"/>
              </w:rPr>
              <w:t>请问独立董事，公司2025年将会在治理层面有哪些具体的发展和变化?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，您好！2025年，公司将根据证监会发布的《关于新＜公司法＞配套制度规则实施相关过渡期安排》等规章制度，及时修订《公司章程》及相关议事规则，细化配套制度，加强内控管理，提升公司治理水平。同时，公司将继续夯实核心业务，拓展市场，增强公司的长期投资价值。感谢您的关注！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问题6：</w:t>
            </w:r>
            <w:r>
              <w:rPr>
                <w:rFonts w:ascii="宋体" w:hAnsi="宋体" w:eastAsia="宋体" w:cs="宋体"/>
                <w:b/>
                <w:sz w:val="20"/>
              </w:rPr>
              <w:t>自行车行业有什么竞争风险?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，您好！公司所处的自行车行业进入门槛相对较低，企业竞争比较激烈。随着以钢铝合金、碳纤维新材料为代表的轻量化、以智能硬件为代表的智能化等新技术驱动行业的产品革新升级，消费者对自行车产品满足其骑乘舒适、个性化、高性价比等方面的要求提高，自行车行业企业的竞争也将进一步的加剧。公司将紧跟行业发展方向，通过不断的研发和技术改进，提高产品的技术含量和性能；通过加强品牌建设和市场营销活动，提高品牌知名度和美誉度；通过提高经营效率、创新经营模式等措施多方面降低运营成本、增强产品竞争力。感谢您的关注！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问题7：</w:t>
            </w:r>
            <w:r>
              <w:rPr>
                <w:rFonts w:ascii="宋体" w:hAnsi="宋体" w:eastAsia="宋体" w:cs="宋体"/>
                <w:b/>
                <w:sz w:val="20"/>
              </w:rPr>
              <w:t>陈总，您好，我想了解下贵公司高空风能目前与清华大学的合作进展情况，是否有新的技术突破</w:t>
            </w:r>
            <w:r>
              <w:rPr>
                <w:rFonts w:hint="eastAsia" w:ascii="宋体" w:hAnsi="宋体" w:eastAsia="宋体" w:cs="宋体"/>
                <w:b/>
                <w:sz w:val="20"/>
                <w:lang w:eastAsia="zh-CN"/>
              </w:rPr>
              <w:t>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，您好！公司持续投入对高空风能发电技术的研发，为我国能源结构优化调整发挥积极作用。2024年5月16日，清华大学（航天航空学院）—中路股份高空伞梯能集技术联合研究中心在清华大学揭牌。联合研究中心致力于“产学研能”协同创新，围绕高空风能发电的相关科学问题和共性技术需求，针对高空伞梯能集技术核心问题，开展空气动力学和流固耦合基础与应用研究，建立起关键技术、工程验证和风能应用的技术体系，共同推动高空风能技术开发与运用。感谢您的关注！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问题8：</w:t>
            </w:r>
            <w:r>
              <w:rPr>
                <w:rFonts w:ascii="宋体" w:hAnsi="宋体" w:eastAsia="宋体" w:cs="宋体"/>
                <w:b/>
                <w:sz w:val="20"/>
              </w:rPr>
              <w:t>高空风力发电项目什么时候落地商业化</w:t>
            </w:r>
            <w:r>
              <w:rPr>
                <w:rFonts w:hint="eastAsia" w:ascii="宋体" w:hAnsi="宋体" w:eastAsia="宋体" w:cs="宋体"/>
                <w:b/>
                <w:sz w:val="20"/>
                <w:lang w:eastAsia="zh-CN"/>
              </w:rPr>
              <w:t>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答:尊敬的投资者您好，公司的高空风能发电技术是一项首创性的科技创新，高空风能项目实现全面商业化尚需多方协调。敬请投资者注意投资风险，感谢您的关注！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问题9：</w:t>
            </w:r>
            <w:r>
              <w:rPr>
                <w:rFonts w:ascii="宋体" w:hAnsi="宋体" w:eastAsia="宋体" w:cs="宋体"/>
                <w:b/>
                <w:sz w:val="20"/>
              </w:rPr>
              <w:t>公司在高空风能方面的专利情况如何?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答:尊敬的投资者，您好！公司致力于高空风能发电技术的产业化，高空风能发电技术是一项首创性的科技创新。截至2024年底，公司共计持有41项相关专利。感谢您的关注！</w:t>
            </w:r>
          </w:p>
        </w:tc>
      </w:tr>
      <w:tr w14:paraId="732AF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2580" w:type="dxa"/>
            <w:vAlign w:val="center"/>
          </w:tcPr>
          <w:p w14:paraId="041316DA">
            <w:pPr>
              <w:pStyle w:val="12"/>
              <w:spacing w:before="1"/>
              <w:ind w:left="107"/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关于本次活动是否涉及应</w:t>
            </w:r>
          </w:p>
          <w:p w14:paraId="4B296452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32074B5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本次活动不涉及未公开披露的重大信息。</w:t>
            </w:r>
          </w:p>
        </w:tc>
      </w:tr>
      <w:tr w14:paraId="37F44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5B29EF84">
            <w:pPr>
              <w:pStyle w:val="12"/>
              <w:spacing w:before="1"/>
              <w:ind w:left="107" w:leftChars="0"/>
              <w:rPr>
                <w:rFonts w:ascii="宋体" w:hAnsi="宋体" w:eastAsia="宋体" w:cs="宋体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1033BE6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  <w:lang w:val="zh-CN" w:eastAsia="zh-CN" w:bidi="zh-CN"/>
              </w:rPr>
            </w:pPr>
          </w:p>
        </w:tc>
      </w:tr>
      <w:tr w14:paraId="43B6E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4AB02159">
            <w:pPr>
              <w:pStyle w:val="12"/>
              <w:spacing w:before="1"/>
              <w:ind w:left="107" w:leftChars="0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04E9537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/>
              <w:textAlignment w:val="auto"/>
              <w:rPr>
                <w:rFonts w:ascii="宋体" w:hAnsi="宋体" w:eastAsia="宋体" w:cs="宋体"/>
                <w:sz w:val="20"/>
                <w:szCs w:val="20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2025年05月22日</w:t>
            </w:r>
          </w:p>
        </w:tc>
      </w:tr>
    </w:tbl>
    <w:p w14:paraId="0ABC4DF2">
      <w:pPr>
        <w:rPr>
          <w:rFonts w:ascii="宋体" w:hAnsi="宋体" w:eastAsia="宋体" w:cs="宋体"/>
          <w:sz w:val="28"/>
          <w:szCs w:val="36"/>
        </w:rPr>
      </w:pPr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0F030EB0"/>
    <w:rsid w:val="0FAF0C36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1213CA"/>
    <w:rsid w:val="302C3D0A"/>
    <w:rsid w:val="3104598F"/>
    <w:rsid w:val="33DE31BB"/>
    <w:rsid w:val="380B7600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4F865FC4"/>
    <w:rsid w:val="510903EF"/>
    <w:rsid w:val="53F137F4"/>
    <w:rsid w:val="543A6906"/>
    <w:rsid w:val="56850CBB"/>
    <w:rsid w:val="59D8738A"/>
    <w:rsid w:val="5A666D76"/>
    <w:rsid w:val="5B2253C2"/>
    <w:rsid w:val="5B80589C"/>
    <w:rsid w:val="5CF02E0F"/>
    <w:rsid w:val="603269D2"/>
    <w:rsid w:val="60583D40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0928A3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</w:style>
  <w:style w:type="paragraph" w:styleId="4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10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basedOn w:val="10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批注文字 字符"/>
    <w:basedOn w:val="10"/>
    <w:link w:val="3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6">
    <w:name w:val="批注主题 字符"/>
    <w:basedOn w:val="15"/>
    <w:link w:val="8"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7">
    <w:name w:val="批注框文本 字符"/>
    <w:basedOn w:val="10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2203</Words>
  <Characters>2334</Characters>
  <Lines>2</Lines>
  <Paragraphs>1</Paragraphs>
  <TotalTime>7</TotalTime>
  <ScaleCrop>false</ScaleCrop>
  <LinksUpToDate>false</LinksUpToDate>
  <CharactersWithSpaces>2521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2022-04-12T06:10:00Z</dcterms:created>
  <dc:creator>jie.huang</dc:creator>
  <cp:lastModifiedBy>L  a  h</cp:lastModifiedBy>
  <dcterms:modified xsi:type="dcterms:W3CDTF">2025-05-22T09:52:04Z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9C093A1563404493B8530004DAF198FB_13</vt:lpwstr>
  </property>
  <property fmtid="{D5CDD505-2E9C-101B-9397-08002B2CF9AE}" pid="4" name="KSOTemplateDocerSaveRecord">
    <vt:lpwstr>eyJoZGlkIjoiZDlhMDY0OGY3MmQ1YTgyYTIwZDAxMGZiMzRjNzdmMjYiLCJ1c2VySWQiOiIyNzU3MzIzNTIifQ==</vt:lpwstr>
  </property>
</Properties>
</file>