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A4BC2" w14:textId="77777777" w:rsidR="009F5848" w:rsidRDefault="00000000">
      <w:pPr>
        <w:jc w:val="left"/>
        <w:rPr>
          <w:rFonts w:ascii="宋体" w:hAnsi="宋体" w:hint="eastAsia"/>
          <w:sz w:val="24"/>
          <w:szCs w:val="24"/>
        </w:rPr>
      </w:pPr>
      <w:r>
        <w:rPr>
          <w:rFonts w:ascii="宋体" w:hAnsi="宋体" w:hint="eastAsia"/>
          <w:sz w:val="24"/>
          <w:szCs w:val="24"/>
        </w:rPr>
        <w:t>证券代码：</w:t>
      </w:r>
      <w:r>
        <w:rPr>
          <w:rFonts w:ascii="宋体" w:hAnsi="宋体"/>
          <w:sz w:val="24"/>
          <w:szCs w:val="24"/>
        </w:rPr>
        <w:t>600755</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公司简称：</w:t>
      </w:r>
      <w:r>
        <w:rPr>
          <w:rFonts w:ascii="宋体" w:hAnsi="宋体"/>
          <w:sz w:val="24"/>
          <w:szCs w:val="24"/>
        </w:rPr>
        <w:t>厦门国贸</w:t>
      </w:r>
    </w:p>
    <w:p w14:paraId="7A8949E2" w14:textId="77777777" w:rsidR="009F5848" w:rsidRDefault="00000000">
      <w:pPr>
        <w:jc w:val="center"/>
        <w:rPr>
          <w:rFonts w:ascii="黑体" w:eastAsia="黑体" w:hAnsi="黑体" w:hint="eastAsia"/>
          <w:sz w:val="36"/>
          <w:szCs w:val="36"/>
        </w:rPr>
      </w:pPr>
      <w:r>
        <w:rPr>
          <w:rFonts w:ascii="黑体" w:eastAsia="黑体" w:hAnsi="黑体" w:hint="eastAsia"/>
          <w:sz w:val="36"/>
          <w:szCs w:val="36"/>
        </w:rPr>
        <w:t>厦门国贸集团股份有限公司</w:t>
      </w:r>
    </w:p>
    <w:p w14:paraId="7FE45F54" w14:textId="77777777" w:rsidR="009F5848" w:rsidRDefault="00000000">
      <w:pPr>
        <w:jc w:val="center"/>
        <w:rPr>
          <w:rFonts w:ascii="黑体" w:eastAsia="黑体" w:hAnsi="黑体" w:hint="eastAsia"/>
          <w:sz w:val="36"/>
          <w:szCs w:val="36"/>
        </w:rPr>
      </w:pPr>
      <w:r>
        <w:rPr>
          <w:rFonts w:ascii="黑体" w:eastAsia="黑体" w:hAnsi="黑体" w:hint="eastAsia"/>
          <w:sz w:val="36"/>
          <w:szCs w:val="36"/>
        </w:rPr>
        <w:t>投资者关系活动记录表</w:t>
      </w:r>
    </w:p>
    <w:p w14:paraId="772A2002" w14:textId="77777777" w:rsidR="009F5848" w:rsidRDefault="009F5848">
      <w:pPr>
        <w:jc w:val="center"/>
        <w:rPr>
          <w:rFonts w:ascii="黑体" w:eastAsia="黑体" w:hAnsi="黑体" w:hint="eastAsia"/>
          <w:sz w:val="24"/>
          <w:szCs w:val="24"/>
        </w:rPr>
      </w:pPr>
    </w:p>
    <w:p w14:paraId="261AEEBB" w14:textId="0AAFABE0" w:rsidR="009F5848" w:rsidRDefault="009F5848">
      <w:pPr>
        <w:ind w:right="720"/>
        <w:jc w:val="right"/>
        <w:rPr>
          <w:rFonts w:ascii="黑体" w:eastAsia="黑体" w:hAnsi="黑体" w:hint="eastAsia"/>
          <w:sz w:val="24"/>
          <w:szCs w:val="24"/>
        </w:rPr>
      </w:pPr>
    </w:p>
    <w:tbl>
      <w:tblPr>
        <w:tblStyle w:val="a4"/>
        <w:tblW w:w="8717" w:type="dxa"/>
        <w:tblLook w:val="04A0" w:firstRow="1" w:lastRow="0" w:firstColumn="1" w:lastColumn="0" w:noHBand="0" w:noVBand="1"/>
      </w:tblPr>
      <w:tblGrid>
        <w:gridCol w:w="1526"/>
        <w:gridCol w:w="7191"/>
      </w:tblGrid>
      <w:tr w:rsidR="009F5848" w14:paraId="4B65BB28" w14:textId="77777777">
        <w:trPr>
          <w:trHeight w:val="838"/>
        </w:trPr>
        <w:tc>
          <w:tcPr>
            <w:tcW w:w="1526" w:type="dxa"/>
            <w:vAlign w:val="center"/>
          </w:tcPr>
          <w:p w14:paraId="7245351A" w14:textId="77777777" w:rsidR="009F5848" w:rsidRDefault="00000000">
            <w:pPr>
              <w:rPr>
                <w:sz w:val="24"/>
                <w:szCs w:val="24"/>
              </w:rPr>
            </w:pPr>
            <w:r>
              <w:rPr>
                <w:rFonts w:hint="eastAsia"/>
                <w:sz w:val="24"/>
                <w:szCs w:val="24"/>
              </w:rPr>
              <w:t>投资者关系活动类别</w:t>
            </w:r>
          </w:p>
        </w:tc>
        <w:tc>
          <w:tcPr>
            <w:tcW w:w="7191" w:type="dxa"/>
            <w:vAlign w:val="center"/>
          </w:tcPr>
          <w:p w14:paraId="641316FC" w14:textId="77777777" w:rsidR="009F5848" w:rsidRDefault="00000000">
            <w:pPr>
              <w:spacing w:line="360" w:lineRule="auto"/>
              <w:rPr>
                <w:sz w:val="24"/>
                <w:szCs w:val="24"/>
              </w:rPr>
            </w:pPr>
            <w:r>
              <w:rPr>
                <w:rFonts w:ascii="宋体" w:hAnsi="宋体" w:cs="宋体" w:hint="eastAsia"/>
                <w:sz w:val="24"/>
                <w:szCs w:val="24"/>
              </w:rPr>
              <w:t>业绩说明会</w:t>
            </w:r>
          </w:p>
        </w:tc>
      </w:tr>
      <w:tr w:rsidR="009F5848" w14:paraId="5D8C7281" w14:textId="77777777">
        <w:trPr>
          <w:trHeight w:val="838"/>
        </w:trPr>
        <w:tc>
          <w:tcPr>
            <w:tcW w:w="1526" w:type="dxa"/>
            <w:vAlign w:val="center"/>
          </w:tcPr>
          <w:p w14:paraId="18C9BFCE" w14:textId="77777777" w:rsidR="009F5848" w:rsidRDefault="00000000">
            <w:pPr>
              <w:rPr>
                <w:sz w:val="24"/>
                <w:szCs w:val="24"/>
              </w:rPr>
            </w:pPr>
            <w:r>
              <w:rPr>
                <w:rFonts w:hint="eastAsia"/>
                <w:sz w:val="24"/>
                <w:szCs w:val="24"/>
              </w:rPr>
              <w:t>活动主题</w:t>
            </w:r>
          </w:p>
        </w:tc>
        <w:tc>
          <w:tcPr>
            <w:tcW w:w="7191" w:type="dxa"/>
            <w:vAlign w:val="center"/>
          </w:tcPr>
          <w:p w14:paraId="0ED00640" w14:textId="77777777" w:rsidR="009F5848" w:rsidRDefault="00000000">
            <w:pPr>
              <w:rPr>
                <w:sz w:val="24"/>
                <w:szCs w:val="24"/>
              </w:rPr>
            </w:pPr>
            <w:r>
              <w:rPr>
                <w:rFonts w:ascii="宋体" w:hAnsi="宋体" w:cs="宋体" w:hint="eastAsia"/>
                <w:bCs/>
                <w:iCs/>
                <w:color w:val="000000"/>
                <w:sz w:val="24"/>
                <w:lang w:val="en-GB"/>
              </w:rPr>
              <w:t>厦门国贸2024年度暨2025第一季度业绩说明会</w:t>
            </w:r>
          </w:p>
        </w:tc>
      </w:tr>
      <w:tr w:rsidR="009F5848" w14:paraId="0FCCE68E" w14:textId="77777777">
        <w:trPr>
          <w:trHeight w:val="799"/>
        </w:trPr>
        <w:tc>
          <w:tcPr>
            <w:tcW w:w="1526" w:type="dxa"/>
            <w:vAlign w:val="center"/>
          </w:tcPr>
          <w:p w14:paraId="7011B3F9" w14:textId="77777777" w:rsidR="009F5848" w:rsidRDefault="00000000">
            <w:pPr>
              <w:rPr>
                <w:sz w:val="24"/>
                <w:szCs w:val="24"/>
              </w:rPr>
            </w:pPr>
            <w:r>
              <w:rPr>
                <w:rFonts w:hint="eastAsia"/>
                <w:sz w:val="24"/>
                <w:szCs w:val="24"/>
              </w:rPr>
              <w:t>时间</w:t>
            </w:r>
          </w:p>
        </w:tc>
        <w:tc>
          <w:tcPr>
            <w:tcW w:w="7191" w:type="dxa"/>
            <w:vAlign w:val="center"/>
          </w:tcPr>
          <w:p w14:paraId="723253FC" w14:textId="77777777" w:rsidR="009F5848" w:rsidRDefault="00000000">
            <w:pPr>
              <w:rPr>
                <w:sz w:val="24"/>
                <w:szCs w:val="24"/>
              </w:rPr>
            </w:pPr>
            <w:r>
              <w:rPr>
                <w:rFonts w:ascii="宋体" w:hAnsi="宋体" w:cs="宋体" w:hint="eastAsia"/>
                <w:bCs/>
                <w:iCs/>
                <w:color w:val="000000"/>
                <w:sz w:val="24"/>
              </w:rPr>
              <w:t>2025-05-23 - 10:00-11:30</w:t>
            </w:r>
          </w:p>
        </w:tc>
      </w:tr>
      <w:tr w:rsidR="009F5848" w14:paraId="413068FD" w14:textId="77777777">
        <w:trPr>
          <w:trHeight w:val="838"/>
        </w:trPr>
        <w:tc>
          <w:tcPr>
            <w:tcW w:w="1526" w:type="dxa"/>
            <w:vAlign w:val="center"/>
          </w:tcPr>
          <w:p w14:paraId="42B5A0BD" w14:textId="77777777" w:rsidR="009F5848" w:rsidRDefault="00000000">
            <w:pPr>
              <w:rPr>
                <w:sz w:val="24"/>
                <w:szCs w:val="24"/>
              </w:rPr>
            </w:pPr>
            <w:r>
              <w:rPr>
                <w:rFonts w:hint="eastAsia"/>
                <w:sz w:val="24"/>
                <w:szCs w:val="24"/>
              </w:rPr>
              <w:t>地点</w:t>
            </w:r>
            <w:r>
              <w:rPr>
                <w:rFonts w:ascii="宋体" w:hAnsi="宋体" w:hint="eastAsia"/>
                <w:sz w:val="24"/>
                <w:szCs w:val="24"/>
              </w:rPr>
              <w:t>/</w:t>
            </w:r>
            <w:r>
              <w:rPr>
                <w:rFonts w:hint="eastAsia"/>
                <w:sz w:val="24"/>
                <w:szCs w:val="24"/>
              </w:rPr>
              <w:t>方式</w:t>
            </w:r>
          </w:p>
        </w:tc>
        <w:tc>
          <w:tcPr>
            <w:tcW w:w="7191" w:type="dxa"/>
          </w:tcPr>
          <w:p w14:paraId="4CE4539E" w14:textId="77777777" w:rsidR="009F5848" w:rsidRDefault="00000000" w:rsidP="000C5954">
            <w:pPr>
              <w:spacing w:line="360" w:lineRule="auto"/>
              <w:rPr>
                <w:rFonts w:ascii="宋体" w:hAnsi="宋体" w:hint="eastAsia"/>
                <w:bCs/>
                <w:sz w:val="24"/>
              </w:rPr>
            </w:pPr>
            <w:r>
              <w:rPr>
                <w:rFonts w:ascii="宋体" w:hAnsi="宋体" w:hint="eastAsia"/>
                <w:bCs/>
                <w:sz w:val="24"/>
              </w:rPr>
              <w:t xml:space="preserve">上证路演中心 </w:t>
            </w:r>
            <w:hyperlink r:id="rId6" w:history="1">
              <w:r>
                <w:rPr>
                  <w:rStyle w:val="a5"/>
                  <w:rFonts w:ascii="宋体" w:hAnsi="宋体" w:hint="eastAsia"/>
                  <w:bCs/>
                  <w:sz w:val="24"/>
                </w:rPr>
                <w:t>https://roadshow.sseinfo.com</w:t>
              </w:r>
            </w:hyperlink>
          </w:p>
          <w:p w14:paraId="6E68AFE2" w14:textId="77777777" w:rsidR="009F5848" w:rsidRDefault="00000000" w:rsidP="000C5954">
            <w:pPr>
              <w:spacing w:line="360" w:lineRule="auto"/>
              <w:rPr>
                <w:sz w:val="24"/>
                <w:szCs w:val="24"/>
              </w:rPr>
            </w:pPr>
            <w:r>
              <w:rPr>
                <w:rFonts w:ascii="宋体" w:hAnsi="宋体" w:hint="eastAsia"/>
                <w:bCs/>
                <w:sz w:val="24"/>
              </w:rPr>
              <w:t>视频录播+网络文字互动</w:t>
            </w:r>
          </w:p>
        </w:tc>
      </w:tr>
      <w:tr w:rsidR="009F5848" w14:paraId="11D79BC5" w14:textId="77777777">
        <w:trPr>
          <w:trHeight w:val="838"/>
        </w:trPr>
        <w:tc>
          <w:tcPr>
            <w:tcW w:w="1526" w:type="dxa"/>
            <w:vAlign w:val="center"/>
          </w:tcPr>
          <w:p w14:paraId="79387D5C" w14:textId="77777777" w:rsidR="009F5848" w:rsidRDefault="00000000">
            <w:pPr>
              <w:rPr>
                <w:sz w:val="24"/>
                <w:szCs w:val="24"/>
              </w:rPr>
            </w:pPr>
            <w:r>
              <w:rPr>
                <w:rFonts w:hint="eastAsia"/>
                <w:sz w:val="24"/>
                <w:szCs w:val="24"/>
              </w:rPr>
              <w:t>参会人员</w:t>
            </w:r>
          </w:p>
        </w:tc>
        <w:tc>
          <w:tcPr>
            <w:tcW w:w="7191" w:type="dxa"/>
            <w:vAlign w:val="center"/>
          </w:tcPr>
          <w:p w14:paraId="5DDF44F2" w14:textId="77777777" w:rsidR="0061751B" w:rsidRDefault="00000000">
            <w:pPr>
              <w:spacing w:line="360" w:lineRule="auto"/>
              <w:rPr>
                <w:rFonts w:ascii="宋体" w:hAnsi="宋体" w:cs="宋体"/>
                <w:sz w:val="24"/>
                <w:szCs w:val="24"/>
              </w:rPr>
            </w:pPr>
            <w:r>
              <w:rPr>
                <w:rFonts w:ascii="宋体" w:hAnsi="宋体" w:cs="宋体" w:hint="eastAsia"/>
                <w:sz w:val="24"/>
                <w:szCs w:val="24"/>
              </w:rPr>
              <w:t>董事长：高少镛</w:t>
            </w:r>
          </w:p>
          <w:p w14:paraId="6B62EA08" w14:textId="77777777" w:rsidR="0061751B" w:rsidRDefault="00000000">
            <w:pPr>
              <w:spacing w:line="360" w:lineRule="auto"/>
              <w:rPr>
                <w:rFonts w:ascii="宋体" w:hAnsi="宋体" w:cs="宋体"/>
                <w:sz w:val="24"/>
                <w:szCs w:val="24"/>
              </w:rPr>
            </w:pPr>
            <w:r>
              <w:rPr>
                <w:rFonts w:ascii="宋体" w:hAnsi="宋体" w:cs="宋体" w:hint="eastAsia"/>
                <w:sz w:val="24"/>
                <w:szCs w:val="24"/>
              </w:rPr>
              <w:t>副董事长、总裁：蔡莹彬</w:t>
            </w:r>
          </w:p>
          <w:p w14:paraId="00227CB7" w14:textId="77777777" w:rsidR="0061751B" w:rsidRDefault="00000000">
            <w:pPr>
              <w:spacing w:line="360" w:lineRule="auto"/>
              <w:rPr>
                <w:rFonts w:ascii="宋体" w:hAnsi="宋体" w:cs="宋体"/>
                <w:sz w:val="24"/>
                <w:szCs w:val="24"/>
              </w:rPr>
            </w:pPr>
            <w:r>
              <w:rPr>
                <w:rFonts w:ascii="宋体" w:hAnsi="宋体" w:cs="宋体" w:hint="eastAsia"/>
                <w:sz w:val="24"/>
                <w:szCs w:val="24"/>
              </w:rPr>
              <w:t>独立董事：戴亦一</w:t>
            </w:r>
          </w:p>
          <w:p w14:paraId="4D135361" w14:textId="77777777" w:rsidR="0061751B" w:rsidRDefault="00000000">
            <w:pPr>
              <w:spacing w:line="360" w:lineRule="auto"/>
              <w:rPr>
                <w:rFonts w:ascii="宋体" w:hAnsi="宋体" w:cs="宋体"/>
                <w:sz w:val="24"/>
                <w:szCs w:val="24"/>
              </w:rPr>
            </w:pPr>
            <w:r>
              <w:rPr>
                <w:rFonts w:ascii="宋体" w:hAnsi="宋体" w:cs="宋体" w:hint="eastAsia"/>
                <w:sz w:val="24"/>
                <w:szCs w:val="24"/>
              </w:rPr>
              <w:t>副总裁、董事会秘书：范丹</w:t>
            </w:r>
          </w:p>
          <w:p w14:paraId="072E2F42" w14:textId="03401932" w:rsidR="009F5848" w:rsidRDefault="00000000">
            <w:pPr>
              <w:spacing w:line="360" w:lineRule="auto"/>
              <w:rPr>
                <w:sz w:val="24"/>
                <w:szCs w:val="24"/>
              </w:rPr>
            </w:pPr>
            <w:r>
              <w:rPr>
                <w:rFonts w:ascii="宋体" w:hAnsi="宋体" w:cs="宋体" w:hint="eastAsia"/>
                <w:sz w:val="24"/>
                <w:szCs w:val="24"/>
              </w:rPr>
              <w:t>副总裁、财务总监：周朝华</w:t>
            </w:r>
          </w:p>
        </w:tc>
      </w:tr>
      <w:tr w:rsidR="009F5848" w14:paraId="24B357CE" w14:textId="77777777">
        <w:trPr>
          <w:trHeight w:val="557"/>
        </w:trPr>
        <w:tc>
          <w:tcPr>
            <w:tcW w:w="1526" w:type="dxa"/>
            <w:vAlign w:val="center"/>
          </w:tcPr>
          <w:p w14:paraId="177F8F2A" w14:textId="77777777" w:rsidR="009F5848" w:rsidRDefault="00000000">
            <w:pPr>
              <w:rPr>
                <w:sz w:val="24"/>
                <w:szCs w:val="24"/>
              </w:rPr>
            </w:pPr>
            <w:r>
              <w:rPr>
                <w:rFonts w:hint="eastAsia"/>
                <w:sz w:val="24"/>
                <w:szCs w:val="24"/>
              </w:rPr>
              <w:t>投资者关系活动主要内容介绍</w:t>
            </w:r>
          </w:p>
        </w:tc>
        <w:tc>
          <w:tcPr>
            <w:tcW w:w="7191" w:type="dxa"/>
          </w:tcPr>
          <w:p w14:paraId="13A3F363" w14:textId="77777777" w:rsidR="009F5848" w:rsidRDefault="00000000" w:rsidP="0061751B">
            <w:pPr>
              <w:spacing w:beforeLines="50" w:before="156" w:line="360" w:lineRule="auto"/>
              <w:jc w:val="center"/>
              <w:rPr>
                <w:rFonts w:ascii="宋体" w:hAnsi="宋体" w:hint="eastAsia"/>
                <w:b/>
                <w:sz w:val="24"/>
              </w:rPr>
            </w:pPr>
            <w:r>
              <w:rPr>
                <w:rFonts w:ascii="宋体" w:hAnsi="宋体" w:hint="eastAsia"/>
                <w:b/>
                <w:sz w:val="24"/>
              </w:rPr>
              <w:t>投资者关系活动主要内容</w:t>
            </w:r>
          </w:p>
          <w:p w14:paraId="13BCC820" w14:textId="1061692D" w:rsidR="009F5848" w:rsidRPr="0061751B" w:rsidRDefault="00000000" w:rsidP="0061751B">
            <w:pPr>
              <w:spacing w:line="360" w:lineRule="auto"/>
              <w:rPr>
                <w:b/>
                <w:bCs/>
              </w:rPr>
            </w:pPr>
            <w:r w:rsidRPr="0061751B">
              <w:rPr>
                <w:rFonts w:ascii="宋体"/>
                <w:b/>
                <w:bCs/>
                <w:sz w:val="24"/>
              </w:rPr>
              <w:t>1、近年来，上市公司可持续发展水平的评估变得日益关键，公司在此方面有何表现？</w:t>
            </w:r>
          </w:p>
          <w:p w14:paraId="4C563F14" w14:textId="040C8AB0" w:rsidR="009F5848" w:rsidRDefault="00000000" w:rsidP="0061751B">
            <w:pPr>
              <w:spacing w:line="360" w:lineRule="auto"/>
              <w:ind w:firstLineChars="200" w:firstLine="480"/>
              <w:rPr>
                <w:rFonts w:ascii="宋体"/>
                <w:sz w:val="24"/>
              </w:rPr>
            </w:pPr>
            <w:r>
              <w:rPr>
                <w:rFonts w:ascii="宋体"/>
                <w:sz w:val="24"/>
              </w:rPr>
              <w:t>答:公司将可持续发展理念融入企业内核与发展，通过在治理中践行 ESG 理念，持续完善公司治理机制、提升可持续发展各项议题管理水平，推动公司可持续发展。公司已制定《商业行为准则》《供应商行为准则》《环境保护政策》《劳工权益保障政策》《社区政策》可持续发展政策完善ESG制度体系，覆盖环境管理、供应链责任、反腐败、员工权益等核心议题。公司董事会下设战略与可持续发展委员会，负责对公司可持续发展以及环境、社会及管治（ESG）的战略与目标进行研究、提出建议并对其实施情况和效果进行跟踪评价。 2024年，公司在标普全球可持续发展的评级创新高，提升至全球同</w:t>
            </w:r>
            <w:r>
              <w:rPr>
                <w:rFonts w:ascii="宋体"/>
                <w:sz w:val="24"/>
              </w:rPr>
              <w:lastRenderedPageBreak/>
              <w:t>业前17%；入选中国上市公司协会</w:t>
            </w:r>
            <w:r>
              <w:rPr>
                <w:rFonts w:ascii="宋体"/>
                <w:sz w:val="24"/>
              </w:rPr>
              <w:t>“</w:t>
            </w:r>
            <w:r>
              <w:rPr>
                <w:rFonts w:ascii="宋体"/>
                <w:sz w:val="24"/>
              </w:rPr>
              <w:t>2024年上市公司ESG优秀实践案例</w:t>
            </w:r>
            <w:r>
              <w:rPr>
                <w:rFonts w:ascii="宋体"/>
                <w:sz w:val="24"/>
              </w:rPr>
              <w:t>”</w:t>
            </w:r>
            <w:r>
              <w:rPr>
                <w:rFonts w:ascii="宋体"/>
                <w:sz w:val="24"/>
              </w:rPr>
              <w:t>；荣获财联社</w:t>
            </w:r>
            <w:r>
              <w:rPr>
                <w:rFonts w:ascii="宋体"/>
                <w:sz w:val="24"/>
              </w:rPr>
              <w:t>“</w:t>
            </w:r>
            <w:r>
              <w:rPr>
                <w:rFonts w:ascii="宋体"/>
                <w:sz w:val="24"/>
              </w:rPr>
              <w:t>2024年度财联社致远奖</w:t>
            </w:r>
            <w:r>
              <w:rPr>
                <w:rFonts w:ascii="宋体"/>
                <w:sz w:val="24"/>
              </w:rPr>
              <w:t>·</w:t>
            </w:r>
            <w:r>
              <w:rPr>
                <w:rFonts w:ascii="宋体"/>
                <w:sz w:val="24"/>
              </w:rPr>
              <w:t>ESG先锋奖</w:t>
            </w:r>
            <w:r>
              <w:rPr>
                <w:rFonts w:ascii="宋体"/>
                <w:sz w:val="24"/>
              </w:rPr>
              <w:t>”</w:t>
            </w:r>
            <w:r>
              <w:rPr>
                <w:rFonts w:ascii="宋体"/>
                <w:sz w:val="24"/>
              </w:rPr>
              <w:t>等。公司始终以国企担当的责任价值、以企业公民的和谐价值为方向，通过发挥产业资源优势，践行企业责任，持续提升ESG绩效表现。</w:t>
            </w:r>
          </w:p>
          <w:p w14:paraId="23BEB8BC" w14:textId="79727D44" w:rsidR="009F5848" w:rsidRPr="0061751B" w:rsidRDefault="00000000" w:rsidP="0061751B">
            <w:pPr>
              <w:spacing w:line="360" w:lineRule="auto"/>
              <w:rPr>
                <w:b/>
                <w:bCs/>
              </w:rPr>
            </w:pPr>
            <w:r w:rsidRPr="0061751B">
              <w:rPr>
                <w:rFonts w:ascii="宋体"/>
                <w:b/>
                <w:bCs/>
                <w:sz w:val="24"/>
              </w:rPr>
              <w:t>2、AI发展浪潮下，公司在业务上有什么应用？</w:t>
            </w:r>
          </w:p>
          <w:p w14:paraId="7490AF47" w14:textId="77777777" w:rsidR="0061751B" w:rsidRDefault="00000000" w:rsidP="0061751B">
            <w:pPr>
              <w:spacing w:line="360" w:lineRule="auto"/>
              <w:ind w:firstLineChars="200" w:firstLine="480"/>
              <w:rPr>
                <w:rFonts w:ascii="宋体"/>
                <w:sz w:val="24"/>
              </w:rPr>
            </w:pPr>
            <w:r>
              <w:rPr>
                <w:rFonts w:ascii="宋体"/>
                <w:sz w:val="24"/>
              </w:rPr>
              <w:t>答:当前数智化变革步伐正不断加快，通过融合大数据分析、云计算、区块链、物联网、人工智能等尖端技术，供应链管理行业的内部流程和决策机制将不断升级。当下，数智化和</w:t>
            </w:r>
            <w:r>
              <w:rPr>
                <w:rFonts w:ascii="宋体"/>
                <w:sz w:val="24"/>
              </w:rPr>
              <w:t>“</w:t>
            </w:r>
            <w:r>
              <w:rPr>
                <w:rFonts w:ascii="宋体"/>
                <w:sz w:val="24"/>
              </w:rPr>
              <w:t>AI+供应链管理</w:t>
            </w:r>
            <w:r>
              <w:rPr>
                <w:rFonts w:ascii="宋体"/>
                <w:sz w:val="24"/>
              </w:rPr>
              <w:t>”</w:t>
            </w:r>
            <w:r>
              <w:rPr>
                <w:rFonts w:ascii="宋体"/>
                <w:sz w:val="24"/>
              </w:rPr>
              <w:t>将成为供应链头部企业增强竞争力、迅速响应市场需求、有效应对不确定性的必然发展方向。 公司持续探索人工智能技术在供应链管理领域的渗透与迭代，加快形成新质生产力，助力产业转型升级。</w:t>
            </w:r>
          </w:p>
          <w:p w14:paraId="66C1CF4C" w14:textId="5C716A43" w:rsidR="009F5848" w:rsidRDefault="00000000" w:rsidP="0061751B">
            <w:pPr>
              <w:spacing w:line="360" w:lineRule="auto"/>
              <w:ind w:firstLineChars="200" w:firstLine="480"/>
              <w:rPr>
                <w:rFonts w:ascii="宋体" w:hint="eastAsia"/>
                <w:sz w:val="24"/>
              </w:rPr>
            </w:pPr>
            <w:r>
              <w:rPr>
                <w:rFonts w:ascii="宋体"/>
                <w:sz w:val="24"/>
              </w:rPr>
              <w:t>目前公司智慧供应链综合服务平台</w:t>
            </w:r>
            <w:r>
              <w:rPr>
                <w:rFonts w:ascii="宋体"/>
                <w:sz w:val="24"/>
              </w:rPr>
              <w:t>“</w:t>
            </w:r>
            <w:r>
              <w:rPr>
                <w:rFonts w:ascii="宋体"/>
                <w:sz w:val="24"/>
              </w:rPr>
              <w:t>国贸云链</w:t>
            </w:r>
            <w:r>
              <w:rPr>
                <w:rFonts w:ascii="宋体"/>
                <w:sz w:val="24"/>
              </w:rPr>
              <w:t>”</w:t>
            </w:r>
            <w:r>
              <w:rPr>
                <w:rFonts w:ascii="宋体"/>
                <w:sz w:val="24"/>
              </w:rPr>
              <w:t>AI助手、数字员工</w:t>
            </w:r>
            <w:r>
              <w:rPr>
                <w:rFonts w:ascii="宋体"/>
                <w:sz w:val="24"/>
              </w:rPr>
              <w:t>“</w:t>
            </w:r>
            <w:r>
              <w:rPr>
                <w:rFonts w:ascii="宋体"/>
                <w:sz w:val="24"/>
              </w:rPr>
              <w:t>云诚</w:t>
            </w:r>
            <w:r>
              <w:rPr>
                <w:rFonts w:ascii="宋体"/>
                <w:sz w:val="24"/>
              </w:rPr>
              <w:t>”</w:t>
            </w:r>
            <w:r>
              <w:rPr>
                <w:rFonts w:ascii="宋体"/>
                <w:sz w:val="24"/>
              </w:rPr>
              <w:t>已正式接入DeepSeek-R1大模型，</w:t>
            </w:r>
            <w:r>
              <w:rPr>
                <w:rFonts w:ascii="宋体"/>
                <w:sz w:val="24"/>
              </w:rPr>
              <w:t>“</w:t>
            </w:r>
            <w:r>
              <w:rPr>
                <w:rFonts w:ascii="宋体"/>
                <w:sz w:val="24"/>
              </w:rPr>
              <w:t>国贸云链</w:t>
            </w:r>
            <w:r>
              <w:rPr>
                <w:rFonts w:ascii="宋体"/>
                <w:sz w:val="24"/>
              </w:rPr>
              <w:t>”</w:t>
            </w:r>
            <w:r>
              <w:rPr>
                <w:rFonts w:ascii="宋体"/>
                <w:sz w:val="24"/>
              </w:rPr>
              <w:t>将自身的产业互联网能力与DeepSeek-R1强大的学习推理能力相结合，为用户提供自助下单、行情资讯与客服咨询等功能，有效提升用户的交互体验与业务处理效率，助力用户实现快速的信息获取、行情研判与商业决策，从而实现业务流程及模式的优化升级。</w:t>
            </w:r>
          </w:p>
          <w:p w14:paraId="343A8FFF" w14:textId="13403E5B" w:rsidR="009F5848" w:rsidRPr="0061751B" w:rsidRDefault="00000000" w:rsidP="0061751B">
            <w:pPr>
              <w:spacing w:line="360" w:lineRule="auto"/>
              <w:rPr>
                <w:b/>
                <w:bCs/>
              </w:rPr>
            </w:pPr>
            <w:r w:rsidRPr="0061751B">
              <w:rPr>
                <w:rFonts w:ascii="宋体"/>
                <w:b/>
                <w:bCs/>
                <w:sz w:val="24"/>
              </w:rPr>
              <w:t>3、健康科技业务目前发展的如何，未来有什么规划？</w:t>
            </w:r>
          </w:p>
          <w:p w14:paraId="5214F735" w14:textId="77777777" w:rsidR="0061751B" w:rsidRDefault="00000000" w:rsidP="0061751B">
            <w:pPr>
              <w:spacing w:line="360" w:lineRule="auto"/>
              <w:ind w:firstLineChars="200" w:firstLine="480"/>
              <w:rPr>
                <w:rFonts w:ascii="宋体"/>
                <w:sz w:val="24"/>
              </w:rPr>
            </w:pPr>
            <w:r>
              <w:rPr>
                <w:rFonts w:ascii="宋体"/>
                <w:sz w:val="24"/>
              </w:rPr>
              <w:t>答:近年来公司健康科技业务保持良好的增长势头，以旗下北京派尔特医疗科技股份有限公司（简称</w:t>
            </w:r>
            <w:r>
              <w:rPr>
                <w:rFonts w:ascii="宋体"/>
                <w:sz w:val="24"/>
              </w:rPr>
              <w:t>“</w:t>
            </w:r>
            <w:r>
              <w:rPr>
                <w:rFonts w:ascii="宋体"/>
                <w:sz w:val="24"/>
              </w:rPr>
              <w:t>派尔特医疗</w:t>
            </w:r>
            <w:r>
              <w:rPr>
                <w:rFonts w:ascii="宋体"/>
                <w:sz w:val="24"/>
              </w:rPr>
              <w:t>”</w:t>
            </w:r>
            <w:r>
              <w:rPr>
                <w:rFonts w:ascii="宋体"/>
                <w:sz w:val="24"/>
              </w:rPr>
              <w:t>）为例，派尔特医疗是国内领先的智能微创外科手术解决方案提供商，产品线涉及吻合器、能量外科、缝合线、手持器械、生物材料、疝修补六大领域。2024年，派尔特医疗专注研发投入与产品</w:t>
            </w:r>
            <w:r>
              <w:rPr>
                <w:rFonts w:ascii="宋体"/>
                <w:sz w:val="24"/>
              </w:rPr>
              <w:t>“</w:t>
            </w:r>
            <w:r>
              <w:rPr>
                <w:rFonts w:ascii="宋体"/>
                <w:sz w:val="24"/>
              </w:rPr>
              <w:t>出海</w:t>
            </w:r>
            <w:r>
              <w:rPr>
                <w:rFonts w:ascii="宋体"/>
                <w:sz w:val="24"/>
              </w:rPr>
              <w:t>”</w:t>
            </w:r>
            <w:r>
              <w:rPr>
                <w:rFonts w:ascii="宋体"/>
                <w:sz w:val="24"/>
              </w:rPr>
              <w:t xml:space="preserve">，持续丰富产品矩阵，拓展销售渠道，实现营业收入5.84 亿元，同比增长15.42%；实现归母净利润9,102.24 万元，同比增长19.82%，实现规模效益双增长。 </w:t>
            </w:r>
          </w:p>
          <w:p w14:paraId="45B2E701" w14:textId="299EF475" w:rsidR="009F5848" w:rsidRDefault="00000000" w:rsidP="0061751B">
            <w:pPr>
              <w:spacing w:line="360" w:lineRule="auto"/>
              <w:ind w:firstLineChars="200" w:firstLine="480"/>
              <w:rPr>
                <w:rFonts w:ascii="宋体"/>
                <w:sz w:val="24"/>
              </w:rPr>
            </w:pPr>
            <w:r>
              <w:rPr>
                <w:rFonts w:ascii="宋体"/>
                <w:sz w:val="24"/>
              </w:rPr>
              <w:t>根据公司</w:t>
            </w:r>
            <w:r>
              <w:rPr>
                <w:rFonts w:ascii="宋体"/>
                <w:sz w:val="24"/>
              </w:rPr>
              <w:t>“</w:t>
            </w:r>
            <w:r>
              <w:rPr>
                <w:rFonts w:ascii="宋体"/>
                <w:sz w:val="24"/>
              </w:rPr>
              <w:t>十四五</w:t>
            </w:r>
            <w:r>
              <w:rPr>
                <w:rFonts w:ascii="宋体"/>
                <w:sz w:val="24"/>
              </w:rPr>
              <w:t>”</w:t>
            </w:r>
            <w:r>
              <w:rPr>
                <w:rFonts w:ascii="宋体"/>
                <w:sz w:val="24"/>
              </w:rPr>
              <w:t>战略规划，公司健康科技业务板块将聚焦医疗器械核心主业，协同养老服务、医疗健康大数据和健康服务等产业展开业务布局。未来，健康科技业务板块的医疗器械业务将以</w:t>
            </w:r>
            <w:r>
              <w:rPr>
                <w:rFonts w:ascii="宋体"/>
                <w:sz w:val="24"/>
              </w:rPr>
              <w:t>“</w:t>
            </w:r>
            <w:r>
              <w:rPr>
                <w:rFonts w:ascii="宋体"/>
                <w:sz w:val="24"/>
              </w:rPr>
              <w:t>上</w:t>
            </w:r>
            <w:r>
              <w:rPr>
                <w:rFonts w:ascii="宋体"/>
                <w:sz w:val="24"/>
              </w:rPr>
              <w:lastRenderedPageBreak/>
              <w:t>游+中游</w:t>
            </w:r>
            <w:r>
              <w:rPr>
                <w:rFonts w:ascii="宋体"/>
                <w:sz w:val="24"/>
              </w:rPr>
              <w:t>”</w:t>
            </w:r>
            <w:r>
              <w:rPr>
                <w:rFonts w:ascii="宋体"/>
                <w:sz w:val="24"/>
              </w:rPr>
              <w:t>双轮驱动策略，大力发展医疗器械核心子赛道业务，上游加大收并购和战略性投资力度；中游聚焦医疗耗材SPD 及配送分销业务，打造供应链服务平台；养老服务、健康大数据、健康服务要聚焦重点业务，探索创新突破，提升经营管理质量。</w:t>
            </w:r>
          </w:p>
          <w:p w14:paraId="7B54E222" w14:textId="1DDBD25D" w:rsidR="009F5848" w:rsidRPr="0061751B" w:rsidRDefault="00000000" w:rsidP="0061751B">
            <w:pPr>
              <w:spacing w:line="360" w:lineRule="auto"/>
              <w:rPr>
                <w:b/>
                <w:bCs/>
              </w:rPr>
            </w:pPr>
            <w:r w:rsidRPr="0061751B">
              <w:rPr>
                <w:rFonts w:ascii="宋体"/>
                <w:b/>
                <w:bCs/>
                <w:sz w:val="24"/>
              </w:rPr>
              <w:t>4、公司近年分红方案都不错，未来是否维持分红政策？</w:t>
            </w:r>
          </w:p>
          <w:p w14:paraId="126087A4" w14:textId="77777777" w:rsidR="0061751B" w:rsidRDefault="00000000" w:rsidP="0061751B">
            <w:pPr>
              <w:spacing w:line="360" w:lineRule="auto"/>
              <w:ind w:firstLineChars="200" w:firstLine="480"/>
              <w:rPr>
                <w:rFonts w:ascii="宋体"/>
                <w:sz w:val="24"/>
              </w:rPr>
            </w:pPr>
            <w:r>
              <w:rPr>
                <w:rFonts w:ascii="宋体"/>
                <w:sz w:val="24"/>
              </w:rPr>
              <w:t xml:space="preserve">答:公司已发布2024年度利润分配方案，拟每股派发现金红利0.17元，叠加此前于2025年1月派发的中期分红，公司2024年度每股累计分红0.33元，合计拟派发现金红利7.15亿元。公司现金分红已连续5年保持5%以上的股息回报率。此外，公司拟在符合条件的情况下进行2025年中期分红，让投资者更及时地分享公司成长红利。 </w:t>
            </w:r>
          </w:p>
          <w:p w14:paraId="02742B37" w14:textId="529AA95F" w:rsidR="009F5848" w:rsidRDefault="00000000" w:rsidP="0061751B">
            <w:pPr>
              <w:spacing w:line="360" w:lineRule="auto"/>
              <w:ind w:firstLineChars="200" w:firstLine="480"/>
              <w:rPr>
                <w:rFonts w:ascii="宋体"/>
                <w:sz w:val="24"/>
              </w:rPr>
            </w:pPr>
            <w:r>
              <w:rPr>
                <w:rFonts w:ascii="宋体"/>
                <w:sz w:val="24"/>
              </w:rPr>
              <w:t>公司一直以来立足于带给股东长期稳定且较好的分红回报，含本次分红方案在内，近五年累计现金分红超52亿元。展望未来，公司将继续及时地了解股东的诉求，兼顾股东当期回报与公司长远发展，为公司股东带来企业价值提升和良好即期回报的双重收益。</w:t>
            </w:r>
          </w:p>
          <w:p w14:paraId="3DAA9002" w14:textId="6DE8AE9B" w:rsidR="009F5848" w:rsidRPr="0061751B" w:rsidRDefault="00000000" w:rsidP="0061751B">
            <w:pPr>
              <w:spacing w:line="360" w:lineRule="auto"/>
              <w:rPr>
                <w:b/>
                <w:bCs/>
              </w:rPr>
            </w:pPr>
            <w:r w:rsidRPr="0061751B">
              <w:rPr>
                <w:rFonts w:ascii="宋体"/>
                <w:b/>
                <w:bCs/>
                <w:sz w:val="24"/>
              </w:rPr>
              <w:t>5、行业以后的发展前景怎样?</w:t>
            </w:r>
          </w:p>
          <w:p w14:paraId="53636AF4" w14:textId="3A0431B1" w:rsidR="009F5848" w:rsidRDefault="00000000" w:rsidP="0061751B">
            <w:pPr>
              <w:spacing w:line="360" w:lineRule="auto"/>
              <w:ind w:firstLineChars="200" w:firstLine="480"/>
              <w:rPr>
                <w:rFonts w:ascii="宋体"/>
                <w:sz w:val="24"/>
              </w:rPr>
            </w:pPr>
            <w:r>
              <w:rPr>
                <w:rFonts w:ascii="宋体"/>
                <w:sz w:val="24"/>
              </w:rPr>
              <w:t>答:供应链管理业务是现代流通体系的重要组成部分，供应链服务企业能够发挥对商品和资源要素的规模化组织优势，对促进国民经济循环，提升流通效率、降低流通成本具有重要意义。面对全球供应链的复杂局势和市场的不确定性，头部供应链服务企业通过提升核心业务竞争力、推动数智化转型、加速国际化布局，同时做好风险防控、加强市场研判，有望提振供应链管理行业韧性，加速迭代行业发展模式，推动行业的可持续增长。随着国家对供应链行业发展的日益重视，供应链服务的重要性进一步凸显，具备提供高效、安全、稳定综合解决方案的供应链服务企业将有更广阔的发展前景与空间。供应链服务企业在发展新质生产力的背景下，通过高效运用前沿技术的溢出效应，改进传统产业的生产函数，催生新产业、新模式、新动能，推进传统产业的技术改造和转型升级，从而实现自身业务的转型升级，推动高质量发展。</w:t>
            </w:r>
          </w:p>
          <w:p w14:paraId="280AF566" w14:textId="4EF5D92D" w:rsidR="009F5848" w:rsidRPr="0061751B" w:rsidRDefault="00000000" w:rsidP="0061751B">
            <w:pPr>
              <w:spacing w:line="360" w:lineRule="auto"/>
              <w:rPr>
                <w:b/>
                <w:bCs/>
              </w:rPr>
            </w:pPr>
            <w:r w:rsidRPr="0061751B">
              <w:rPr>
                <w:rFonts w:ascii="宋体"/>
                <w:b/>
                <w:bCs/>
                <w:sz w:val="24"/>
              </w:rPr>
              <w:lastRenderedPageBreak/>
              <w:t>6、公司确定的产业投资方向是什么？</w:t>
            </w:r>
          </w:p>
          <w:p w14:paraId="47750CF7" w14:textId="48997EDF" w:rsidR="009F5848" w:rsidRDefault="00000000" w:rsidP="0061751B">
            <w:pPr>
              <w:spacing w:line="360" w:lineRule="auto"/>
              <w:ind w:firstLineChars="200" w:firstLine="480"/>
              <w:rPr>
                <w:rFonts w:ascii="宋体"/>
                <w:sz w:val="24"/>
              </w:rPr>
            </w:pPr>
            <w:r>
              <w:rPr>
                <w:rFonts w:ascii="宋体"/>
                <w:sz w:val="24"/>
              </w:rPr>
              <w:t>答:公司已制定产业投资升级方案，确定重点产业投资方向，以增强产业链供应链韧性和提升核心竞争力作为重要目标。公司将紧扣战略发展方向，紧紧围绕着供应链和健康科技两大赛道进行布局。其中，供应链方面主要围绕核心经营品类，从其上下游产业链中寻找合适、高潜力标的，以投资并购等方式向产业链上、下游延伸拓展，加强上游资源获取，强化产业运营能力。健康科技方面则以医疗器械为主要方向，重点聚焦微创外科赛道，围绕派尔特医疗横向并购整合完善赛道布局，构建微创外科一站式解决方案，打造第二增长曲线。</w:t>
            </w:r>
          </w:p>
          <w:p w14:paraId="707F416F" w14:textId="25D4C9D3" w:rsidR="009F5848" w:rsidRPr="0061751B" w:rsidRDefault="00000000" w:rsidP="0061751B">
            <w:pPr>
              <w:spacing w:line="360" w:lineRule="auto"/>
              <w:rPr>
                <w:b/>
                <w:bCs/>
              </w:rPr>
            </w:pPr>
            <w:r w:rsidRPr="0061751B">
              <w:rPr>
                <w:rFonts w:ascii="宋体"/>
                <w:b/>
                <w:bCs/>
                <w:sz w:val="24"/>
              </w:rPr>
              <w:t>7、汇率波动较大对公司业绩是否有影响？</w:t>
            </w:r>
          </w:p>
          <w:p w14:paraId="5CFE3A21" w14:textId="2F13CE0E" w:rsidR="009F5848" w:rsidRDefault="00000000" w:rsidP="0061751B">
            <w:pPr>
              <w:spacing w:line="360" w:lineRule="auto"/>
              <w:ind w:firstLineChars="200" w:firstLine="480"/>
              <w:rPr>
                <w:rFonts w:ascii="宋体"/>
                <w:sz w:val="24"/>
              </w:rPr>
            </w:pPr>
            <w:r>
              <w:rPr>
                <w:rFonts w:ascii="宋体"/>
                <w:sz w:val="24"/>
              </w:rPr>
              <w:t>答:公司的汇率管理采取稳健原则，通过在销售合同中约定采用购汇当天的汇率来确定人民币销售价格以及通过外汇合约套保等方式对冲汇率波动风险后，汇率波动对公司的经营业绩影响不大。</w:t>
            </w:r>
          </w:p>
          <w:p w14:paraId="2008F91A" w14:textId="2F3912BD" w:rsidR="009F5848" w:rsidRPr="0061751B" w:rsidRDefault="00000000" w:rsidP="0061751B">
            <w:pPr>
              <w:spacing w:line="360" w:lineRule="auto"/>
              <w:rPr>
                <w:b/>
                <w:bCs/>
              </w:rPr>
            </w:pPr>
            <w:r w:rsidRPr="0061751B">
              <w:rPr>
                <w:rFonts w:ascii="宋体"/>
                <w:b/>
                <w:bCs/>
                <w:sz w:val="24"/>
              </w:rPr>
              <w:t>8、公司如何提升盈利能力和盈利稳定性？</w:t>
            </w:r>
          </w:p>
          <w:p w14:paraId="1349309E" w14:textId="380F912F" w:rsidR="009F5848" w:rsidRDefault="00000000" w:rsidP="0061751B">
            <w:pPr>
              <w:spacing w:line="360" w:lineRule="auto"/>
              <w:ind w:firstLineChars="200" w:firstLine="480"/>
              <w:rPr>
                <w:rFonts w:ascii="宋体"/>
                <w:sz w:val="24"/>
              </w:rPr>
            </w:pPr>
            <w:r>
              <w:rPr>
                <w:rFonts w:ascii="宋体"/>
                <w:sz w:val="24"/>
              </w:rPr>
              <w:t>答:公司将继续贯彻</w:t>
            </w:r>
            <w:r>
              <w:rPr>
                <w:rFonts w:ascii="宋体"/>
                <w:sz w:val="24"/>
              </w:rPr>
              <w:t>“</w:t>
            </w:r>
            <w:r>
              <w:rPr>
                <w:rFonts w:ascii="宋体"/>
                <w:sz w:val="24"/>
              </w:rPr>
              <w:t>三链融合</w:t>
            </w:r>
            <w:r>
              <w:rPr>
                <w:rFonts w:ascii="宋体"/>
                <w:sz w:val="24"/>
              </w:rPr>
              <w:t>”</w:t>
            </w:r>
            <w:r>
              <w:rPr>
                <w:rFonts w:ascii="宋体"/>
                <w:sz w:val="24"/>
              </w:rPr>
              <w:t>业务模式升级战略，即以全流程供应链服务为核心，以国际化产业链运营为助力，以高效能价值链协同为保障，推动实现自身业务的不断迭代升级。公司将紧跟国家产业发展战略，把增强产业链供应链韧性和提升核心竞争力作为重要目标，通过多种合作方式持续推动产业链上下游延伸，向上获取一手产业资源，向下建设稳定业务渠道，促进公司业务模式由供应链贸易（Trade）向产业链运营（Industry）和供应链服务（Service）转型升级，不断提升公司盈利能力和盈利稳定性。</w:t>
            </w:r>
          </w:p>
          <w:p w14:paraId="79DACC86" w14:textId="3C8B21F5" w:rsidR="009F5848" w:rsidRPr="0061751B" w:rsidRDefault="00000000" w:rsidP="0061751B">
            <w:pPr>
              <w:spacing w:line="360" w:lineRule="auto"/>
              <w:rPr>
                <w:b/>
                <w:bCs/>
              </w:rPr>
            </w:pPr>
            <w:r w:rsidRPr="0061751B">
              <w:rPr>
                <w:rFonts w:ascii="宋体"/>
                <w:b/>
                <w:bCs/>
                <w:sz w:val="24"/>
              </w:rPr>
              <w:t>9、公司业绩为什么不太好</w:t>
            </w:r>
          </w:p>
          <w:p w14:paraId="0B205A37" w14:textId="77777777" w:rsidR="0061751B" w:rsidRDefault="00000000" w:rsidP="0061751B">
            <w:pPr>
              <w:spacing w:line="360" w:lineRule="auto"/>
              <w:ind w:firstLineChars="200" w:firstLine="480"/>
              <w:rPr>
                <w:rFonts w:ascii="宋体"/>
                <w:sz w:val="24"/>
              </w:rPr>
            </w:pPr>
            <w:r>
              <w:rPr>
                <w:rFonts w:ascii="宋体"/>
                <w:sz w:val="24"/>
              </w:rPr>
              <w:t xml:space="preserve">答:2024年，因国际外部环境复杂严峻、国内经济结构调整持续深化，有效需求不足，公司供应链管理业务中部分品种因市场行情因素出现经营业绩下滑；公司西牯岭矿山项目提前关闭事项减少公司2024年度归属于上市公司股东的净利润约3.97亿元。 </w:t>
            </w:r>
          </w:p>
          <w:p w14:paraId="59E53A8C" w14:textId="34D2840B" w:rsidR="009F5848" w:rsidRDefault="00000000" w:rsidP="0061751B">
            <w:pPr>
              <w:spacing w:line="360" w:lineRule="auto"/>
              <w:ind w:firstLineChars="200" w:firstLine="480"/>
              <w:rPr>
                <w:rFonts w:ascii="宋体"/>
                <w:sz w:val="24"/>
              </w:rPr>
            </w:pPr>
            <w:r>
              <w:rPr>
                <w:rFonts w:ascii="宋体"/>
                <w:sz w:val="24"/>
              </w:rPr>
              <w:t>2025年第一季度，公司实现归属于上市公司股东的净利润4.22</w:t>
            </w:r>
            <w:r>
              <w:rPr>
                <w:rFonts w:ascii="宋体"/>
                <w:sz w:val="24"/>
              </w:rPr>
              <w:lastRenderedPageBreak/>
              <w:t>亿元，同比增长2.76%。公司供应链管理业务积极贯彻</w:t>
            </w:r>
            <w:r>
              <w:rPr>
                <w:rFonts w:ascii="宋体"/>
                <w:sz w:val="24"/>
              </w:rPr>
              <w:t>“</w:t>
            </w:r>
            <w:r>
              <w:rPr>
                <w:rFonts w:ascii="宋体"/>
                <w:sz w:val="24"/>
              </w:rPr>
              <w:t>三链融合</w:t>
            </w:r>
            <w:r>
              <w:rPr>
                <w:rFonts w:ascii="宋体"/>
                <w:sz w:val="24"/>
              </w:rPr>
              <w:t>”</w:t>
            </w:r>
            <w:r>
              <w:rPr>
                <w:rFonts w:ascii="宋体"/>
                <w:sz w:val="24"/>
              </w:rPr>
              <w:t>发展新模式，聚焦高质量业务发展，主要经营品种的经营质量和盈利能力稳中有进，对公司整体业绩企稳回升起到积极作用。</w:t>
            </w:r>
          </w:p>
          <w:p w14:paraId="4A03EF17" w14:textId="01BD8983" w:rsidR="009F5848" w:rsidRPr="0061751B" w:rsidRDefault="00000000" w:rsidP="0061751B">
            <w:pPr>
              <w:spacing w:line="360" w:lineRule="auto"/>
              <w:rPr>
                <w:b/>
                <w:bCs/>
              </w:rPr>
            </w:pPr>
            <w:r w:rsidRPr="0061751B">
              <w:rPr>
                <w:rFonts w:ascii="宋体"/>
                <w:b/>
                <w:bCs/>
                <w:sz w:val="24"/>
              </w:rPr>
              <w:t>10、公司什么时候实施分红？</w:t>
            </w:r>
          </w:p>
          <w:p w14:paraId="13F82438" w14:textId="5F512215" w:rsidR="009F5848" w:rsidRDefault="00000000" w:rsidP="0061751B">
            <w:pPr>
              <w:spacing w:line="360" w:lineRule="auto"/>
              <w:ind w:firstLineChars="200" w:firstLine="480"/>
              <w:rPr>
                <w:rFonts w:ascii="宋体"/>
                <w:sz w:val="24"/>
              </w:rPr>
            </w:pPr>
            <w:r>
              <w:rPr>
                <w:rFonts w:ascii="宋体"/>
                <w:sz w:val="24"/>
              </w:rPr>
              <w:t>答:公司将于6月5日召开2024年年度股东大会审议公司2024年度利润分配方案，公司将严格按照监管要求，在股东大会审议通过后2个月内完成分红。</w:t>
            </w:r>
          </w:p>
          <w:p w14:paraId="31922A2C" w14:textId="3B7B03ED" w:rsidR="009F5848" w:rsidRPr="0061751B" w:rsidRDefault="00000000" w:rsidP="0061751B">
            <w:pPr>
              <w:spacing w:line="360" w:lineRule="auto"/>
              <w:rPr>
                <w:b/>
                <w:bCs/>
              </w:rPr>
            </w:pPr>
            <w:r w:rsidRPr="0061751B">
              <w:rPr>
                <w:rFonts w:ascii="宋体"/>
                <w:b/>
                <w:bCs/>
                <w:sz w:val="24"/>
              </w:rPr>
              <w:t>11、公司本期盈利水平如何?</w:t>
            </w:r>
          </w:p>
          <w:p w14:paraId="37DCCEA5" w14:textId="77777777" w:rsidR="0061751B" w:rsidRDefault="00000000" w:rsidP="0061751B">
            <w:pPr>
              <w:spacing w:line="360" w:lineRule="auto"/>
              <w:ind w:firstLineChars="200" w:firstLine="480"/>
              <w:rPr>
                <w:rFonts w:ascii="宋体"/>
                <w:sz w:val="24"/>
              </w:rPr>
            </w:pPr>
            <w:r>
              <w:rPr>
                <w:rFonts w:ascii="宋体"/>
                <w:sz w:val="24"/>
              </w:rPr>
              <w:t>答:2025年第一季度，公司实现营业收入705.34亿元，同比下降27.19%，实现归属于上市公司股东的净利润4.22亿元，同比增长2.76%。受大宗商品价格波动和公司业务结构调整的综合影响，公司营收规模有所下降，但公司供应链管理业务积极贯彻</w:t>
            </w:r>
            <w:r>
              <w:rPr>
                <w:rFonts w:ascii="宋体"/>
                <w:sz w:val="24"/>
              </w:rPr>
              <w:t>“</w:t>
            </w:r>
            <w:r>
              <w:rPr>
                <w:rFonts w:ascii="宋体"/>
                <w:sz w:val="24"/>
              </w:rPr>
              <w:t>三链融合</w:t>
            </w:r>
            <w:r>
              <w:rPr>
                <w:rFonts w:ascii="宋体"/>
                <w:sz w:val="24"/>
              </w:rPr>
              <w:t>”</w:t>
            </w:r>
            <w:r>
              <w:rPr>
                <w:rFonts w:ascii="宋体"/>
                <w:sz w:val="24"/>
              </w:rPr>
              <w:t xml:space="preserve">发展新模式，聚焦高质量业务发展，主要经营品种的经营质量和盈利能力稳中有进，对公司整体业绩企稳回升起到积极作用。 </w:t>
            </w:r>
          </w:p>
          <w:p w14:paraId="4F68ABCE" w14:textId="6A6B77B8" w:rsidR="009F5848" w:rsidRDefault="00000000" w:rsidP="0061751B">
            <w:pPr>
              <w:spacing w:line="360" w:lineRule="auto"/>
              <w:ind w:firstLineChars="200" w:firstLine="480"/>
              <w:rPr>
                <w:rFonts w:ascii="宋体"/>
                <w:sz w:val="24"/>
              </w:rPr>
            </w:pPr>
            <w:r>
              <w:rPr>
                <w:rFonts w:ascii="宋体"/>
                <w:sz w:val="24"/>
              </w:rPr>
              <w:t xml:space="preserve">2025年，公司将继续落实 </w:t>
            </w:r>
            <w:r>
              <w:rPr>
                <w:rFonts w:ascii="宋体"/>
                <w:sz w:val="24"/>
              </w:rPr>
              <w:t>“</w:t>
            </w:r>
            <w:r>
              <w:rPr>
                <w:rFonts w:ascii="宋体"/>
                <w:sz w:val="24"/>
              </w:rPr>
              <w:t>十四五</w:t>
            </w:r>
            <w:r>
              <w:rPr>
                <w:rFonts w:ascii="宋体"/>
                <w:sz w:val="24"/>
              </w:rPr>
              <w:t>”</w:t>
            </w:r>
            <w:r>
              <w:rPr>
                <w:rFonts w:ascii="宋体"/>
                <w:sz w:val="24"/>
              </w:rPr>
              <w:t>战略规划要求，推进</w:t>
            </w:r>
            <w:r>
              <w:rPr>
                <w:rFonts w:ascii="宋体"/>
                <w:sz w:val="24"/>
              </w:rPr>
              <w:t>“</w:t>
            </w:r>
            <w:r>
              <w:rPr>
                <w:rFonts w:ascii="宋体"/>
                <w:sz w:val="24"/>
              </w:rPr>
              <w:t>三链融合</w:t>
            </w:r>
            <w:r>
              <w:rPr>
                <w:rFonts w:ascii="宋体"/>
                <w:sz w:val="24"/>
              </w:rPr>
              <w:t>”</w:t>
            </w:r>
            <w:r>
              <w:rPr>
                <w:rFonts w:ascii="宋体"/>
                <w:sz w:val="24"/>
              </w:rPr>
              <w:t>业务模式升级，坚持业务转型、模式创新，打造差异化核心竞争力。</w:t>
            </w:r>
          </w:p>
          <w:p w14:paraId="7D93E529" w14:textId="6CBD2374" w:rsidR="009F5848" w:rsidRPr="0061751B" w:rsidRDefault="00000000" w:rsidP="0061751B">
            <w:pPr>
              <w:spacing w:line="360" w:lineRule="auto"/>
              <w:rPr>
                <w:b/>
                <w:bCs/>
              </w:rPr>
            </w:pPr>
            <w:r w:rsidRPr="0061751B">
              <w:rPr>
                <w:rFonts w:ascii="宋体"/>
                <w:b/>
                <w:bCs/>
                <w:sz w:val="24"/>
              </w:rPr>
              <w:t>12、公司海外业务有取得什么新进展？</w:t>
            </w:r>
          </w:p>
          <w:p w14:paraId="2DCB423E" w14:textId="2F061573" w:rsidR="009F5848" w:rsidRDefault="00000000" w:rsidP="0061751B">
            <w:pPr>
              <w:spacing w:line="360" w:lineRule="auto"/>
              <w:ind w:firstLineChars="200" w:firstLine="480"/>
              <w:rPr>
                <w:rFonts w:ascii="宋体"/>
                <w:sz w:val="24"/>
              </w:rPr>
            </w:pPr>
            <w:r>
              <w:rPr>
                <w:rFonts w:ascii="宋体"/>
                <w:sz w:val="24"/>
              </w:rPr>
              <w:t>答:2024年，公司坚定执行出海战略，加速推进国际化布局，新设立越南、德国、南非等平台公司或办事处，提升国际化业务综合竞争力；签订多份合作协议，与澳大利亚永钢矿业集团开展铁矿石全产业链合作，与中远海运港口阿布扎比场站有限公司战略合作强化境外物流服务能力；制定国际化发展战略规划，成立国际化发展部，全面提升国际化保障能力。供应链管理业务2024年实现海外营业收入658.57亿元，进出口总额144.18亿美元；</w:t>
            </w:r>
            <w:r>
              <w:rPr>
                <w:rFonts w:ascii="宋体"/>
                <w:sz w:val="24"/>
              </w:rPr>
              <w:t>“</w:t>
            </w:r>
            <w:r>
              <w:rPr>
                <w:rFonts w:ascii="宋体"/>
                <w:sz w:val="24"/>
              </w:rPr>
              <w:t>一带一路</w:t>
            </w:r>
            <w:r>
              <w:rPr>
                <w:rFonts w:ascii="宋体"/>
                <w:sz w:val="24"/>
              </w:rPr>
              <w:t>”</w:t>
            </w:r>
            <w:r>
              <w:rPr>
                <w:rFonts w:ascii="宋体"/>
                <w:sz w:val="24"/>
              </w:rPr>
              <w:t>沿线贸易规模约900亿元；与RCEP国家贸易规模约800亿元。</w:t>
            </w:r>
          </w:p>
          <w:p w14:paraId="69B9112C" w14:textId="444C2B94" w:rsidR="009F5848" w:rsidRPr="0061751B" w:rsidRDefault="00000000" w:rsidP="0061751B">
            <w:pPr>
              <w:spacing w:line="360" w:lineRule="auto"/>
              <w:rPr>
                <w:b/>
                <w:bCs/>
              </w:rPr>
            </w:pPr>
            <w:r w:rsidRPr="0061751B">
              <w:rPr>
                <w:rFonts w:ascii="宋体"/>
                <w:b/>
                <w:bCs/>
                <w:sz w:val="24"/>
              </w:rPr>
              <w:t>13、宏观环境不确定性加大的背景下，公司有什么对策？</w:t>
            </w:r>
          </w:p>
          <w:p w14:paraId="2B924023" w14:textId="32F7E61E" w:rsidR="009F5848" w:rsidRDefault="00000000" w:rsidP="000C5954">
            <w:pPr>
              <w:spacing w:line="360" w:lineRule="auto"/>
              <w:ind w:firstLineChars="200" w:firstLine="480"/>
              <w:rPr>
                <w:rFonts w:ascii="宋体" w:hAnsi="宋体" w:hint="eastAsia"/>
                <w:sz w:val="24"/>
                <w:szCs w:val="24"/>
              </w:rPr>
            </w:pPr>
            <w:r>
              <w:rPr>
                <w:rFonts w:ascii="宋体"/>
                <w:sz w:val="24"/>
              </w:rPr>
              <w:t>答:全球宏观环境不确定性和我国经济转型的叠加影响，对公司经营决策提出了更高的要求。公司拥有稳定优秀的经营团队，积累</w:t>
            </w:r>
            <w:r>
              <w:rPr>
                <w:rFonts w:ascii="宋体"/>
                <w:sz w:val="24"/>
              </w:rPr>
              <w:lastRenderedPageBreak/>
              <w:t>了丰富的经验与深厚的底蕴，始终坚持深耕产业，不断完善风控体系建设，同时通过持续加强上游资源获取、掌握关键物流环节、推进产业合资合作等方式，有效保证产业链客户生产经营的有序进行，实现公司业务的稳定运行。公司积极关注国内外经济形势变化、国家相关政策及行业最新情况，通过合理运用期货及外汇合约等金融衍生工具对冲大宗商品价格波动风险和汇率波动风险，保障业务的稳健发展。</w:t>
            </w:r>
          </w:p>
        </w:tc>
      </w:tr>
      <w:tr w:rsidR="000C5954" w14:paraId="25589192" w14:textId="77777777" w:rsidTr="000C5954">
        <w:trPr>
          <w:trHeight w:val="816"/>
        </w:trPr>
        <w:tc>
          <w:tcPr>
            <w:tcW w:w="1526" w:type="dxa"/>
            <w:vAlign w:val="center"/>
          </w:tcPr>
          <w:p w14:paraId="27078754" w14:textId="51D55405" w:rsidR="000C5954" w:rsidRPr="000C5954" w:rsidRDefault="000C5954" w:rsidP="000C5954">
            <w:pPr>
              <w:rPr>
                <w:rFonts w:hint="eastAsia"/>
                <w:b/>
                <w:bCs/>
                <w:sz w:val="24"/>
                <w:szCs w:val="24"/>
              </w:rPr>
            </w:pPr>
            <w:r w:rsidRPr="000C5954">
              <w:rPr>
                <w:rFonts w:hint="eastAsia"/>
                <w:b/>
                <w:bCs/>
                <w:sz w:val="24"/>
                <w:szCs w:val="24"/>
              </w:rPr>
              <w:lastRenderedPageBreak/>
              <w:t>日期</w:t>
            </w:r>
          </w:p>
        </w:tc>
        <w:tc>
          <w:tcPr>
            <w:tcW w:w="7191" w:type="dxa"/>
          </w:tcPr>
          <w:p w14:paraId="66DF7356" w14:textId="6E76E1CE" w:rsidR="000C5954" w:rsidRPr="000C5954" w:rsidRDefault="000C5954" w:rsidP="000C5954">
            <w:pPr>
              <w:spacing w:beforeLines="50" w:before="156" w:line="360" w:lineRule="auto"/>
              <w:rPr>
                <w:rFonts w:ascii="宋体" w:hAnsi="宋体" w:hint="eastAsia"/>
                <w:b/>
                <w:bCs/>
                <w:sz w:val="24"/>
              </w:rPr>
            </w:pPr>
            <w:r w:rsidRPr="000C5954">
              <w:rPr>
                <w:rFonts w:ascii="宋体" w:hAnsi="宋体" w:hint="eastAsia"/>
                <w:b/>
                <w:bCs/>
                <w:sz w:val="24"/>
              </w:rPr>
              <w:t>2025年5月23日</w:t>
            </w:r>
          </w:p>
        </w:tc>
      </w:tr>
    </w:tbl>
    <w:p w14:paraId="0F3C528E" w14:textId="77777777" w:rsidR="009F5848" w:rsidRDefault="009F5848"/>
    <w:p w14:paraId="1837C776" w14:textId="77777777" w:rsidR="009F5848" w:rsidRDefault="009F5848"/>
    <w:sectPr w:rsidR="009F5848">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9E8AB" w14:textId="77777777" w:rsidR="00A70FA9" w:rsidRDefault="00A70FA9">
      <w:r>
        <w:separator/>
      </w:r>
    </w:p>
  </w:endnote>
  <w:endnote w:type="continuationSeparator" w:id="0">
    <w:p w14:paraId="2FD08153" w14:textId="77777777" w:rsidR="00A70FA9" w:rsidRDefault="00A7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2348A" w14:textId="77777777" w:rsidR="00A70FA9" w:rsidRDefault="00A70FA9">
      <w:r>
        <w:separator/>
      </w:r>
    </w:p>
  </w:footnote>
  <w:footnote w:type="continuationSeparator" w:id="0">
    <w:p w14:paraId="6B0D13EB" w14:textId="77777777" w:rsidR="00A70FA9" w:rsidRDefault="00A70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2B180" w14:textId="77777777" w:rsidR="009F5848" w:rsidRDefault="00000000">
    <w:pPr>
      <w:pStyle w:val="a3"/>
      <w:tabs>
        <w:tab w:val="clear" w:pos="4153"/>
      </w:tabs>
      <w:jc w:val="right"/>
    </w:pPr>
    <w:r>
      <w:rPr>
        <w:rFonts w:hint="eastAsia"/>
      </w:rPr>
      <w:t>厦门国贸集团股份有限公司投资者关系活动记录表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I3NTlhNGJhZTk1YmZkMTc2MTM0MTg2MGI3NTFmMTEifQ=="/>
  </w:docVars>
  <w:rsids>
    <w:rsidRoot w:val="009F5848"/>
    <w:rsid w:val="000C5954"/>
    <w:rsid w:val="003F1B70"/>
    <w:rsid w:val="0061751B"/>
    <w:rsid w:val="009F5848"/>
    <w:rsid w:val="00A70FA9"/>
    <w:rsid w:val="00B95102"/>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293D5"/>
  <w15:docId w15:val="{E94A18CA-1AEA-4255-9238-998A9715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adshow.sseinf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2018</Words>
  <Characters>2040</Characters>
  <Application>Microsoft Office Word</Application>
  <DocSecurity>0</DocSecurity>
  <Lines>75</Lines>
  <Paragraphs>48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wuzl</cp:lastModifiedBy>
  <cp:revision>3</cp:revision>
  <dcterms:created xsi:type="dcterms:W3CDTF">2025-05-23T04:46:00Z</dcterms:created>
  <dcterms:modified xsi:type="dcterms:W3CDTF">2025-05-23T06:08:00Z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