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iCs/>
          <w:sz w:val="24"/>
          <w:szCs w:val="24"/>
        </w:rPr>
        <w:t>证券代码：600415                                 证券简称：小商品城</w:t>
      </w:r>
      <w:r>
        <w:rPr>
          <w:rFonts w:ascii="宋体" w:hAnsi="宋体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浙江中国小商品城集团股份有限公司</w:t>
      </w:r>
    </w:p>
    <w:p>
      <w:pPr>
        <w:keepNext/>
        <w:keepLines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投资者关系活动记录表</w:t>
      </w:r>
    </w:p>
    <w:p>
      <w:pPr>
        <w:keepNext/>
        <w:keepLines/>
        <w:spacing w:before="156" w:beforeLines="50" w:after="156" w:afterLines="50" w:line="360" w:lineRule="auto"/>
        <w:jc w:val="right"/>
        <w:outlineLvl w:val="1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编号：2025-00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</w:p>
    <w:tbl>
      <w:tblPr>
        <w:tblStyle w:val="11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其他 （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vAlign w:val="center"/>
          </w:tcPr>
          <w:p>
            <w:pPr>
              <w:tabs>
                <w:tab w:val="center" w:pos="2798"/>
              </w:tabs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西部利得基金、国信证券、招商基金、南方基金、长城基金、广发基金、富敦投资、中航证券、南方东英、盈泰投资、中再资产、拾贝投资、鹏华基金、中银基金、东亚前海证券等机构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会议时间</w:t>
            </w:r>
          </w:p>
        </w:tc>
        <w:tc>
          <w:tcPr>
            <w:tcW w:w="6379" w:type="dxa"/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-23日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会议地点</w:t>
            </w:r>
          </w:p>
        </w:tc>
        <w:tc>
          <w:tcPr>
            <w:tcW w:w="6379" w:type="dxa"/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商城集团大厦会议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董事会秘书：许杭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证券事务代表：何志超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公司证券部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1.义支付平台今年以来业务交易额如何？现在在全球内布局范围有多少？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答：作为浙江省内唯一的国有跨境支付机构，义支付着力构建以“跨境人民币+跨境外汇+跨境数字人民币”为核心的跨境支付结算体系，为市场贸易提供合规、安全、高效的一体化支付解决方案。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已覆盖160多个国家和地区，与全球数百家主流银行开展合作，国际收付主流币种达26种，业务涵盖跨境外汇、跨境人民币、跨境数字人民币，2024年跨境交易额40亿美元、同比增长233%。2025年，义支付平台将积极拓展海外收付能力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一季度义支付平台跨境支付GMV为12.02亿美金，同比增长40%以上，整体增长趋势良好。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“义乌指数”模型升级后和之前的有什么区别？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2024年“义乌指数”模型实现优化与升级。通过整合内外部资源，义乌指数团队对指数模型进行指标扩充和权重优化，制定采样商品轮换规则，调整商品分类体系。升级后的“义乌指数”模型在数据来源上进行拓宽，丰富了30余项模型指标，小商品分类从原有的15个一级类别、1,964个四级类别扩展至16个一级类别、3,508个四级类别，更全面、准确地反映小商品价格和市场景气状况。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公司还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构建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了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义乌指数2.0网站，对数据颗粒度及数据访问权限进行了进一步的分类分级划定；重新梳理义乌指数公众号板块，通过微信平台实现内容的精准触达和高效传播，为政府主体及商贸人群提供全面的商业资讯，帮助其及时了解全球市场变化趋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公司在提升品牌在海外的知名度和美誉度上有什么举措？“品牌出海”计划实施情况如何？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近年来，集团主动服务和融入国家“一带一路”倡议，积极探索海外项目布局，为义乌商人、商品出海搭建国际网络。2023年9月5日，正式启动“义乌中国小商品城”品牌出海计划，以“海外分市场、海外仓、海外站、海外展厅、海外展会”五种模式为路径，建立一套“统一名称、统一标识、统一服务”的标准体系，在全球贸易重要节点城市加快布局，全方位促进义乌国际供应链网络建设，推动小商品触达更大市场。目前，市场品牌出海累计在迪拜、巴西、印尼等20个国家和地区布局出海项目46个，服务近5000 家商户出海开拓市场。集团还与国家服贸基金、招商局集团等共同设立了10亿元出海产业基金，成为第一支服务于外贸、立足于义乌的出海产业基金。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3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附件清单（如</w:t>
            </w:r>
          </w:p>
          <w:p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有）</w:t>
            </w:r>
          </w:p>
        </w:tc>
        <w:tc>
          <w:tcPr>
            <w:tcW w:w="63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无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AE0EF"/>
    <w:multiLevelType w:val="singleLevel"/>
    <w:tmpl w:val="469AE0E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NmY0YTllNDc1MjY1ZDE1YjE2MTkyYmI5MjFiNzUifQ=="/>
  </w:docVars>
  <w:rsids>
    <w:rsidRoot w:val="00000000"/>
    <w:rsid w:val="1D3F2FC5"/>
    <w:rsid w:val="23D44981"/>
    <w:rsid w:val="3535115B"/>
    <w:rsid w:val="3F127E08"/>
    <w:rsid w:val="4E5729D9"/>
    <w:rsid w:val="63BF2353"/>
    <w:rsid w:val="6F503C75"/>
    <w:rsid w:val="7383472E"/>
    <w:rsid w:val="7944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5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1"/>
    <w:rPr>
      <w:sz w:val="24"/>
    </w:rPr>
  </w:style>
  <w:style w:type="paragraph" w:styleId="10">
    <w:name w:val="annotation subject"/>
    <w:basedOn w:val="4"/>
    <w:next w:val="4"/>
    <w:link w:val="20"/>
    <w:autoRedefine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Hyperlink"/>
    <w:autoRedefine/>
    <w:unhideWhenUsed/>
    <w:qFormat/>
    <w:uiPriority w:val="99"/>
    <w:rPr>
      <w:color w:val="467886"/>
      <w:u w:val="single"/>
    </w:rPr>
  </w:style>
  <w:style w:type="character" w:styleId="15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6">
    <w:name w:val="页脚 字符"/>
    <w:link w:val="7"/>
    <w:autoRedefine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18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link w:val="8"/>
    <w:autoRedefine/>
    <w:qFormat/>
    <w:uiPriority w:val="99"/>
    <w:rPr>
      <w:kern w:val="2"/>
      <w:sz w:val="18"/>
      <w:szCs w:val="18"/>
    </w:rPr>
  </w:style>
  <w:style w:type="character" w:customStyle="1" w:styleId="20">
    <w:name w:val="批注主题 字符"/>
    <w:link w:val="10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link w:val="6"/>
    <w:autoRedefine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4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365</Words>
  <Characters>2085</Characters>
  <Lines>17</Lines>
  <Paragraphs>4</Paragraphs>
  <TotalTime>1</TotalTime>
  <ScaleCrop>false</ScaleCrop>
  <LinksUpToDate>false</LinksUpToDate>
  <CharactersWithSpaces>2446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2025-04-12T21:24:00Z</dcterms:created>
  <dc:creator>Li Xiang</dc:creator>
  <cp:lastModifiedBy>YOUNGYEE</cp:lastModifiedBy>
  <dcterms:modified xsi:type="dcterms:W3CDTF">2025-05-22T01:52:47Z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C2D5A83700B244DE93CEDDC697CA3273_13</vt:lpwstr>
  </property>
  <property fmtid="{D5CDD505-2E9C-101B-9397-08002B2CF9AE}" pid="4" name="KSOTemplateDocerSaveRecord">
    <vt:lpwstr>eyJoZGlkIjoiNzI1YjE4OTI0MGI4NWYzNGE1MzcyM2FkZWJlMWU4YWUiLCJ1c2VySWQiOiIxMjE5Mjc0MTQ1In0=</vt:lpwstr>
  </property>
</Properties>
</file>