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E33D">
      <w:pPr>
        <w:widowControl/>
        <w:jc w:val="center"/>
        <w:rPr>
          <w:rFonts w:hint="eastAsia" w:ascii="宋体" w:hAnsi="宋体"/>
          <w:bCs/>
          <w:iCs/>
          <w:color w:val="000000"/>
          <w:sz w:val="24"/>
        </w:rPr>
      </w:pPr>
      <w:bookmarkStart w:id="0" w:name="_Toc515462335"/>
      <w:r>
        <w:rPr>
          <w:rFonts w:hint="eastAsia" w:ascii="宋体" w:hAnsi="宋体"/>
          <w:bCs/>
          <w:iCs/>
          <w:color w:val="000000"/>
          <w:sz w:val="24"/>
        </w:rPr>
        <w:t xml:space="preserve">证券代码：600392  </w:t>
      </w:r>
      <w:r>
        <w:rPr>
          <w:rFonts w:ascii="宋体" w:hAnsi="宋体"/>
          <w:bCs/>
          <w:iCs/>
          <w:color w:val="000000"/>
          <w:sz w:val="24"/>
        </w:rPr>
        <w:t xml:space="preserve">        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证券简称：盛和资源</w:t>
      </w:r>
    </w:p>
    <w:p w14:paraId="28F34A71">
      <w:pPr>
        <w:widowControl/>
        <w:jc w:val="center"/>
        <w:rPr>
          <w:rFonts w:hint="eastAsia" w:ascii="宋体" w:hAnsi="宋体"/>
          <w:bCs/>
          <w:iCs/>
          <w:color w:val="000000"/>
          <w:sz w:val="24"/>
        </w:rPr>
      </w:pPr>
    </w:p>
    <w:p w14:paraId="187B9C22">
      <w:pPr>
        <w:widowControl/>
        <w:spacing w:before="312" w:beforeLines="100"/>
        <w:jc w:val="center"/>
        <w:rPr>
          <w:rFonts w:hint="eastAsia" w:ascii="宋体" w:hAnsi="宋体"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Cs/>
          <w:iCs/>
          <w:color w:val="000000"/>
          <w:sz w:val="36"/>
          <w:szCs w:val="36"/>
        </w:rPr>
        <w:t>盛和资源控股股份有限公司</w:t>
      </w:r>
    </w:p>
    <w:p w14:paraId="592177FA">
      <w:pPr>
        <w:widowControl/>
        <w:spacing w:after="312" w:afterLines="100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Cs/>
          <w:iCs/>
          <w:color w:val="000000"/>
          <w:sz w:val="36"/>
          <w:szCs w:val="36"/>
        </w:rPr>
        <w:t>投资者关系活动记录表</w:t>
      </w:r>
    </w:p>
    <w:p w14:paraId="7404916D">
      <w:pPr>
        <w:spacing w:line="360" w:lineRule="auto"/>
        <w:rPr>
          <w:rFonts w:hint="eastAsia" w:ascii="宋体" w:hAnsi="宋体" w:eastAsia="宋体"/>
          <w:bCs/>
          <w:iCs/>
          <w:color w:val="000000"/>
          <w:szCs w:val="21"/>
          <w:lang w:val="en-US" w:eastAsia="zh-CN"/>
        </w:rPr>
      </w:pPr>
      <w:r>
        <w:rPr>
          <w:rFonts w:ascii="宋体" w:hAnsi="宋体"/>
          <w:bCs/>
          <w:iCs/>
          <w:color w:val="000000"/>
          <w:szCs w:val="21"/>
        </w:rPr>
        <w:t xml:space="preserve">                                                     </w:t>
      </w:r>
      <w:r>
        <w:rPr>
          <w:rFonts w:hint="eastAsia" w:ascii="宋体" w:hAnsi="宋体"/>
          <w:bCs/>
          <w:iCs/>
          <w:color w:val="000000"/>
          <w:szCs w:val="21"/>
        </w:rPr>
        <w:t xml:space="preserve">            </w:t>
      </w:r>
      <w:r>
        <w:rPr>
          <w:rFonts w:ascii="宋体" w:hAnsi="宋体"/>
          <w:bCs/>
          <w:iCs/>
          <w:color w:val="000000"/>
          <w:szCs w:val="21"/>
        </w:rPr>
        <w:t>编号：</w:t>
      </w:r>
      <w:r>
        <w:rPr>
          <w:rFonts w:hint="eastAsia" w:ascii="宋体" w:hAnsi="宋体"/>
          <w:bCs/>
          <w:iCs/>
          <w:color w:val="000000"/>
          <w:szCs w:val="21"/>
        </w:rPr>
        <w:t>2</w:t>
      </w:r>
      <w:r>
        <w:rPr>
          <w:rFonts w:ascii="宋体" w:hAnsi="宋体"/>
          <w:bCs/>
          <w:iCs/>
          <w:color w:val="000000"/>
          <w:szCs w:val="21"/>
        </w:rPr>
        <w:t>02</w:t>
      </w:r>
      <w:r>
        <w:rPr>
          <w:rFonts w:hint="eastAsia" w:ascii="宋体" w:hAnsi="宋体"/>
          <w:bCs/>
          <w:iCs/>
          <w:color w:val="000000"/>
          <w:szCs w:val="21"/>
        </w:rPr>
        <w:t>5</w:t>
      </w:r>
      <w:r>
        <w:rPr>
          <w:rFonts w:ascii="宋体" w:hAnsi="宋体"/>
          <w:bCs/>
          <w:iCs/>
          <w:color w:val="000000"/>
          <w:szCs w:val="21"/>
        </w:rPr>
        <w:t>-0</w:t>
      </w:r>
      <w:r>
        <w:rPr>
          <w:rFonts w:hint="eastAsia" w:ascii="宋体" w:hAnsi="宋体"/>
          <w:bCs/>
          <w:iCs/>
          <w:color w:val="000000"/>
          <w:szCs w:val="21"/>
          <w:lang w:val="en-US" w:eastAsia="zh-CN"/>
        </w:rPr>
        <w:t>5</w:t>
      </w:r>
    </w:p>
    <w:tbl>
      <w:tblPr>
        <w:tblStyle w:val="10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088"/>
      </w:tblGrid>
      <w:tr w14:paraId="2DA1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6E4BFA1B">
            <w:pPr>
              <w:spacing w:line="360" w:lineRule="auto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投资者关系活动类别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  <w:t>“选中项请打√”</w:t>
            </w:r>
          </w:p>
        </w:tc>
        <w:tc>
          <w:tcPr>
            <w:tcW w:w="7088" w:type="dxa"/>
          </w:tcPr>
          <w:p w14:paraId="73C6D338">
            <w:pPr>
              <w:spacing w:line="360" w:lineRule="auto"/>
              <w:jc w:val="lef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szCs w:val="21"/>
              </w:rPr>
              <w:t xml:space="preserve">特定对象调研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/>
                <w:color w:val="000000"/>
                <w:szCs w:val="21"/>
              </w:rPr>
              <w:t>分析师会议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 </w:t>
            </w:r>
            <w:bookmarkStart w:id="1" w:name="OLE_LINK1"/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bookmarkEnd w:id="1"/>
            <w:r>
              <w:rPr>
                <w:rFonts w:ascii="宋体" w:hAnsi="宋体"/>
                <w:color w:val="000000"/>
                <w:szCs w:val="21"/>
              </w:rPr>
              <w:t xml:space="preserve">媒体采访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/>
                <w:color w:val="000000"/>
                <w:szCs w:val="21"/>
              </w:rPr>
              <w:t>业绩说明会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 xml:space="preserve">新闻发布会  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路演活动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ab/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/>
                <w:color w:val="000000"/>
                <w:szCs w:val="21"/>
              </w:rPr>
              <w:t>其他</w:t>
            </w:r>
            <w:r>
              <w:rPr>
                <w:rFonts w:hint="eastAsia" w:ascii="宋体" w:hAnsi="宋体"/>
                <w:color w:val="000000"/>
                <w:szCs w:val="21"/>
              </w:rPr>
              <w:t>（电话</w:t>
            </w:r>
            <w:r>
              <w:rPr>
                <w:rFonts w:ascii="宋体" w:hAnsi="宋体"/>
                <w:color w:val="000000"/>
                <w:szCs w:val="21"/>
              </w:rPr>
              <w:t>会议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69FC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47" w:type="dxa"/>
            <w:vAlign w:val="center"/>
          </w:tcPr>
          <w:p w14:paraId="3A8563E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7088" w:type="dxa"/>
            <w:vAlign w:val="center"/>
          </w:tcPr>
          <w:p w14:paraId="2A571639">
            <w:pPr>
              <w:spacing w:before="156" w:beforeLines="5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江证券、招商证券、招商基金、景顺长城、泾溪投资、人保资产、南方基金、博道基金、中银资管、华宝基金、东方红资产、德邦基金、长信基金、融通基金、大中君悦、太平养老、招商信诺、博时基金、万家基金、太保资产、银河基金、国寿养老、中信保诚、新华基金</w:t>
            </w:r>
          </w:p>
        </w:tc>
      </w:tr>
      <w:tr w14:paraId="3EED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10F336D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7088" w:type="dxa"/>
            <w:vAlign w:val="center"/>
          </w:tcPr>
          <w:p w14:paraId="5D8B2A92">
            <w:pPr>
              <w:spacing w:line="276" w:lineRule="auto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5年5月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日</w:t>
            </w:r>
          </w:p>
        </w:tc>
      </w:tr>
      <w:tr w14:paraId="440F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275D168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7088" w:type="dxa"/>
            <w:vAlign w:val="center"/>
          </w:tcPr>
          <w:p w14:paraId="39351267">
            <w:pPr>
              <w:spacing w:line="276" w:lineRule="auto"/>
              <w:rPr>
                <w:rFonts w:hint="default" w:ascii="宋体" w:hAnsi="宋体" w:eastAsia="宋体"/>
                <w:bCs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晨光稀土会议室</w:t>
            </w:r>
          </w:p>
        </w:tc>
      </w:tr>
      <w:tr w14:paraId="73B2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2E565A9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上市公司接待人员姓名</w:t>
            </w:r>
          </w:p>
        </w:tc>
        <w:tc>
          <w:tcPr>
            <w:tcW w:w="7088" w:type="dxa"/>
            <w:vAlign w:val="center"/>
          </w:tcPr>
          <w:p w14:paraId="41DDC3F2"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投资者关系总监：孙宇翔</w:t>
            </w:r>
          </w:p>
          <w:p w14:paraId="0C7FACFC"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晨光稀土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行政中心总监：邹晓云</w:t>
            </w:r>
          </w:p>
          <w:p w14:paraId="61FBB827">
            <w:pPr>
              <w:spacing w:line="276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晨光稀土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总监：谢国华</w:t>
            </w:r>
          </w:p>
        </w:tc>
      </w:tr>
      <w:tr w14:paraId="2D41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328CCB7C">
            <w:pPr>
              <w:spacing w:before="156" w:beforeLines="50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调研</w:t>
            </w:r>
            <w:r>
              <w:rPr>
                <w:rFonts w:ascii="宋体" w:hAnsi="宋体"/>
              </w:rPr>
              <w:t>主要内容介绍</w:t>
            </w:r>
          </w:p>
          <w:p w14:paraId="5E672FAF">
            <w:pPr>
              <w:spacing w:before="156" w:beforeLines="50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7088" w:type="dxa"/>
          </w:tcPr>
          <w:p w14:paraId="059ED576">
            <w:pPr>
              <w:spacing w:before="156" w:beforeLines="50"/>
              <w:ind w:firstLine="420" w:firstLineChars="20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公司拟进一步收购Peak公司股权的主要考虑</w:t>
            </w:r>
            <w:r>
              <w:rPr>
                <w:rFonts w:hint="eastAsia"/>
              </w:rPr>
              <w:t xml:space="preserve">？ </w:t>
            </w:r>
          </w:p>
          <w:p w14:paraId="1E1EB635">
            <w:pPr>
              <w:spacing w:before="156" w:beforeLines="50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公司坚持稀土业务为核心，兼顾锆钛，坚持国内国际两种资源、两个市场，以负责任的关键原材料国际化供应商为公司的发展愿景。为进一步夯实公司发展的资源基础，优化公司的全球化业务布局，并推动Ngualla稀土矿项目尽快实施开发，经友好协商，公司全资子公司晨光稀土与Peak公司商定并拟签署主要内容为收购Peak公司对外发行的全部普通股的《方案实施契约》。</w:t>
            </w:r>
          </w:p>
          <w:p w14:paraId="20B462D8">
            <w:pPr>
              <w:spacing w:before="156" w:beforeLines="50"/>
              <w:ind w:firstLine="420" w:firstLineChars="20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Peak收购项目的最新进展情况</w:t>
            </w:r>
            <w:r>
              <w:rPr>
                <w:rFonts w:hint="eastAsia"/>
              </w:rPr>
              <w:t>？</w:t>
            </w:r>
          </w:p>
          <w:p w14:paraId="31178790">
            <w:pPr>
              <w:spacing w:before="156" w:beforeLines="50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答：</w:t>
            </w:r>
            <w:r>
              <w:rPr>
                <w:rFonts w:hint="eastAsia"/>
                <w:lang w:val="en-US" w:eastAsia="zh-CN"/>
              </w:rPr>
              <w:t>本项目方案正式披露后，公司内部相关团队正加紧推进项目监管审批事项申报工作，公司将与有关各方保持紧密的联络，快速响应并及时做好沟通反馈，稳步推动本项目落地。</w:t>
            </w:r>
          </w:p>
          <w:p w14:paraId="136D257C">
            <w:pPr>
              <w:spacing w:after="0" w:line="240" w:lineRule="auto"/>
              <w:ind w:firstLine="420" w:firstLineChars="200"/>
              <w:contextualSpacing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、如何看待行业未来的发展前景？</w:t>
            </w:r>
          </w:p>
          <w:p w14:paraId="272442F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答：公司目前主要产品包括稀土、锆、钛。</w:t>
            </w:r>
          </w:p>
          <w:p w14:paraId="25CEEE68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稀土是重要的战略矿产资源，稀土元素具有丰富的磁、光、电等特性，可用于永磁、催化、储氢、抛光、精密陶瓷、荧光、激光、光导纤维等材料，在新能源、新材料、节能环保、航空航天、军工、电子信息等领域的应用非常广泛。随着全球能源转型以及智能电动和节能环保等下游产业的发展，稀土行业的市场前景广阔。</w:t>
            </w:r>
          </w:p>
          <w:p w14:paraId="33D87DE1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锆具有优良的物理化学性质，主要应用于硅酸锆、锆化学制品、电熔锆、精密铸造业、耐火材料等消费部门。高端制造行业对于锆产品需求逐步增长，包括金属锆、复合锆、核级海绵锆等市场的需求量逐年上升。 </w:t>
            </w:r>
          </w:p>
          <w:p w14:paraId="7C67970A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钛是难熔金属中密度最低的金属元素，具有比强度高和耐腐蚀性强的两大优点，在航空航天、军工、海洋工程、医药、化工颜料、冶金、电力等领域有广泛的应用。</w:t>
            </w:r>
          </w:p>
          <w:p w14:paraId="76065FEF"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、公司目前</w:t>
            </w:r>
            <w:r>
              <w:rPr>
                <w:rFonts w:hint="eastAsia"/>
                <w:lang w:val="en-US" w:eastAsia="zh-CN"/>
              </w:rPr>
              <w:t>产能利用率情况</w:t>
            </w:r>
            <w:r>
              <w:rPr>
                <w:rFonts w:hint="eastAsia"/>
              </w:rPr>
              <w:t>？</w:t>
            </w:r>
          </w:p>
          <w:p w14:paraId="4FEC09D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答：公司稀土冶炼分离和金属加工的产能利用率维持</w:t>
            </w:r>
            <w:r>
              <w:rPr>
                <w:rFonts w:hint="eastAsia"/>
                <w:lang w:val="en-US" w:eastAsia="zh-CN"/>
              </w:rPr>
              <w:t>在较</w:t>
            </w:r>
            <w:r>
              <w:rPr>
                <w:rFonts w:hint="eastAsia"/>
              </w:rPr>
              <w:t>高水平。</w:t>
            </w:r>
          </w:p>
          <w:p w14:paraId="1F240349">
            <w:pPr>
              <w:numPr>
                <w:ilvl w:val="0"/>
                <w:numId w:val="1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公司目前总体经营绩效情况？</w:t>
            </w:r>
          </w:p>
          <w:p w14:paraId="2E6351E8">
            <w:pPr>
              <w:numPr>
                <w:ilvl w:val="-1"/>
                <w:numId w:val="0"/>
              </w:numPr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答：公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司持续加强市场跟踪研判，并科学制定实施经营策略。今年以来，公司整体盈利能力良好，毛利水平较去年同期显著提升。以稀土金属加工环节为例，公司生产成本及料比均处于行业领先水平，产量、合格率、人效等指标均较上年同期实现大幅提升。</w:t>
            </w:r>
          </w:p>
        </w:tc>
      </w:tr>
      <w:tr w14:paraId="63FA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3E908EE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088" w:type="dxa"/>
          </w:tcPr>
          <w:p w14:paraId="4AC789B0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无</w:t>
            </w:r>
          </w:p>
        </w:tc>
      </w:tr>
      <w:tr w14:paraId="5FCF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09F4BB5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088" w:type="dxa"/>
          </w:tcPr>
          <w:p w14:paraId="0CC43FC5">
            <w:pPr>
              <w:spacing w:line="360" w:lineRule="auto"/>
              <w:jc w:val="center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5年5月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日</w:t>
            </w:r>
          </w:p>
        </w:tc>
      </w:tr>
      <w:bookmarkEnd w:id="0"/>
    </w:tbl>
    <w:p w14:paraId="264E70DC"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701" w:right="1797" w:bottom="1134" w:left="1797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2BE8">
    <w:pPr>
      <w:pStyle w:val="7"/>
      <w:framePr w:wrap="around" w:vAnchor="text" w:hAnchor="margin" w:xAlign="center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1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>—</w:t>
    </w:r>
  </w:p>
  <w:p w14:paraId="16671FD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8579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FA730D8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B885F"/>
    <w:multiLevelType w:val="singleLevel"/>
    <w:tmpl w:val="EB5B885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5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YWU0ODljM2NmZjU5OGNmMjFkOGY5YmJkOTk2ODUifQ=="/>
  </w:docVars>
  <w:rsids>
    <w:rsidRoot w:val="00953981"/>
    <w:rsid w:val="0001203A"/>
    <w:rsid w:val="00013509"/>
    <w:rsid w:val="00036947"/>
    <w:rsid w:val="000532C1"/>
    <w:rsid w:val="000550EB"/>
    <w:rsid w:val="0007285A"/>
    <w:rsid w:val="000731BB"/>
    <w:rsid w:val="00081574"/>
    <w:rsid w:val="000A4871"/>
    <w:rsid w:val="000A6FEC"/>
    <w:rsid w:val="000B37B1"/>
    <w:rsid w:val="000B620F"/>
    <w:rsid w:val="000B7E1C"/>
    <w:rsid w:val="000D7761"/>
    <w:rsid w:val="00126512"/>
    <w:rsid w:val="00176F31"/>
    <w:rsid w:val="00177EC3"/>
    <w:rsid w:val="00180568"/>
    <w:rsid w:val="001A04B5"/>
    <w:rsid w:val="001A09A4"/>
    <w:rsid w:val="001C1D99"/>
    <w:rsid w:val="001F4540"/>
    <w:rsid w:val="002001C1"/>
    <w:rsid w:val="00214702"/>
    <w:rsid w:val="0023626F"/>
    <w:rsid w:val="00273F00"/>
    <w:rsid w:val="00295305"/>
    <w:rsid w:val="002B7B99"/>
    <w:rsid w:val="002E1978"/>
    <w:rsid w:val="002F790C"/>
    <w:rsid w:val="0031359B"/>
    <w:rsid w:val="003543E6"/>
    <w:rsid w:val="003635FB"/>
    <w:rsid w:val="003751F0"/>
    <w:rsid w:val="003E0D6D"/>
    <w:rsid w:val="003F075D"/>
    <w:rsid w:val="00431FFB"/>
    <w:rsid w:val="004460E0"/>
    <w:rsid w:val="004C55DA"/>
    <w:rsid w:val="004D4ECC"/>
    <w:rsid w:val="004E149C"/>
    <w:rsid w:val="004E7079"/>
    <w:rsid w:val="004F5FC7"/>
    <w:rsid w:val="00503F30"/>
    <w:rsid w:val="00593A9B"/>
    <w:rsid w:val="005B097F"/>
    <w:rsid w:val="005B151D"/>
    <w:rsid w:val="005C1E93"/>
    <w:rsid w:val="005F33F1"/>
    <w:rsid w:val="0060780A"/>
    <w:rsid w:val="00621A53"/>
    <w:rsid w:val="006401DD"/>
    <w:rsid w:val="00650410"/>
    <w:rsid w:val="00656C48"/>
    <w:rsid w:val="00676A4E"/>
    <w:rsid w:val="00681D44"/>
    <w:rsid w:val="006924FD"/>
    <w:rsid w:val="006D761D"/>
    <w:rsid w:val="007549ED"/>
    <w:rsid w:val="0077568A"/>
    <w:rsid w:val="007A7D5B"/>
    <w:rsid w:val="007C2390"/>
    <w:rsid w:val="007C5823"/>
    <w:rsid w:val="007D4949"/>
    <w:rsid w:val="007E1E56"/>
    <w:rsid w:val="007E4551"/>
    <w:rsid w:val="007E7F4E"/>
    <w:rsid w:val="007F5049"/>
    <w:rsid w:val="007F51F0"/>
    <w:rsid w:val="00814133"/>
    <w:rsid w:val="008359E8"/>
    <w:rsid w:val="00836509"/>
    <w:rsid w:val="00871D04"/>
    <w:rsid w:val="0089239A"/>
    <w:rsid w:val="008C3B4A"/>
    <w:rsid w:val="008C44AA"/>
    <w:rsid w:val="008D5F92"/>
    <w:rsid w:val="008F346F"/>
    <w:rsid w:val="00905BC4"/>
    <w:rsid w:val="009456A9"/>
    <w:rsid w:val="00953981"/>
    <w:rsid w:val="009628D4"/>
    <w:rsid w:val="00992AD5"/>
    <w:rsid w:val="009B0861"/>
    <w:rsid w:val="009F4110"/>
    <w:rsid w:val="009F45A2"/>
    <w:rsid w:val="00A05D19"/>
    <w:rsid w:val="00A103B1"/>
    <w:rsid w:val="00A130E2"/>
    <w:rsid w:val="00A30EA4"/>
    <w:rsid w:val="00A46045"/>
    <w:rsid w:val="00A4725A"/>
    <w:rsid w:val="00A540D5"/>
    <w:rsid w:val="00A903B2"/>
    <w:rsid w:val="00AA3A2F"/>
    <w:rsid w:val="00AB65AE"/>
    <w:rsid w:val="00AC431B"/>
    <w:rsid w:val="00AD3BBC"/>
    <w:rsid w:val="00AE0CFB"/>
    <w:rsid w:val="00AE58F2"/>
    <w:rsid w:val="00AF6245"/>
    <w:rsid w:val="00B0411F"/>
    <w:rsid w:val="00B10F99"/>
    <w:rsid w:val="00B22C28"/>
    <w:rsid w:val="00B23358"/>
    <w:rsid w:val="00B34641"/>
    <w:rsid w:val="00B61496"/>
    <w:rsid w:val="00B61558"/>
    <w:rsid w:val="00B65884"/>
    <w:rsid w:val="00B943F5"/>
    <w:rsid w:val="00BB0618"/>
    <w:rsid w:val="00BC283B"/>
    <w:rsid w:val="00BE138D"/>
    <w:rsid w:val="00BF20BB"/>
    <w:rsid w:val="00C00ED0"/>
    <w:rsid w:val="00C037C8"/>
    <w:rsid w:val="00C125C5"/>
    <w:rsid w:val="00C3495A"/>
    <w:rsid w:val="00C40C24"/>
    <w:rsid w:val="00C655A8"/>
    <w:rsid w:val="00C73011"/>
    <w:rsid w:val="00C74CFE"/>
    <w:rsid w:val="00C8030F"/>
    <w:rsid w:val="00CC0983"/>
    <w:rsid w:val="00CE0A43"/>
    <w:rsid w:val="00CE6605"/>
    <w:rsid w:val="00D03E6A"/>
    <w:rsid w:val="00D0557B"/>
    <w:rsid w:val="00D15A3A"/>
    <w:rsid w:val="00D16C08"/>
    <w:rsid w:val="00D23B76"/>
    <w:rsid w:val="00D346BD"/>
    <w:rsid w:val="00D35C68"/>
    <w:rsid w:val="00D41450"/>
    <w:rsid w:val="00D53AA6"/>
    <w:rsid w:val="00D5647D"/>
    <w:rsid w:val="00D70AE6"/>
    <w:rsid w:val="00D74D49"/>
    <w:rsid w:val="00DA7E5B"/>
    <w:rsid w:val="00DB45D0"/>
    <w:rsid w:val="00DE22B5"/>
    <w:rsid w:val="00E31F4A"/>
    <w:rsid w:val="00E62C0E"/>
    <w:rsid w:val="00E877F5"/>
    <w:rsid w:val="00E91845"/>
    <w:rsid w:val="00E92BDF"/>
    <w:rsid w:val="00EA062D"/>
    <w:rsid w:val="00EC0E1C"/>
    <w:rsid w:val="00EC289B"/>
    <w:rsid w:val="00ED31BF"/>
    <w:rsid w:val="00F273B8"/>
    <w:rsid w:val="00F4436E"/>
    <w:rsid w:val="00F536E6"/>
    <w:rsid w:val="00F619A6"/>
    <w:rsid w:val="00F72C4E"/>
    <w:rsid w:val="00F958D0"/>
    <w:rsid w:val="00FA38A8"/>
    <w:rsid w:val="00FA7A09"/>
    <w:rsid w:val="00FB5270"/>
    <w:rsid w:val="00FD2C33"/>
    <w:rsid w:val="035E62A9"/>
    <w:rsid w:val="0B375D40"/>
    <w:rsid w:val="0C1C4875"/>
    <w:rsid w:val="0ECB5A9B"/>
    <w:rsid w:val="1E38504E"/>
    <w:rsid w:val="222A111F"/>
    <w:rsid w:val="286E1F91"/>
    <w:rsid w:val="2B951716"/>
    <w:rsid w:val="2C0B44D1"/>
    <w:rsid w:val="33515EF4"/>
    <w:rsid w:val="36C22E36"/>
    <w:rsid w:val="3A8638A8"/>
    <w:rsid w:val="3E27233B"/>
    <w:rsid w:val="3ED65E91"/>
    <w:rsid w:val="41C10393"/>
    <w:rsid w:val="4599357F"/>
    <w:rsid w:val="4E912D62"/>
    <w:rsid w:val="57DB0D2B"/>
    <w:rsid w:val="58535244"/>
    <w:rsid w:val="5CC34FC4"/>
    <w:rsid w:val="5D864CC7"/>
    <w:rsid w:val="60F224FB"/>
    <w:rsid w:val="658E7179"/>
    <w:rsid w:val="6AC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rPr>
      <w:rFonts w:ascii="Calibri" w:hAnsi="Calibri"/>
      <w:sz w:val="24"/>
    </w:rPr>
  </w:style>
  <w:style w:type="table" w:styleId="11">
    <w:name w:val="Table Grid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0"/>
    <w:rPr>
      <w:i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8">
    <w:name w:val="标题 2 字符"/>
    <w:link w:val="3"/>
    <w:qFormat/>
    <w:uiPriority w:val="9"/>
    <w:rPr>
      <w:rFonts w:ascii="Calibri Light" w:hAnsi="Calibri Light"/>
      <w:b/>
      <w:bCs/>
      <w:kern w:val="2"/>
      <w:sz w:val="32"/>
      <w:szCs w:val="32"/>
    </w:rPr>
  </w:style>
  <w:style w:type="character" w:customStyle="1" w:styleId="19">
    <w:name w:val="正文文本 字符"/>
    <w:link w:val="4"/>
    <w:qFormat/>
    <w:uiPriority w:val="0"/>
    <w:rPr>
      <w:kern w:val="2"/>
      <w:sz w:val="28"/>
      <w:szCs w:val="24"/>
    </w:rPr>
  </w:style>
  <w:style w:type="character" w:customStyle="1" w:styleId="20">
    <w:name w:val="批注框文本 字符"/>
    <w:link w:val="6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4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</Company>
  <Pages>2</Pages>
  <Words>1091</Words>
  <Characters>1130</Characters>
  <Lines>59</Lines>
  <Paragraphs>37</Paragraphs>
  <TotalTime>159</TotalTime>
  <ScaleCrop>false</ScaleCrop>
  <LinksUpToDate>false</LinksUpToDate>
  <CharactersWithSpaces>1256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2025-05-08T02:45:00Z</dcterms:created>
  <dc:creator>Li</dc:creator>
  <cp:lastModifiedBy>HuaWei</cp:lastModifiedBy>
  <cp:lastPrinted>2010-08-04T06:50:00Z</cp:lastPrinted>
  <dcterms:modified xsi:type="dcterms:W3CDTF">2025-05-23T05:11:43Z</dcterms:modified>
  <dc:title>四川省上市公司协会文件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763A6F723547471E912D19AB94DAA195_13</vt:lpwstr>
  </property>
  <property fmtid="{D5CDD505-2E9C-101B-9397-08002B2CF9AE}" pid="4" name="KSOTemplateDocerSaveRecord">
    <vt:lpwstr>eyJoZGlkIjoiMzEwNTM5NzYwMDRjMzkwZTVkZjY2ODkwMGIxNGU0OTUifQ==</vt:lpwstr>
  </property>
</Properties>
</file>