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7D84D">
      <w:pPr>
        <w:jc w:val="left"/>
        <w:rPr>
          <w:rFonts w:hint="default" w:ascii="宋体" w:hAnsi="宋体" w:eastAsia="宋体" w:cs="宋体"/>
          <w:b/>
          <w:bCs/>
          <w:i w:val="0"/>
          <w:caps w:val="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证券代码：600406                         证券简称：国电南瑞</w:t>
      </w:r>
    </w:p>
    <w:p w14:paraId="15CCC754">
      <w:pPr>
        <w:jc w:val="center"/>
        <w:rPr>
          <w:rFonts w:hint="eastAsia" w:ascii="宋体" w:hAnsi="宋体" w:eastAsia="宋体" w:cs="宋体"/>
          <w:b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p w14:paraId="261EF861">
      <w:pPr>
        <w:jc w:val="center"/>
        <w:rPr>
          <w:rFonts w:hint="eastAsia" w:ascii="宋体" w:hAnsi="宋体" w:eastAsia="宋体" w:cs="宋体"/>
          <w:b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国电南瑞科技股份有限公司</w:t>
      </w:r>
    </w:p>
    <w:p w14:paraId="5E1C70A4">
      <w:pPr>
        <w:jc w:val="center"/>
        <w:rPr>
          <w:rFonts w:hint="eastAsia" w:ascii="宋体" w:hAnsi="宋体" w:eastAsia="宋体" w:cs="宋体"/>
          <w:b/>
          <w:bCs/>
          <w:i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sz w:val="32"/>
          <w:szCs w:val="32"/>
          <w:shd w:val="clear" w:fill="FFFFFF"/>
        </w:rPr>
        <w:t>投资者关系活动记录表</w:t>
      </w:r>
    </w:p>
    <w:p w14:paraId="15D85F21">
      <w:pPr>
        <w:jc w:val="right"/>
        <w:rPr>
          <w:rFonts w:hint="default" w:ascii="宋体" w:hAnsi="宋体" w:eastAsia="宋体" w:cs="宋体"/>
          <w:i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shd w:val="clear" w:fill="FFFFFF"/>
          <w:lang w:val="en-US" w:eastAsia="zh-CN"/>
        </w:rPr>
        <w:t>编号：202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highlight w:val="none"/>
          <w:shd w:val="clear" w:fill="FFFFFF"/>
          <w:lang w:val="en-US" w:eastAsia="zh-CN"/>
        </w:rPr>
        <w:t>5-01</w:t>
      </w:r>
    </w:p>
    <w:tbl>
      <w:tblPr>
        <w:tblStyle w:val="9"/>
        <w:tblW w:w="8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5470"/>
      </w:tblGrid>
      <w:tr w14:paraId="170E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vAlign w:val="center"/>
          </w:tcPr>
          <w:p w14:paraId="3583B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投资者关系活动类别</w:t>
            </w:r>
          </w:p>
        </w:tc>
        <w:tc>
          <w:tcPr>
            <w:tcW w:w="5470" w:type="dxa"/>
          </w:tcPr>
          <w:p w14:paraId="691616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投资策略会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电话/网络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会议□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现场调研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sym w:font="Wingdings 2" w:char="0052"/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业绩说明会□路演活动□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媒体采访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□其他</w:t>
            </w:r>
          </w:p>
        </w:tc>
      </w:tr>
      <w:tr w14:paraId="73AE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</w:tcPr>
          <w:p w14:paraId="7B60F2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时间</w:t>
            </w:r>
          </w:p>
        </w:tc>
        <w:tc>
          <w:tcPr>
            <w:tcW w:w="5470" w:type="dxa"/>
          </w:tcPr>
          <w:p w14:paraId="23156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2025年5月23日（星期五）14:00-17:00</w:t>
            </w:r>
          </w:p>
        </w:tc>
      </w:tr>
      <w:tr w14:paraId="0842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</w:tcPr>
          <w:p w14:paraId="48D04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地点</w:t>
            </w:r>
          </w:p>
        </w:tc>
        <w:tc>
          <w:tcPr>
            <w:tcW w:w="5470" w:type="dxa"/>
          </w:tcPr>
          <w:p w14:paraId="5BE7A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上</w:t>
            </w:r>
            <w:r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海证券交易所上证路演中心</w:t>
            </w:r>
          </w:p>
          <w:p w14:paraId="143E2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（网址：http://roadshow.sseinfo.com/）</w:t>
            </w:r>
          </w:p>
        </w:tc>
      </w:tr>
      <w:tr w14:paraId="6E1B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</w:tcPr>
          <w:p w14:paraId="38F4E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召开方式</w:t>
            </w:r>
          </w:p>
        </w:tc>
        <w:tc>
          <w:tcPr>
            <w:tcW w:w="5470" w:type="dxa"/>
          </w:tcPr>
          <w:p w14:paraId="56AD0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现场交流、视频直播、网络文字互动</w:t>
            </w:r>
          </w:p>
        </w:tc>
      </w:tr>
      <w:tr w14:paraId="65CE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vAlign w:val="top"/>
          </w:tcPr>
          <w:p w14:paraId="45F812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参</w:t>
            </w:r>
            <w:r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与单位</w:t>
            </w:r>
          </w:p>
        </w:tc>
        <w:tc>
          <w:tcPr>
            <w:tcW w:w="5470" w:type="dxa"/>
            <w:vAlign w:val="top"/>
          </w:tcPr>
          <w:p w14:paraId="7DDB3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参与公司本次业绩说明会的投资者</w:t>
            </w:r>
          </w:p>
        </w:tc>
      </w:tr>
      <w:tr w14:paraId="00F9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vAlign w:val="top"/>
          </w:tcPr>
          <w:p w14:paraId="392A6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上</w:t>
            </w:r>
            <w:r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市公司参会人员</w:t>
            </w:r>
          </w:p>
        </w:tc>
        <w:tc>
          <w:tcPr>
            <w:tcW w:w="5470" w:type="dxa"/>
            <w:vAlign w:val="top"/>
          </w:tcPr>
          <w:p w14:paraId="05EC4D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国电南瑞副董事长、总经理 郑宗强</w:t>
            </w:r>
          </w:p>
          <w:p w14:paraId="1E6189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国电南瑞独立董事 窦晓波</w:t>
            </w:r>
          </w:p>
          <w:p w14:paraId="2B8EE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国电南瑞总会计师 李芳</w:t>
            </w:r>
          </w:p>
          <w:p w14:paraId="3CA4D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国电南瑞董事会秘书 胡顺靖</w:t>
            </w:r>
          </w:p>
        </w:tc>
      </w:tr>
      <w:tr w14:paraId="54B1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6" w:type="dxa"/>
            <w:vAlign w:val="center"/>
          </w:tcPr>
          <w:p w14:paraId="5D0C8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投资者提出的问题及公司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eastAsia="zh-CN"/>
              </w:rPr>
              <w:t>回答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</w:rPr>
              <w:t>情况</w:t>
            </w:r>
          </w:p>
        </w:tc>
        <w:tc>
          <w:tcPr>
            <w:tcW w:w="5470" w:type="dxa"/>
          </w:tcPr>
          <w:p w14:paraId="19EAE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问题1：公司未来3-5年市场机会、业务布局和发展目标？</w:t>
            </w:r>
          </w:p>
          <w:p w14:paraId="15EA33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回答：“十五五”是电力系统转型的关键期，作为实现“双碳”目标的核心支撑，新型电力系统各环节将发生深刻变革，同时也孕育着技术创新与产业升级的机遇。重点体现在以下几个方面：</w:t>
            </w:r>
          </w:p>
          <w:p w14:paraId="724BD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一是电网领域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，智利、西班牙两次大停电带来的深远影响，愈发凸显新能源高占比的电力系统的脆弱性，既是挑战同时也给我们带来了机遇。维系电网安全稳定运行对电网系统运行控制、大电网停电防御、HVDC高端装备、构网技术与产品等提出更高要求。公司将紧密围绕国家“双碳”目标和能源电力转型需求，从业务和技术发展方向找增量，从电网重大难题找突破。着重强化数字孪生、人工智能等业务布局，提升系统运行效率与智能化水平；借助电力电子技术的创新应用，增强电网的灵活性与适应性；加快推动IGBT材料创新、工艺优化和性能提升，同时积极布局IGCT产业；重点突破HVDC（特高压直流输电）、FACTS（灵活交流输电）等电力电子核心技术，加快构网型装备、低频输电和电网柔性互联装备、新型直流换流装备（CLCC、SLCC、HCC）等示范应用和产业化。</w:t>
            </w:r>
          </w:p>
          <w:p w14:paraId="29D34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二是能源领域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，要紧抓新能源高质量发展机遇，准确把握能源企业经营机制转变趋势，重点围绕西北“沙戈荒”新能源基地、西南流域水电开发、东部沿海能源基地等应用场景，强化“一体化解决方案”打造。加快布局推进新能源并网友好型装备、4S储能、绿电制氢、绿电智算、微网及智慧园区、水风光储协同调控、气象及环境监测等业务，加快落地一批具有标杆引领作用的综合能源示范工程。</w:t>
            </w:r>
          </w:p>
          <w:p w14:paraId="18370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三是工业互联网领域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，将从之前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的单独提供产品向提供整套能量管理解决方案转变，加快布局推进工业能量管理系统、工业过程控制（PLC/DCS）、工控网络安全、工业数字化、工业传感器、低空经济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、零碳园区等业务，全面推进优势技术产品同源拓展。</w:t>
            </w:r>
          </w:p>
          <w:p w14:paraId="4167E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四是国际业务领域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，加大境外市场拓展策划，梳理中东、南美、东南亚等重点区域、重点国别的客户需求，结合对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lang w:val="en-US" w:eastAsia="zh-CN"/>
              </w:rPr>
              <w:t>电网的运行控制、停电的防御和恢复，老旧设备的更新改造等需求，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加快适推产品和解决方案供给，推动换流阀及柔直控保、调度自动化、ADMS、AMI等高附加值自有产品“走出去”。</w:t>
            </w:r>
          </w:p>
          <w:p w14:paraId="4D404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问题2：公司研发投入的主要方向，以及如何保持创新领先优势？</w:t>
            </w:r>
          </w:p>
          <w:p w14:paraId="2C05D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回答：国电南瑞坚持“技术为本、产业为果、支撑为责”的创新逻辑，以南瑞的技术体系为基础，前瞻性、体系化开展重大技术布局，通过技术布局指导研发投入方向。目前，公司重点聚焦源、网、荷、储、数、碳和底座技术等7个方面11个技术方向安排重点攻关任务，系统性解决面临的重大问题。近年来公司研发投入逐年加大，2024年，公司已重点围绕源网协同发展、大电网调度、系统故障防御、智慧配电网、数能融合、高端输变电装备、功率半导体器件等方向加强研发投入。2025年，将紧密跟踪人工智能、数字孪生等先进数字技术发展，重点针对智利、西班牙等国外大停电事件进行深入分析，围绕大电网安全防御、设备主动防御、数字孪生电网、新型微电网等方面加大科研投入，持续解决相关领域技术难题。</w:t>
            </w:r>
          </w:p>
          <w:p w14:paraId="3F245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科技创新是国电南瑞的基因，科技创新和产业创新深度融合是独特优势，是公司保持可持续发展的核心。未来要保持创新领先优势，一是要充分发挥公司从基础研究、产品研发、工程示范到推广应用、迭代优化的完整创新链条优势；二是要持续保持高强度科研投入，公司近三年研发投入年均复合增长率14%，2024年研发投入40.32亿元，同比增幅17%、占收入比超7%，但跟有些外部企业比还有差距，仍要加大研发投入；三是要强化实验仿真和应用实践的闭环验证，现在的技术研发比拼的不仅仅是正常情况下，有时候还是极端工况下对设备和方案的检验。问题3：请问贵司过去一年业务发展有哪些代表性亮点可以简要讲一下吗？</w:t>
            </w:r>
          </w:p>
          <w:p w14:paraId="73A15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回答：2024年，国电南瑞持续优化产业布局，构建市场竞争新优势。公司确立智能电网、数能融合、能源低碳、工业互联四大产业集群，形成以电网业务为“基本盘”，电网外业务、海外业务为“增量盘”的产业布局，资产总额、营业收入、净利润等均创历史新高。全年实现营业收入574.17亿元，实现归属于上市公司股东的净利润76.10亿元。下属4家单位入选第六批专精特新“小巨人”企业，2家单位入选制造业单项冠军。新一代调度、特高压、抽水蓄能等核心技术产品优势地位进一步凸显。新能源、工业控制、微网等业务市场竞争能力进一步提升。积极培育IGBT、作业机器人等新兴业务，强化储能、氢电业务布局，在西藏投运的全国首套电网侧带超容构网型SVG入选央企十大超级工程。新兴业务快速增长，收入同比增长36.24%。国际业务拓展取得新突破，投运比沙储能，中标沙特ADMS运维和柔直阀项目，海外收入同比增长135%。</w:t>
            </w:r>
          </w:p>
          <w:p w14:paraId="0A14B2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问题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4：未来是否有量化碳中和路径？智慧能源项目（如内蒙古风光火储一体化）的减碳效益如何？</w:t>
            </w:r>
          </w:p>
          <w:p w14:paraId="3DAB5E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回答：未来碳中和路径的量化将依托数字技术与多能互补体系，通过物联网、区块链、人工智能等技术，实现碳排放的实时监测与精准管理。国电南瑞已构建了电碳协同研究团队，积极开展碳计量、碳盘查相关产品的开发应用。国电南瑞实施的智慧能源项目以源网荷储一体化管控系统为核心，通过整合新能源、智能调控与数字化技术，实现了能源生产消费的精准调控与高效利用。</w:t>
            </w:r>
          </w:p>
          <w:p w14:paraId="5C209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问题5：公司本期盈利水平如何？</w:t>
            </w:r>
          </w:p>
          <w:p w14:paraId="19ED3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回答：2024年，国电南瑞经营业绩再创历史新高，公司实现营业收入574.17亿元，同比增长11.15%；毛利率26.66%，盈利能力保持稳定；归属于上市公司股东的净利润76.10亿元，同比增长6.06%；基本每股收益0.95元。</w:t>
            </w:r>
          </w:p>
          <w:p w14:paraId="44FCD7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问题6：宏观经济波动会对公司的融资成本和资金流动性产生怎样的影响？公司有哪些措施来保障资金链稳定，应对可能的资金压力？</w:t>
            </w:r>
          </w:p>
          <w:p w14:paraId="3EAE81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回答：目前公司资金相对充裕、资金流动性较强，银行授信充足，融资渠道通畅，有力保障了企业业务发展所需资金。</w:t>
            </w:r>
          </w:p>
          <w:p w14:paraId="013F0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问题7：在全球电网投资高景气的背景下，尤其是欧美等地区电网设备老化迎来更换周期，公司计划如何拓展海外市场，提升国际市场份额？目前海外业务布局和进展如何？</w:t>
            </w:r>
          </w:p>
          <w:p w14:paraId="1B5E7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回答：目前，公司重点拓展东南亚、中东、西亚、中亚、拉美区域业务，持续关注欧洲电网基础设施升级改造及直流输电、储能等项目机会，通过技术交流合作等方式适时参与电网稳定控制、大规模可再生能源接入控制等业务。未来，公司将紧抓全球能源转型和绿色低碳发展机遇，重点关注“一带一路”沿线国家和地区市场，提升产品和服务的本地化适应性，做大直流输电、调度自动化、变电站保护及自动化、AMI及智能电表等产品市场规模，打造柔性输电、配网自动化、微网及储能、智能运检等业务增长点，加强境外营销网络及运营能力建设，积极参与国际标准制定，提升国际品牌影响力。2024年，公司实现海外收入32.79亿元，同比增长135%。</w:t>
            </w:r>
          </w:p>
          <w:p w14:paraId="2C0E1275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问题8：2025年一季度公司毛利率环比上升、同比下降的主要原因是什么？是否因产能利用率不足、产品结构调整或原材料价格波动导致？</w:t>
            </w:r>
          </w:p>
          <w:p w14:paraId="43886BCC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回答：2025年一季度，公司主营业务毛利率24.12%，毛利率水平保持平稳。毛利率变动主要系收入结构及部分产品毛利率水平波动所致。</w:t>
            </w:r>
          </w:p>
          <w:p w14:paraId="3008FA7A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问题9：去年公司回购了一批股份用于股权激励，目前此类公司股权激励计划是怎么考虑？当前股权激励还遇到什么困难？需要走什么程序？</w:t>
            </w:r>
          </w:p>
          <w:p w14:paraId="085FBB68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  <w:t>回答：公司高度重视人才激励工作，已实施的两期限制性股票激励成效较好。公司将积极研究并推进实施多元激励计划，助推上市公司实现高质量发展。按照规定，实施股权激励需履行上级国有资产监督管理单位审核、公司董事会及股东会决策等程序。</w:t>
            </w:r>
          </w:p>
          <w:p w14:paraId="526599EB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i w:val="0"/>
                <w:caps w:val="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</w:tbl>
    <w:p w14:paraId="792A0F44">
      <w:pPr>
        <w:rPr>
          <w:rFonts w:hint="eastAsia" w:ascii="宋体" w:hAnsi="宋体" w:eastAsia="宋体" w:cs="宋体"/>
          <w:i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23DD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E879B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E879B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MmU2ZWUxY2FjNTNmODdmZmFiZDRiYTQ3OWU5OTAifQ=="/>
  </w:docVars>
  <w:rsids>
    <w:rsidRoot w:val="171B3DA6"/>
    <w:rsid w:val="00735209"/>
    <w:rsid w:val="07C63EE1"/>
    <w:rsid w:val="08375D26"/>
    <w:rsid w:val="08FF5744"/>
    <w:rsid w:val="091326EB"/>
    <w:rsid w:val="171B3DA6"/>
    <w:rsid w:val="1D016532"/>
    <w:rsid w:val="2DAE0B7D"/>
    <w:rsid w:val="31742BC9"/>
    <w:rsid w:val="324E2C7C"/>
    <w:rsid w:val="33812E78"/>
    <w:rsid w:val="388E2B6C"/>
    <w:rsid w:val="49E55BCE"/>
    <w:rsid w:val="49F51014"/>
    <w:rsid w:val="503A2ABA"/>
    <w:rsid w:val="522F093A"/>
    <w:rsid w:val="52972B48"/>
    <w:rsid w:val="56C44EA0"/>
    <w:rsid w:val="5F7521EF"/>
    <w:rsid w:val="62531D9B"/>
    <w:rsid w:val="641825B6"/>
    <w:rsid w:val="65A57592"/>
    <w:rsid w:val="663065C4"/>
    <w:rsid w:val="6BE40007"/>
    <w:rsid w:val="78E3771C"/>
    <w:rsid w:val="7DD10F94"/>
    <w:rsid w:val="7FAD68E3"/>
    <w:rsid w:val="7FD3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3141</Words>
  <Characters>3330</Characters>
  <Lines>0</Lines>
  <Paragraphs>0</Paragraphs>
  <TotalTime>13</TotalTime>
  <ScaleCrop>false</ScaleCrop>
  <LinksUpToDate>false</LinksUpToDate>
  <CharactersWithSpaces>3359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2023-09-15T02:27:00Z</dcterms:created>
  <dc:creator>zhangzhitian</dc:creator>
  <cp:lastModifiedBy>恰同学少年</cp:lastModifiedBy>
  <dcterms:modified xsi:type="dcterms:W3CDTF">2025-05-26T03:39:02Z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FE33E37FE8EB44FF9915E32D61D04276_13</vt:lpwstr>
  </property>
  <property fmtid="{D5CDD505-2E9C-101B-9397-08002B2CF9AE}" pid="4" name="KSOTemplateDocerSaveRecord">
    <vt:lpwstr>eyJoZGlkIjoiMzEwNTM5NzYwMDRjMzkwZTVkZjY2ODkwMGIxNGU0OTUifQ==</vt:lpwstr>
  </property>
</Properties>
</file>