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D282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1"/>
          <w:szCs w:val="21"/>
        </w:rPr>
      </w:pPr>
      <w:r>
        <w:rPr>
          <w:rFonts w:hAnsi="宋体"/>
          <w:bCs/>
          <w:iCs/>
          <w:color w:val="000000"/>
          <w:sz w:val="21"/>
          <w:szCs w:val="21"/>
        </w:rPr>
        <w:t>证券代码：</w:t>
      </w:r>
      <w:r>
        <w:rPr>
          <w:bCs/>
          <w:i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600721  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           </w:t>
      </w:r>
      <w:r>
        <w:rPr>
          <w:color w:val="000000"/>
          <w:sz w:val="21"/>
          <w:szCs w:val="21"/>
        </w:rPr>
        <w:t xml:space="preserve">                           </w:t>
      </w:r>
      <w:r>
        <w:rPr>
          <w:rFonts w:hAnsi="宋体"/>
          <w:bCs/>
          <w:iCs/>
          <w:color w:val="000000"/>
          <w:sz w:val="21"/>
          <w:szCs w:val="21"/>
        </w:rPr>
        <w:t>证券简称：</w:t>
      </w:r>
      <w:r>
        <w:rPr>
          <w:color w:val="000000"/>
          <w:sz w:val="21"/>
          <w:szCs w:val="21"/>
        </w:rPr>
        <w:t>百花医药</w:t>
      </w:r>
    </w:p>
    <w:p w14:paraId="7E27D399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17E596F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新疆百花村医药集团股份有限公司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B4897D3">
      <w:pPr>
        <w:pStyle w:val="7"/>
        <w:rPr>
          <w:rFonts w:hint="eastAsia"/>
        </w:rPr>
      </w:pPr>
    </w:p>
    <w:tbl>
      <w:tblPr>
        <w:tblStyle w:val="8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107"/>
      </w:tblGrid>
      <w:tr w14:paraId="00A1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638F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</w:p>
          <w:p w14:paraId="0C8C9AB5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0B80190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活动类别</w:t>
            </w:r>
          </w:p>
          <w:p w14:paraId="211E6A87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523A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33C0A2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03A79B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21BC49C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BB0E58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0933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CDB9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5DBD">
            <w:pPr>
              <w:spacing w:line="420" w:lineRule="exact"/>
              <w:jc w:val="both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1B16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B5DD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25C0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2025年5月23日 (周五) 下午 15:00~18:00</w:t>
            </w:r>
          </w:p>
        </w:tc>
      </w:tr>
      <w:tr w14:paraId="23E1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4B3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0B64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https://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ir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.p5w.net</w:t>
            </w:r>
            <w:r>
              <w:rPr>
                <w:rFonts w:hint="eastAsia" w:ascii="宋体" w:hAnsi="宋体"/>
                <w:bCs/>
                <w:sz w:val="24"/>
              </w:rPr>
              <w:t>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49E9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408C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AB56560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FC26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董事长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bCs/>
                <w:sz w:val="24"/>
              </w:rPr>
              <w:t>郑彩红</w:t>
            </w:r>
          </w:p>
          <w:p w14:paraId="602054CE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财务总监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/>
                <w:bCs/>
                <w:sz w:val="24"/>
              </w:rPr>
              <w:t>蔡子云</w:t>
            </w:r>
          </w:p>
          <w:p w14:paraId="628818C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sz w:val="24"/>
              </w:rPr>
              <w:t>赵琴琴</w:t>
            </w:r>
          </w:p>
        </w:tc>
      </w:tr>
      <w:tr w14:paraId="60DB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031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78BA043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C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3A83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008C640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1、毛利率水平与同行业可比公司相比如何？不同治疗领域产品的毛利率差异有多大？</w:t>
            </w:r>
          </w:p>
          <w:p w14:paraId="3515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F4F12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医药研发行业的毛利率与同行业可比公司（如阳光诺和）基本接近，不同治疗领域的研发项目（公司不存在产品的生产和销售），根据研发技术能力、项目进度、成本控制等不同，毛利率会有所不同。感谢您的关注。</w:t>
            </w:r>
          </w:p>
          <w:p w14:paraId="6DFC57D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2、请问贵公司在中药现代化方面的布局情况如何？具体取得了哪些进展？</w:t>
            </w:r>
          </w:p>
          <w:p w14:paraId="17FE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C9058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外包和技术成果转化服务。在复杂制剂开发、临床试验评价等关键领域建立了竞争优势，目前有受客户委托承接中药临床服务项目。公司正在布局中医药临床研究开发，具备为中医药的立项转化，医院制剂的转化，创新中药注册和临床提供服务的能力，并已经开始涉足中药部分领域临床试验及注册服务。感谢您的关注。</w:t>
            </w:r>
          </w:p>
          <w:p w14:paraId="36675AF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3、销售费用率与行业平均水平相比如何？营销模式是否发生结构性变化？</w:t>
            </w:r>
          </w:p>
          <w:p w14:paraId="6755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1C7F99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</w:t>
            </w:r>
          </w:p>
          <w:p w14:paraId="08A0414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default" w:ascii="宋体" w:hAnsi="宋体"/>
                <w:sz w:val="24"/>
                <w:szCs w:val="24"/>
              </w:rPr>
              <w:t>我公司销售费用率与行业平均水平对比，处于行业居中水平。</w:t>
            </w:r>
          </w:p>
          <w:p w14:paraId="79C4785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二、我公司的经营模式是以药学研究、临床试验为基础，向客户提供技术开发、技术转让及临床试验、注册申报等的一体化服务，满足客户多样化、个性化的技术要求，从而获得企业收益，营销模式未发生结构性变化。</w:t>
            </w:r>
          </w:p>
          <w:p w14:paraId="5E923F4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感谢您的关注。</w:t>
            </w:r>
          </w:p>
          <w:p w14:paraId="68941E4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4、请问贵公司主要产品进入医保目录的情况如何？集采政策对业绩的实际影响程度？</w:t>
            </w:r>
          </w:p>
          <w:p w14:paraId="0CB6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280E7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外包和技术成果转化服务。医药研发受托服务并不直接从事药品生产和销售，因此未涉及产品进医保目录或参与集采事项。医药行业集采常态化倒逼药企向技术创新转型，推动企业的产品迭代和创新能力提升，也为各医药研发企业带来发展机遇。感谢您的关注。</w:t>
            </w:r>
          </w:p>
          <w:p w14:paraId="57307A1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5、2024年在创新药研发方面的投入有多少？重点布局哪些治疗领域？</w:t>
            </w:r>
          </w:p>
          <w:p w14:paraId="31C4C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4EE76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始终将技术创新视为核心竞争力，2024年研发投入总额达4654.22万元，占营业收入的12.07%。药学研究方面主要在国内小分子化药领域聚焦高端制剂、复杂药物等核心领域以及2类改良型创新药的研究等。临床研究方面推进化药3类仿制药与2类改良型创新药的研发储备，着力在缓释制剂、外用制剂、吸入制剂、儿童制剂、口溶膜等剂型改良方面，进行品种筛选，持续强化自主研发技术储备。感谢您的关注。</w:t>
            </w:r>
          </w:p>
          <w:p w14:paraId="292B5AE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6、经营性现金流是否健康？应收账款周转天数较上年有何变化？</w:t>
            </w:r>
          </w:p>
          <w:p w14:paraId="7DDA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1E4F19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尊敬的投资者，您好！公司2024年度经营活动产生的现金流量净额8028万元，较上年同期6208万元增加1820万元，还是比较健康的；应收账款周转天数较上年略有降低，为公司带来现金流入增加。感谢您的关注。</w:t>
            </w:r>
          </w:p>
          <w:p w14:paraId="073A770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7、成本管控措施成效如何？期间费用率是否得到有效控制？</w:t>
            </w:r>
          </w:p>
          <w:p w14:paraId="3289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6CD24B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通过整合大商务体系实现运营效率提升，优化薪酬结构与绩效管理激发人力效能，推行统一采购模式、建立动态成本监测机制（涵盖院端费用精细化管控），实现营业总成本率同比下降5.59个百分点。强化项目全周期管理，推动申报效率与获批率双提升，报告期内项目申报受理141项，同比增长50%，获批品规92项，同比增长70%。深化SOP制度升级与供应链合规管理，完善供应商评估体系及风险防控机制。2024年度综合费用费用率较上年同期下降2.4%，得到了有效控制。感谢您的关注。</w:t>
            </w:r>
          </w:p>
          <w:p w14:paraId="2BA396A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8、主要产品生产线的产能利用率如何？是否存在产能瓶颈或闲置情况？</w:t>
            </w:r>
          </w:p>
          <w:p w14:paraId="669D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621748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的全过程一站式外包和技术成果转化服务。目前公司可同时开展过百项的项目研发，2024年全年申报项目141项（同比+50%）、获批品规92项（同比+70%），在复杂制剂开发、临床试验评价等关键领域建立了竞争优势。公司业务不涉及药品生产和销售，不存在生产制造型企业产能瓶颈或闲置情况。感谢您的关注。</w:t>
            </w:r>
          </w:p>
          <w:p w14:paraId="0BFF11C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9、2024年是否涉及重大资产减值损失？主要涉及哪些在研项目或资产？</w:t>
            </w:r>
          </w:p>
          <w:p w14:paraId="6832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E66FE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尊敬的投资者，您好！2024年度公司计提减值准备6050.48万元。主要是2024年末对存货按照成本与可变现净值孰低计量计提减值准备3259.70万元，应收款按照可回收情况计提减值准备2737.18万元。感谢您的关注。</w:t>
            </w:r>
          </w:p>
          <w:p w14:paraId="2978FFE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10、主要销售区域的渠道库存水平如何？终端医疗机构覆盖情况怎样？</w:t>
            </w:r>
          </w:p>
          <w:p w14:paraId="3973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F003E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的全过程一站式外包和技术成果转化服务。公司业务主要是受托研发，并不直接从事药品生产和销售，故对销售渠道和终端医疗机构的依赖度不强。感谢您的关注。</w:t>
            </w:r>
          </w:p>
          <w:p w14:paraId="330B902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11、请问贵公司核心产品的市场份额是多少？与主要竞争对手相比竞争优势如何？</w:t>
            </w:r>
          </w:p>
          <w:p w14:paraId="05E2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C01E4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</w:t>
            </w:r>
          </w:p>
          <w:p w14:paraId="745EF31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default" w:ascii="宋体" w:hAnsi="宋体"/>
                <w:sz w:val="24"/>
                <w:szCs w:val="24"/>
              </w:rPr>
              <w:t>我公司是主要从事“药学研究+临床服务+生物分析检测”的综合服务性CRO公司，主要为客户提供从药物发现、药学CMC开发、临床试验与申报注册的全过程一站式外包和技术成果转化服务。2024年主营业务收入38,347.50万元，较上年增幅4.71%，其中药学研发板块占53%，临床试验板块占39%，其他收入占8%。</w:t>
            </w:r>
          </w:p>
          <w:p w14:paraId="76438F2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二、公司依托产业链协同管理能力和全流程闭环服务体系，在CRO领域构建了多维竞争优势：</w:t>
            </w:r>
          </w:p>
          <w:p w14:paraId="6467271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、管理优势：强化跨板块资源整合，实现研发与临床的无缝衔接，通过项目全周期管理，有效提高研发效率，通过模块化协作机制全面保障项目交付质量。全年申报项目141项（同比+50%）、获批品规92项（同比+70%），位居行业前列。</w:t>
            </w:r>
          </w:p>
          <w:p w14:paraId="4C2F329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2、技术优势：公司配备国际先进的科研设备、分析检测平台及智能化数据管理系统，形成较完备的药学研发服务体系，拥有手性药物合成、缓控释技术、吸入给药、经皮吸收、复杂注射剂、口溶膜药物等多项药学前沿技术，在药学CMC开发、生物分析等细分领域具有一定市场影响及行业优势。</w:t>
            </w:r>
          </w:p>
          <w:p w14:paraId="63EB513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3、项目优势：基于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宋体" w:hAnsi="宋体"/>
                <w:sz w:val="24"/>
                <w:szCs w:val="24"/>
              </w:rPr>
              <w:t>药学研究+临床服务+生物分析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宋体" w:hAnsi="宋体"/>
                <w:sz w:val="24"/>
                <w:szCs w:val="24"/>
              </w:rPr>
              <w:t>的全产业链布局，建立完善的临床试验网络，具备全方位新药临床开发研究服务能力，凭借20多年项目经验积累，打造了从药物发现到NDA申报的一站式解决方案，通过标准化流程衔接和定制化服务组合，显著降低客户研发周期，助力创新成果快速转化。</w:t>
            </w:r>
          </w:p>
          <w:p w14:paraId="0C00FAD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4、团队优势：公司汇聚超600名专业技术人才，中高层技术团队均具备丰富的医药专业知识技术能力和CRO行业从业经验，拥有药学、药理学和临床等学科领域新药研究高端人才，平均年龄31岁，在复杂项目承接能力和综合服务性价比方面形成差异化竞争力。</w:t>
            </w:r>
          </w:p>
          <w:p w14:paraId="2799283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感谢您的关注。</w:t>
            </w:r>
          </w:p>
          <w:p w14:paraId="7ADF838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12、员工人数及研发人员占比如何？关键技术人员留存率怎样？</w:t>
            </w:r>
          </w:p>
          <w:p w14:paraId="65CD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8F8FE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截至2024年末，公司共有员工731人，其中本科及以上达86%，硕、博士以上人员134人；其中研发人员596人，占公司总人数的82%。公司通过实施股票期权激励计划，实现研发技术骨干与管理核心人员全覆盖，增强核心团队的稳定性；通过建立绩效和能力相结合的晋升培养体系，推进技术专业储备人才库建设，完善“选拔-培养-晋升”全链条管理体系，年内完成143名骨干员工晋升，晋升率达20%，激发员工的积极性和创造力，为公司持续发展和技术创新储备了优质的人力资本，目前关键技术人员团队稳定。感谢您的关注。</w:t>
            </w:r>
          </w:p>
          <w:p w14:paraId="3D49A4F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13、净利润较上年同期有何变化？主要受产品销量增长还是价格调整的影响更大？</w:t>
            </w:r>
          </w:p>
          <w:p w14:paraId="45E2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50357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尊敬的投资者，您好！公司2024年度归属于上市公司股东净利润4</w:t>
            </w:r>
            <w:bookmarkStart w:id="0" w:name="_GoBack"/>
            <w:bookmarkEnd w:id="0"/>
            <w:r>
              <w:rPr>
                <w:rFonts w:hint="default" w:ascii="宋体" w:hAnsi="宋体"/>
                <w:sz w:val="24"/>
                <w:szCs w:val="24"/>
              </w:rPr>
              <w:t>147.90万元，较上年增幅219.75%；归属于上市公司股东扣除非经常性损益的净利润2965.28万元，较上年增加176.38%，增加的主要原因是：①强化项目全周期管理，提高研发效率，推动申报效率与获批率，报告期内项目申报受理141项，同比增长50%，获批品规92项，同比增长70%，使得营业收入较上年增长4.46%；②优化薪酬结构与绩效管理，人均创收增加4.46%，工效比提升12.90个百分点，并推行统一采购模式降本增效；③加强费用管控，综合费用率降低2.40%；④加强资金和投资回报管理，资金收益水平较上年有所提高。感谢您的关注。</w:t>
            </w:r>
          </w:p>
          <w:p w14:paraId="1402F3D6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14、2024年研发投入占营业收入的比例是多少？主要在研管线的临床进展如何？</w:t>
            </w:r>
          </w:p>
          <w:p w14:paraId="0F65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41999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的全过程一站式外包和技术成果转化服务，因此公司的主要研发项目多来自于客户委托加部分的公司自主立项，2024年研发投入总额达4654.22万元，占营业收入的12.07%，研发技术成果转化能力持续增强：全年申报项目141项（同比+50%）、获批品规92项（同比+70%），在复杂制剂开发、临床试验评价等关键领域建立竞争优势，目前主要项目管线进展正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/>
                <w:sz w:val="24"/>
                <w:szCs w:val="24"/>
              </w:rPr>
              <w:t>感谢您的关注。</w:t>
            </w:r>
          </w:p>
          <w:p w14:paraId="2C3F1225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15、请问贵公司对2025年医药行业政策环境的预判如何？制定了哪些应对策略？</w:t>
            </w:r>
          </w:p>
          <w:p w14:paraId="2C35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49AD40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根据行业机构的专业分析，当前CRO行业正处于战略机遇期，发展前景呈现三大核心驱动力：一是政策赋能创新深化，国家持续深化药品审评审批制度改革，通过优先审评、附条件批准等机制加速创新药上市进程，同时集采常态化倒逼药企向差异化创新转型，推动研发投入结构性增长；二是技术迭代驱动需求升级，ADC、双抗、细胞与基因治疗等前沿领域研发热度持续攀升，带动从早期靶点筛选到商业化生产的全链条服务需求，临床开发向国际化、高复杂度方向演进；三是全球产业格局重塑机遇，中国凭借人才储备、成本优势及技术创新能力的综合竞争力，正成为全球研发产业链的重要支点，本土CRO企业通过技术沉淀与全球化布局加速承接产能转移。公司将持续强化自有核心技术能力和技术平台优势，把握行业结构性增长红利，为长期可持续发展奠定坚实基础。感谢您的关注。</w:t>
            </w:r>
          </w:p>
          <w:p w14:paraId="17CE130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16、年报中披露的主要经营风险有哪些？管理层的风险应对措施是否充分？</w:t>
            </w:r>
          </w:p>
          <w:p w14:paraId="3374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3E36FB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尊敬的投资者，您好！公司年报中披露的公司未来发展可能面临以下主要风险：</w:t>
            </w:r>
          </w:p>
          <w:p w14:paraId="538E4C3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宋体" w:hAnsi="宋体"/>
                <w:sz w:val="24"/>
                <w:szCs w:val="24"/>
              </w:rPr>
              <w:t>市场竞争风险</w:t>
            </w:r>
          </w:p>
          <w:p w14:paraId="3713496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集采常态化下药企研发预算收紧，行业分化加剧，CRO公司面临技术迭代和人才储备的双重压力，竞争使公司经营承压。</w:t>
            </w:r>
          </w:p>
          <w:p w14:paraId="23B1E54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行业政策变化风险</w:t>
            </w:r>
          </w:p>
          <w:p w14:paraId="11B7D941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医改政策不断深化，对药企研发投入影响深远，行业及政策变化可能对市场形成波动，形成公司经营不确定风险。</w:t>
            </w:r>
          </w:p>
          <w:p w14:paraId="13BE3E44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3、长周期合同执行风险</w:t>
            </w:r>
          </w:p>
          <w:p w14:paraId="6B7EA8E1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公司研发项目周期较长，客户可能因资金短缺、战略调整或政策变化拖欠相关款项，甚至单方面终止合同，增加企业回款风险。</w:t>
            </w:r>
          </w:p>
          <w:p w14:paraId="6BEF8277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4、研发成本上升的风险</w:t>
            </w:r>
          </w:p>
          <w:p w14:paraId="7046C327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随着国家药改的深化，公司医药服务项目不断扩展，业务规模不断扩大，医药、医疗服务业务的设备规模、人员规模、人工成本将持续提高，前沿技术的快速革新要求企业持续投入研发，导致公司医药研发业务成本上升的风险加大。</w:t>
            </w:r>
          </w:p>
          <w:p w14:paraId="3F6F9737"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针对以上风险，公司的应对措施为：公司将密切关注行业及市场竞争趋势，集中优势资源，聚焦主营业务，持续加强商务体系建设，加大市场开拓力度，提高综合运营服务能力，不断增强市场竞争力。将强化项目进度和质量管理，提升交付能力，缩短项目研发周期，加强风险控制，实现项目履约的良性循环，提高公司运营效率。将坚持效益导向原则，加大资源整合、业务融合、市场开拓力度，通过减损耗、降能耗，加强各环节成本控制，优化研发流程，缩短研发周期，以成本最小化实现效益最大化。感谢您的关注。</w:t>
            </w:r>
          </w:p>
          <w:p w14:paraId="6AA3B00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17、请问贵公司原料药自给率是多少？关键原料供应是否稳定可控？</w:t>
            </w:r>
          </w:p>
          <w:p w14:paraId="541A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E60EB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我公司作为“药学研究+临床服务+生物分析检测”的综合服务性CRO公司，主要为客户提供从药物发现、药学CMC开发、临床试验与申报注册的全过程一站式外包和技术成果转化服务。公司受委托开展原料药的研发技术服务，通过实验室合成、外协生产、外购，能够满足科研实验业务对原料药的需求。具体业务情况请以公司公开披露的定期报告为准。感谢您的关注。</w:t>
            </w:r>
          </w:p>
          <w:p w14:paraId="75CF1D9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18、分红政策是否保持稳定？未分配利润的主要用途是什么？</w:t>
            </w:r>
          </w:p>
          <w:p w14:paraId="2A3F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1E6A01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因公司累计未分配利润仍为负，暂不具备分红条件。公司将持续通过稳健经营夯实价值基础，提高经营效率、盈利能力和市场竞争力，努力提升公司内在价值，实现高质量发展，保持公司市值稳步提升，提高股东回报水平。感谢您的关注。</w:t>
            </w:r>
          </w:p>
          <w:p w14:paraId="435B87DD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19、资产负债率目前处于什么水平？现金流能否支撑研发投入和业务拓展需求？</w:t>
            </w:r>
          </w:p>
          <w:p w14:paraId="446C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3E06B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尊敬的投资者，您好！2024年12月31日，公司资产负债率为32%，货币资金2.72亿元，公司的现金流相对充裕，能够支撑研发投入和业务拓展的需求。感谢您的关注。</w:t>
            </w:r>
          </w:p>
        </w:tc>
      </w:tr>
      <w:tr w14:paraId="6768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E92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E4B95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2025-05-23</w:t>
            </w:r>
          </w:p>
        </w:tc>
      </w:tr>
    </w:tbl>
    <w:p w14:paraId="15845B8B"/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515C2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BCF7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BCF7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F6764">
    <w:pPr>
      <w:pStyle w:val="5"/>
      <w:pBdr>
        <w:bottom w:val="single" w:color="000000" w:sz="4" w:space="0"/>
      </w:pBdr>
      <w:tabs>
        <w:tab w:val="right" w:pos="8280"/>
        <w:tab w:val="clear" w:pos="8306"/>
      </w:tabs>
      <w:wordWrap w:val="0"/>
      <w:spacing w:before="120" w:after="12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222885" cy="218440"/>
          <wp:effectExtent l="0" t="0" r="5715" b="635"/>
          <wp:wrapNone/>
          <wp:docPr id="5" name="图片 5" descr="logo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85" cy="21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新疆百花村医药集团股份有限公司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FA5FA"/>
    <w:multiLevelType w:val="singleLevel"/>
    <w:tmpl w:val="AB4FA5F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5DD4F13"/>
    <w:rsid w:val="1B2418A5"/>
    <w:rsid w:val="1FBFC074"/>
    <w:rsid w:val="22AC524A"/>
    <w:rsid w:val="236C49D9"/>
    <w:rsid w:val="27BE211A"/>
    <w:rsid w:val="30696528"/>
    <w:rsid w:val="36FB9E1F"/>
    <w:rsid w:val="387719FE"/>
    <w:rsid w:val="3BFA3B96"/>
    <w:rsid w:val="3CEF3472"/>
    <w:rsid w:val="3EFF16E9"/>
    <w:rsid w:val="40D21EC7"/>
    <w:rsid w:val="4680556C"/>
    <w:rsid w:val="49E30CA1"/>
    <w:rsid w:val="4BE56F53"/>
    <w:rsid w:val="4C095932"/>
    <w:rsid w:val="51632D16"/>
    <w:rsid w:val="55BF0815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left="0" w:leftChars="0" w:firstLine="420" w:firstLineChars="262"/>
    </w:pPr>
    <w:rPr>
      <w:rFonts w:hint="default" w:ascii="宋体" w:hAnsi="Calibri"/>
      <w:b/>
      <w:sz w:val="24"/>
      <w:szCs w:val="24"/>
    </w:rPr>
  </w:style>
  <w:style w:type="paragraph" w:styleId="3">
    <w:name w:val="Body Text Indent"/>
    <w:basedOn w:val="1"/>
    <w:next w:val="2"/>
    <w:qFormat/>
    <w:uiPriority w:val="0"/>
    <w:pPr>
      <w:ind w:firstLine="480"/>
    </w:pPr>
    <w:rPr>
      <w:rFonts w:ascii="宋体"/>
      <w:sz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62"/>
    </w:pPr>
    <w:rPr>
      <w:rFonts w:hAnsi="Calibri"/>
      <w:b/>
      <w:bCs/>
    </w:r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Char Char Char"/>
    <w:basedOn w:val="1"/>
    <w:qFormat/>
    <w:uiPriority w:val="0"/>
    <w:rPr>
      <w:szCs w:val="21"/>
    </w:rPr>
  </w:style>
  <w:style w:type="paragraph" w:customStyle="1" w:styleId="12">
    <w:name w:val="Char Char Char Char Char Char Char Char Char Char Char Char Char Char Char Char"/>
    <w:basedOn w:val="1"/>
    <w:qFormat/>
    <w:uiPriority w:val="0"/>
  </w:style>
  <w:style w:type="paragraph" w:customStyle="1" w:styleId="13">
    <w:name w:val=" Char Char Char"/>
    <w:basedOn w:val="1"/>
    <w:qFormat/>
    <w:uiPriority w:val="0"/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5054</Words>
  <Characters>5380</Characters>
  <Lines>60</Lines>
  <Paragraphs>17</Paragraphs>
  <TotalTime>17</TotalTime>
  <ScaleCrop>false</ScaleCrop>
  <LinksUpToDate>false</LinksUpToDate>
  <CharactersWithSpaces>5476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孟</cp:lastModifiedBy>
  <cp:lastPrinted>2014-02-21T05:34:00Z</cp:lastPrinted>
  <dcterms:modified xsi:type="dcterms:W3CDTF">2025-05-23T10:59:06Z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814CB8AA0C8A4E5390F2CFCD3AAEA105_13</vt:lpwstr>
  </property>
  <property fmtid="{D5CDD505-2E9C-101B-9397-08002B2CF9AE}" pid="4" name="KSOTemplateDocerSaveRecord">
    <vt:lpwstr>eyJoZGlkIjoiMDljYzUzMWQ4OWI0YzBkYjYzMDRhZTY5ZjZkYmFmYTgiLCJ1c2VySWQiOiI0NDE2NDU0NTgifQ==</vt:lpwstr>
  </property>
</Properties>
</file>