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5AB" w:rsidRPr="00D93209" w:rsidRDefault="003775AB" w:rsidP="003775AB">
      <w:pPr>
        <w:spacing w:afterLines="50" w:after="156" w:line="400" w:lineRule="exact"/>
        <w:jc w:val="center"/>
        <w:rPr>
          <w:rFonts w:ascii="仿宋" w:eastAsia="仿宋" w:hAnsi="仿宋" w:cs="方正小标宋_GBK"/>
          <w:b/>
          <w:bCs/>
          <w:iCs/>
          <w:color w:val="000000"/>
          <w:sz w:val="28"/>
          <w:szCs w:val="28"/>
        </w:rPr>
      </w:pPr>
      <w:r w:rsidRPr="00D93209">
        <w:rPr>
          <w:rFonts w:ascii="仿宋" w:eastAsia="仿宋" w:hAnsi="仿宋" w:cs="方正小标宋_GBK" w:hint="eastAsia"/>
          <w:b/>
          <w:bCs/>
          <w:iCs/>
          <w:color w:val="000000"/>
          <w:sz w:val="28"/>
          <w:szCs w:val="28"/>
        </w:rPr>
        <w:t>证券代码：60</w:t>
      </w:r>
      <w:r w:rsidR="00B72528" w:rsidRPr="00D93209">
        <w:rPr>
          <w:rFonts w:ascii="仿宋" w:eastAsia="仿宋" w:hAnsi="仿宋" w:cs="方正小标宋_GBK"/>
          <w:b/>
          <w:bCs/>
          <w:iCs/>
          <w:color w:val="000000"/>
          <w:sz w:val="28"/>
          <w:szCs w:val="28"/>
        </w:rPr>
        <w:t>3153</w:t>
      </w:r>
      <w:r w:rsidRPr="00D93209">
        <w:rPr>
          <w:rFonts w:ascii="仿宋" w:eastAsia="仿宋" w:hAnsi="仿宋" w:cs="方正小标宋_GBK" w:hint="eastAsia"/>
          <w:b/>
          <w:bCs/>
          <w:iCs/>
          <w:color w:val="000000"/>
          <w:sz w:val="28"/>
          <w:szCs w:val="28"/>
        </w:rPr>
        <w:t xml:space="preserve">    </w:t>
      </w:r>
      <w:r w:rsidR="006B58DB">
        <w:rPr>
          <w:rFonts w:ascii="仿宋" w:eastAsia="仿宋" w:hAnsi="仿宋" w:cs="方正小标宋_GBK" w:hint="eastAsia"/>
          <w:b/>
          <w:bCs/>
          <w:iCs/>
          <w:color w:val="000000"/>
          <w:sz w:val="28"/>
          <w:szCs w:val="28"/>
        </w:rPr>
        <w:t xml:space="preserve">                      </w:t>
      </w:r>
      <w:r w:rsidRPr="00D93209">
        <w:rPr>
          <w:rFonts w:ascii="仿宋" w:eastAsia="仿宋" w:hAnsi="仿宋" w:cs="方正小标宋_GBK" w:hint="eastAsia"/>
          <w:b/>
          <w:bCs/>
          <w:iCs/>
          <w:color w:val="000000"/>
          <w:sz w:val="28"/>
          <w:szCs w:val="28"/>
        </w:rPr>
        <w:t>证券简称：</w:t>
      </w:r>
      <w:r w:rsidR="00B72528" w:rsidRPr="00D93209">
        <w:rPr>
          <w:rFonts w:ascii="仿宋" w:eastAsia="仿宋" w:hAnsi="仿宋" w:cs="方正小标宋_GBK" w:hint="eastAsia"/>
          <w:b/>
          <w:bCs/>
          <w:iCs/>
          <w:color w:val="000000"/>
          <w:sz w:val="28"/>
          <w:szCs w:val="28"/>
        </w:rPr>
        <w:t>上海建科</w:t>
      </w:r>
    </w:p>
    <w:p w:rsidR="00D93209" w:rsidRPr="00D93209" w:rsidRDefault="00B72528" w:rsidP="00D93209">
      <w:pPr>
        <w:jc w:val="center"/>
        <w:rPr>
          <w:rFonts w:ascii="黑体" w:eastAsia="黑体" w:hAnsi="黑体"/>
          <w:sz w:val="40"/>
          <w:szCs w:val="40"/>
        </w:rPr>
      </w:pPr>
      <w:r w:rsidRPr="00D93209">
        <w:rPr>
          <w:rFonts w:ascii="黑体" w:eastAsia="黑体" w:hAnsi="黑体" w:hint="eastAsia"/>
          <w:sz w:val="40"/>
          <w:szCs w:val="40"/>
        </w:rPr>
        <w:t>上海建科</w:t>
      </w:r>
      <w:r w:rsidR="0058260B">
        <w:rPr>
          <w:rFonts w:ascii="黑体" w:eastAsia="黑体" w:hAnsi="黑体" w:hint="eastAsia"/>
          <w:sz w:val="40"/>
          <w:szCs w:val="40"/>
        </w:rPr>
        <w:t>咨询</w:t>
      </w:r>
      <w:r w:rsidRPr="00D93209">
        <w:rPr>
          <w:rFonts w:ascii="黑体" w:eastAsia="黑体" w:hAnsi="黑体" w:hint="eastAsia"/>
          <w:sz w:val="40"/>
          <w:szCs w:val="40"/>
        </w:rPr>
        <w:t>集团股份有限公司</w:t>
      </w:r>
    </w:p>
    <w:p w:rsidR="003775AB" w:rsidRPr="00D93209" w:rsidRDefault="00D93209" w:rsidP="00D93209">
      <w:pPr>
        <w:jc w:val="center"/>
        <w:rPr>
          <w:rFonts w:ascii="黑体" w:eastAsia="黑体" w:hAnsi="黑体"/>
          <w:sz w:val="40"/>
          <w:szCs w:val="40"/>
        </w:rPr>
      </w:pPr>
      <w:r w:rsidRPr="00D93209">
        <w:rPr>
          <w:rFonts w:ascii="黑体" w:eastAsia="黑体" w:hAnsi="黑体" w:hint="eastAsia"/>
          <w:sz w:val="40"/>
          <w:szCs w:val="40"/>
        </w:rPr>
        <w:t>投资者关系活动记录表</w:t>
      </w:r>
    </w:p>
    <w:p w:rsidR="003775AB" w:rsidRDefault="00D93209" w:rsidP="00B010CB">
      <w:pPr>
        <w:spacing w:line="400" w:lineRule="exact"/>
        <w:ind w:rightChars="-135" w:right="-283"/>
        <w:jc w:val="right"/>
        <w:rPr>
          <w:rFonts w:ascii="方正楷体_GBK" w:eastAsia="方正楷体_GBK" w:hAnsi="宋体"/>
          <w:bCs/>
          <w:iCs/>
          <w:color w:val="000000"/>
          <w:szCs w:val="21"/>
        </w:rPr>
      </w:pPr>
      <w:r>
        <w:rPr>
          <w:rFonts w:ascii="宋体" w:hAnsi="宋体" w:hint="eastAsia"/>
          <w:bCs/>
          <w:iCs/>
          <w:color w:val="000000"/>
          <w:sz w:val="24"/>
        </w:rPr>
        <w:t>编号：2</w:t>
      </w:r>
      <w:r>
        <w:rPr>
          <w:rFonts w:ascii="宋体" w:hAnsi="宋体"/>
          <w:bCs/>
          <w:iCs/>
          <w:color w:val="000000"/>
          <w:sz w:val="24"/>
        </w:rPr>
        <w:t>02</w:t>
      </w:r>
      <w:r w:rsidR="00224601">
        <w:rPr>
          <w:rFonts w:ascii="宋体" w:hAnsi="宋体"/>
          <w:bCs/>
          <w:iCs/>
          <w:color w:val="000000"/>
          <w:sz w:val="24"/>
        </w:rPr>
        <w:t>5</w:t>
      </w:r>
      <w:r>
        <w:rPr>
          <w:rFonts w:ascii="宋体" w:hAnsi="宋体"/>
          <w:bCs/>
          <w:iCs/>
          <w:color w:val="000000"/>
          <w:sz w:val="24"/>
        </w:rPr>
        <w:t>-00</w:t>
      </w:r>
      <w:r w:rsidR="00224601">
        <w:rPr>
          <w:rFonts w:ascii="宋体" w:hAnsi="宋体"/>
          <w:bCs/>
          <w:iCs/>
          <w:color w:val="000000"/>
          <w:sz w:val="24"/>
        </w:rPr>
        <w:t>1</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9"/>
        <w:gridCol w:w="7164"/>
      </w:tblGrid>
      <w:tr w:rsidR="003775AB" w:rsidRPr="000F49E6" w:rsidTr="000F49E6">
        <w:trPr>
          <w:trHeight w:val="1020"/>
          <w:jc w:val="center"/>
        </w:trPr>
        <w:tc>
          <w:tcPr>
            <w:tcW w:w="1739" w:type="dxa"/>
            <w:vAlign w:val="center"/>
          </w:tcPr>
          <w:p w:rsidR="003775AB" w:rsidRPr="000F49E6" w:rsidRDefault="003775AB" w:rsidP="000F49E6">
            <w:pPr>
              <w:snapToGrid w:val="0"/>
              <w:spacing w:line="360" w:lineRule="auto"/>
              <w:rPr>
                <w:rFonts w:ascii="宋体" w:hAnsi="宋体" w:cs="方正黑体_GBK"/>
                <w:bCs/>
                <w:iCs/>
                <w:color w:val="000000"/>
                <w:sz w:val="24"/>
              </w:rPr>
            </w:pPr>
            <w:r w:rsidRPr="000F49E6">
              <w:rPr>
                <w:rFonts w:ascii="宋体" w:hAnsi="宋体" w:cs="方正黑体_GBK" w:hint="eastAsia"/>
                <w:bCs/>
                <w:iCs/>
                <w:color w:val="000000"/>
                <w:sz w:val="24"/>
              </w:rPr>
              <w:t>活动类别</w:t>
            </w:r>
          </w:p>
        </w:tc>
        <w:tc>
          <w:tcPr>
            <w:tcW w:w="7164" w:type="dxa"/>
            <w:tcBorders>
              <w:bottom w:val="single" w:sz="4" w:space="0" w:color="auto"/>
            </w:tcBorders>
            <w:vAlign w:val="center"/>
          </w:tcPr>
          <w:p w:rsidR="00B23B6D" w:rsidRPr="000F49E6" w:rsidRDefault="00B10E8D" w:rsidP="000F49E6">
            <w:pPr>
              <w:autoSpaceDE w:val="0"/>
              <w:autoSpaceDN w:val="0"/>
              <w:adjustRightInd w:val="0"/>
              <w:snapToGrid w:val="0"/>
              <w:spacing w:line="360" w:lineRule="auto"/>
              <w:rPr>
                <w:rFonts w:ascii="宋体" w:hAnsi="宋体" w:cs="MS Mincho"/>
                <w:sz w:val="24"/>
              </w:rPr>
            </w:pPr>
            <w:r w:rsidRPr="000F49E6">
              <w:rPr>
                <w:rFonts w:ascii="宋体" w:hAnsi="宋体" w:cs="MS Mincho" w:hint="eastAsia"/>
                <w:sz w:val="24"/>
              </w:rPr>
              <w:t>□</w:t>
            </w:r>
            <w:r w:rsidR="003775AB" w:rsidRPr="000F49E6">
              <w:rPr>
                <w:rFonts w:ascii="宋体" w:hAnsi="宋体" w:cs="MS Mincho" w:hint="eastAsia"/>
                <w:sz w:val="24"/>
              </w:rPr>
              <w:t>特定对象调研</w:t>
            </w:r>
            <w:r w:rsidR="003775AB" w:rsidRPr="000F49E6">
              <w:rPr>
                <w:rFonts w:ascii="宋体" w:hAnsi="宋体" w:cs="MS Mincho"/>
                <w:sz w:val="24"/>
              </w:rPr>
              <w:t xml:space="preserve">      </w:t>
            </w:r>
            <w:r w:rsidR="003775AB" w:rsidRPr="000F49E6">
              <w:rPr>
                <w:rFonts w:ascii="宋体" w:hAnsi="宋体" w:cs="MS Mincho" w:hint="eastAsia"/>
                <w:sz w:val="24"/>
              </w:rPr>
              <w:t>□现场参观        □媒体采访</w:t>
            </w:r>
          </w:p>
          <w:p w:rsidR="00B23B6D" w:rsidRPr="000F49E6" w:rsidRDefault="00050320" w:rsidP="000F49E6">
            <w:pPr>
              <w:autoSpaceDE w:val="0"/>
              <w:autoSpaceDN w:val="0"/>
              <w:adjustRightInd w:val="0"/>
              <w:snapToGrid w:val="0"/>
              <w:spacing w:line="360" w:lineRule="auto"/>
              <w:rPr>
                <w:rFonts w:ascii="宋体" w:hAnsi="宋体" w:cs="MS Mincho"/>
                <w:sz w:val="24"/>
              </w:rPr>
            </w:pPr>
            <w:r w:rsidRPr="000F49E6">
              <w:rPr>
                <w:rFonts w:ascii="宋体" w:hAnsi="宋体" w:cs="MS Mincho" w:hint="eastAsia"/>
                <w:sz w:val="24"/>
              </w:rPr>
              <w:t>□</w:t>
            </w:r>
            <w:r w:rsidR="003775AB" w:rsidRPr="000F49E6">
              <w:rPr>
                <w:rFonts w:ascii="宋体" w:hAnsi="宋体" w:cs="MS Mincho" w:hint="eastAsia"/>
                <w:sz w:val="24"/>
              </w:rPr>
              <w:t>券商策略会</w:t>
            </w:r>
            <w:r w:rsidR="00B23B6D" w:rsidRPr="000F49E6">
              <w:rPr>
                <w:rFonts w:ascii="宋体" w:hAnsi="宋体" w:cs="MS Mincho" w:hint="eastAsia"/>
                <w:sz w:val="24"/>
              </w:rPr>
              <w:t xml:space="preserve"> </w:t>
            </w:r>
            <w:r w:rsidR="00B23B6D" w:rsidRPr="000F49E6">
              <w:rPr>
                <w:rFonts w:ascii="宋体" w:hAnsi="宋体" w:cs="MS Mincho"/>
                <w:sz w:val="24"/>
              </w:rPr>
              <w:t xml:space="preserve">       </w:t>
            </w:r>
            <w:bookmarkStart w:id="0" w:name="OLE_LINK1"/>
            <w:bookmarkStart w:id="1" w:name="OLE_LINK2"/>
            <w:r w:rsidR="006F056D" w:rsidRPr="000F49E6">
              <w:rPr>
                <w:rFonts w:ascii="宋体" w:hAnsi="宋体" w:cs="MS Mincho" w:hint="eastAsia"/>
                <w:sz w:val="24"/>
              </w:rPr>
              <w:t>□</w:t>
            </w:r>
            <w:bookmarkEnd w:id="0"/>
            <w:bookmarkEnd w:id="1"/>
            <w:r w:rsidR="003775AB" w:rsidRPr="000F49E6">
              <w:rPr>
                <w:rFonts w:ascii="宋体" w:hAnsi="宋体" w:cs="MS Mincho" w:hint="eastAsia"/>
                <w:sz w:val="24"/>
              </w:rPr>
              <w:t>业绩说明会</w:t>
            </w:r>
            <w:r w:rsidR="00B23B6D" w:rsidRPr="000F49E6">
              <w:rPr>
                <w:rFonts w:ascii="宋体" w:hAnsi="宋体" w:cs="MS Mincho" w:hint="eastAsia"/>
                <w:sz w:val="24"/>
              </w:rPr>
              <w:t xml:space="preserve">      </w:t>
            </w:r>
            <w:r w:rsidR="003775AB" w:rsidRPr="000F49E6">
              <w:rPr>
                <w:rFonts w:ascii="宋体" w:hAnsi="宋体" w:cs="MS Mincho" w:hint="eastAsia"/>
                <w:sz w:val="24"/>
              </w:rPr>
              <w:t>□新闻发布会</w:t>
            </w:r>
          </w:p>
          <w:p w:rsidR="003775AB" w:rsidRPr="000F49E6" w:rsidRDefault="00DA7E66" w:rsidP="000F49E6">
            <w:pPr>
              <w:autoSpaceDE w:val="0"/>
              <w:autoSpaceDN w:val="0"/>
              <w:adjustRightInd w:val="0"/>
              <w:snapToGrid w:val="0"/>
              <w:spacing w:line="360" w:lineRule="auto"/>
              <w:rPr>
                <w:rFonts w:ascii="宋体" w:hAnsi="宋体" w:cs="MS Mincho"/>
                <w:sz w:val="24"/>
              </w:rPr>
            </w:pPr>
            <w:r w:rsidRPr="000F49E6">
              <w:rPr>
                <w:rFonts w:ascii="宋体" w:hAnsi="宋体" w:cs="MS Mincho" w:hint="eastAsia"/>
                <w:sz w:val="24"/>
              </w:rPr>
              <w:t>□</w:t>
            </w:r>
            <w:r w:rsidR="003775AB" w:rsidRPr="000F49E6">
              <w:rPr>
                <w:rFonts w:ascii="宋体" w:hAnsi="宋体" w:cs="MS Mincho" w:hint="eastAsia"/>
                <w:sz w:val="24"/>
              </w:rPr>
              <w:t>路演活动</w:t>
            </w:r>
            <w:r w:rsidR="003775AB" w:rsidRPr="000F49E6">
              <w:rPr>
                <w:rFonts w:ascii="宋体" w:hAnsi="宋体" w:cs="MS Mincho"/>
                <w:sz w:val="24"/>
              </w:rPr>
              <w:t xml:space="preserve">     </w:t>
            </w:r>
            <w:r w:rsidR="00B23B6D" w:rsidRPr="000F49E6">
              <w:rPr>
                <w:rFonts w:ascii="宋体" w:hAnsi="宋体" w:cs="MS Mincho"/>
                <w:sz w:val="24"/>
              </w:rPr>
              <w:t xml:space="preserve">     </w:t>
            </w:r>
            <w:r w:rsidR="00B10E8D" w:rsidRPr="000F49E6">
              <w:rPr>
                <w:rFonts w:ascii="宋体" w:hAnsi="宋体" w:cs="MS Mincho" w:hint="eastAsia"/>
                <w:sz w:val="24"/>
              </w:rPr>
              <w:sym w:font="Wingdings" w:char="F0FE"/>
            </w:r>
            <w:r w:rsidR="003775AB" w:rsidRPr="000F49E6">
              <w:rPr>
                <w:rFonts w:ascii="宋体" w:hAnsi="宋体" w:cs="MS Mincho" w:hint="eastAsia"/>
                <w:sz w:val="24"/>
              </w:rPr>
              <w:t>电话会议</w:t>
            </w:r>
          </w:p>
        </w:tc>
      </w:tr>
      <w:tr w:rsidR="003775AB" w:rsidRPr="000F49E6" w:rsidTr="003017C3">
        <w:trPr>
          <w:trHeight w:val="567"/>
          <w:jc w:val="center"/>
        </w:trPr>
        <w:tc>
          <w:tcPr>
            <w:tcW w:w="1739" w:type="dxa"/>
            <w:vAlign w:val="center"/>
          </w:tcPr>
          <w:p w:rsidR="003775AB" w:rsidRPr="000F49E6" w:rsidRDefault="003775AB" w:rsidP="003017C3">
            <w:pPr>
              <w:snapToGrid w:val="0"/>
              <w:spacing w:line="360" w:lineRule="auto"/>
              <w:rPr>
                <w:rFonts w:ascii="宋体" w:hAnsi="宋体" w:cs="方正黑体_GBK"/>
                <w:bCs/>
                <w:iCs/>
                <w:color w:val="000000"/>
                <w:sz w:val="24"/>
              </w:rPr>
            </w:pPr>
            <w:r w:rsidRPr="000F49E6">
              <w:rPr>
                <w:rFonts w:ascii="宋体" w:hAnsi="宋体" w:cs="方正黑体_GBK" w:hint="eastAsia"/>
                <w:bCs/>
                <w:iCs/>
                <w:color w:val="000000"/>
                <w:sz w:val="24"/>
              </w:rPr>
              <w:t>活动时间</w:t>
            </w:r>
          </w:p>
        </w:tc>
        <w:tc>
          <w:tcPr>
            <w:tcW w:w="7164" w:type="dxa"/>
            <w:tcBorders>
              <w:top w:val="single" w:sz="4" w:space="0" w:color="auto"/>
            </w:tcBorders>
            <w:vAlign w:val="center"/>
          </w:tcPr>
          <w:p w:rsidR="003775AB" w:rsidRPr="000F49E6" w:rsidRDefault="00464A0B" w:rsidP="00224601">
            <w:pPr>
              <w:autoSpaceDE w:val="0"/>
              <w:autoSpaceDN w:val="0"/>
              <w:adjustRightInd w:val="0"/>
              <w:snapToGrid w:val="0"/>
              <w:spacing w:line="360" w:lineRule="auto"/>
              <w:rPr>
                <w:rFonts w:ascii="宋体" w:hAnsi="宋体" w:cs="MS Mincho"/>
                <w:sz w:val="24"/>
              </w:rPr>
            </w:pPr>
            <w:r w:rsidRPr="000F49E6">
              <w:rPr>
                <w:rFonts w:ascii="宋体" w:hAnsi="宋体" w:cs="MS Mincho"/>
                <w:sz w:val="24"/>
              </w:rPr>
              <w:t>202</w:t>
            </w:r>
            <w:r w:rsidR="00224601">
              <w:rPr>
                <w:rFonts w:ascii="宋体" w:hAnsi="宋体" w:cs="MS Mincho"/>
                <w:sz w:val="24"/>
              </w:rPr>
              <w:t>5</w:t>
            </w:r>
            <w:r w:rsidRPr="000F49E6">
              <w:rPr>
                <w:rFonts w:ascii="宋体" w:hAnsi="宋体" w:cs="MS Mincho"/>
                <w:sz w:val="24"/>
              </w:rPr>
              <w:t>年</w:t>
            </w:r>
            <w:r w:rsidR="00224601">
              <w:rPr>
                <w:rFonts w:ascii="宋体" w:hAnsi="宋体" w:cs="MS Mincho"/>
                <w:sz w:val="24"/>
              </w:rPr>
              <w:t>5</w:t>
            </w:r>
            <w:r w:rsidRPr="000F49E6">
              <w:rPr>
                <w:rFonts w:ascii="宋体" w:hAnsi="宋体" w:cs="MS Mincho" w:hint="eastAsia"/>
                <w:sz w:val="24"/>
              </w:rPr>
              <w:t>月</w:t>
            </w:r>
            <w:r w:rsidR="00224601">
              <w:rPr>
                <w:rFonts w:ascii="宋体" w:hAnsi="宋体" w:cs="MS Mincho"/>
                <w:sz w:val="24"/>
              </w:rPr>
              <w:t>23</w:t>
            </w:r>
            <w:r w:rsidRPr="000F49E6">
              <w:rPr>
                <w:rFonts w:ascii="宋体" w:hAnsi="宋体" w:cs="MS Mincho" w:hint="eastAsia"/>
                <w:sz w:val="24"/>
              </w:rPr>
              <w:t>日</w:t>
            </w:r>
            <w:r w:rsidRPr="000F49E6">
              <w:rPr>
                <w:rFonts w:ascii="宋体" w:hAnsi="宋体" w:cs="MS Mincho"/>
                <w:sz w:val="24"/>
              </w:rPr>
              <w:t>（星期</w:t>
            </w:r>
            <w:r w:rsidR="008E6AC9">
              <w:rPr>
                <w:rFonts w:ascii="宋体" w:hAnsi="宋体" w:cs="MS Mincho" w:hint="eastAsia"/>
                <w:sz w:val="24"/>
              </w:rPr>
              <w:t>五</w:t>
            </w:r>
            <w:r w:rsidRPr="000F49E6">
              <w:rPr>
                <w:rFonts w:ascii="宋体" w:hAnsi="宋体" w:cs="MS Mincho"/>
                <w:sz w:val="24"/>
              </w:rPr>
              <w:t>）</w:t>
            </w:r>
            <w:r w:rsidR="00224601">
              <w:rPr>
                <w:rFonts w:ascii="宋体" w:hAnsi="宋体" w:cs="MS Mincho" w:hint="eastAsia"/>
                <w:sz w:val="24"/>
              </w:rPr>
              <w:t>上</w:t>
            </w:r>
            <w:r w:rsidRPr="000F49E6">
              <w:rPr>
                <w:rFonts w:ascii="宋体" w:hAnsi="宋体" w:cs="MS Mincho"/>
                <w:sz w:val="24"/>
              </w:rPr>
              <w:t>午</w:t>
            </w:r>
            <w:r w:rsidR="00224601">
              <w:rPr>
                <w:rFonts w:ascii="宋体" w:hAnsi="宋体" w:cs="MS Mincho"/>
                <w:sz w:val="24"/>
              </w:rPr>
              <w:t>9</w:t>
            </w:r>
            <w:r w:rsidRPr="000F49E6">
              <w:rPr>
                <w:rFonts w:ascii="宋体" w:hAnsi="宋体" w:cs="MS Mincho" w:hint="eastAsia"/>
                <w:sz w:val="24"/>
              </w:rPr>
              <w:t>:00-</w:t>
            </w:r>
            <w:r w:rsidR="006F056D" w:rsidRPr="000F49E6">
              <w:rPr>
                <w:rFonts w:ascii="宋体" w:hAnsi="宋体" w:cs="MS Mincho"/>
                <w:sz w:val="24"/>
              </w:rPr>
              <w:t>1</w:t>
            </w:r>
            <w:r w:rsidR="00224601">
              <w:rPr>
                <w:rFonts w:ascii="宋体" w:hAnsi="宋体" w:cs="MS Mincho"/>
                <w:sz w:val="24"/>
              </w:rPr>
              <w:t>0</w:t>
            </w:r>
            <w:r w:rsidRPr="000F49E6">
              <w:rPr>
                <w:rFonts w:ascii="宋体" w:hAnsi="宋体" w:cs="MS Mincho" w:hint="eastAsia"/>
                <w:sz w:val="24"/>
              </w:rPr>
              <w:t>:0</w:t>
            </w:r>
            <w:r w:rsidRPr="000F49E6">
              <w:rPr>
                <w:rFonts w:ascii="宋体" w:hAnsi="宋体" w:cs="MS Mincho"/>
                <w:sz w:val="24"/>
              </w:rPr>
              <w:t>0</w:t>
            </w:r>
          </w:p>
        </w:tc>
      </w:tr>
      <w:tr w:rsidR="00B72528" w:rsidRPr="000F49E6" w:rsidTr="000F49E6">
        <w:trPr>
          <w:trHeight w:val="567"/>
          <w:jc w:val="center"/>
        </w:trPr>
        <w:tc>
          <w:tcPr>
            <w:tcW w:w="1739" w:type="dxa"/>
            <w:vAlign w:val="center"/>
          </w:tcPr>
          <w:p w:rsidR="00B72528" w:rsidRPr="000F49E6" w:rsidRDefault="00B72528" w:rsidP="000F49E6">
            <w:pPr>
              <w:autoSpaceDE w:val="0"/>
              <w:autoSpaceDN w:val="0"/>
              <w:adjustRightInd w:val="0"/>
              <w:snapToGrid w:val="0"/>
              <w:spacing w:line="360" w:lineRule="auto"/>
              <w:rPr>
                <w:rFonts w:ascii="宋体" w:hAnsi="宋体" w:cs="MS Mincho"/>
                <w:sz w:val="24"/>
              </w:rPr>
            </w:pPr>
            <w:r w:rsidRPr="000F49E6">
              <w:rPr>
                <w:rFonts w:ascii="宋体" w:hAnsi="宋体" w:cs="MS Mincho" w:hint="eastAsia"/>
                <w:sz w:val="24"/>
              </w:rPr>
              <w:t>活动地点</w:t>
            </w:r>
          </w:p>
        </w:tc>
        <w:tc>
          <w:tcPr>
            <w:tcW w:w="7164" w:type="dxa"/>
            <w:vAlign w:val="center"/>
          </w:tcPr>
          <w:p w:rsidR="00B72528" w:rsidRPr="000F49E6" w:rsidRDefault="001D2CD2" w:rsidP="000F49E6">
            <w:pPr>
              <w:autoSpaceDE w:val="0"/>
              <w:autoSpaceDN w:val="0"/>
              <w:adjustRightInd w:val="0"/>
              <w:snapToGrid w:val="0"/>
              <w:spacing w:line="360" w:lineRule="auto"/>
              <w:rPr>
                <w:rFonts w:ascii="宋体" w:hAnsi="宋体" w:cs="MS Mincho"/>
                <w:sz w:val="24"/>
              </w:rPr>
            </w:pPr>
            <w:r>
              <w:rPr>
                <w:rFonts w:ascii="宋体" w:hAnsi="宋体" w:cs="MS Mincho" w:hint="eastAsia"/>
                <w:sz w:val="24"/>
              </w:rPr>
              <w:t>线上电话会议</w:t>
            </w:r>
          </w:p>
        </w:tc>
      </w:tr>
      <w:tr w:rsidR="003775AB" w:rsidRPr="000F49E6" w:rsidTr="000B70EA">
        <w:trPr>
          <w:trHeight w:val="826"/>
          <w:jc w:val="center"/>
        </w:trPr>
        <w:tc>
          <w:tcPr>
            <w:tcW w:w="1739" w:type="dxa"/>
            <w:vAlign w:val="center"/>
          </w:tcPr>
          <w:p w:rsidR="003775AB" w:rsidRPr="000F49E6" w:rsidRDefault="003775AB" w:rsidP="000F49E6">
            <w:pPr>
              <w:autoSpaceDE w:val="0"/>
              <w:autoSpaceDN w:val="0"/>
              <w:adjustRightInd w:val="0"/>
              <w:snapToGrid w:val="0"/>
              <w:spacing w:line="360" w:lineRule="auto"/>
              <w:rPr>
                <w:rFonts w:ascii="宋体" w:hAnsi="宋体" w:cs="MS Mincho"/>
                <w:sz w:val="24"/>
              </w:rPr>
            </w:pPr>
            <w:r w:rsidRPr="000F49E6">
              <w:rPr>
                <w:rFonts w:ascii="宋体" w:hAnsi="宋体" w:cs="MS Mincho" w:hint="eastAsia"/>
                <w:sz w:val="24"/>
              </w:rPr>
              <w:t>公司接待人员</w:t>
            </w:r>
          </w:p>
        </w:tc>
        <w:tc>
          <w:tcPr>
            <w:tcW w:w="7164" w:type="dxa"/>
            <w:vAlign w:val="center"/>
          </w:tcPr>
          <w:p w:rsidR="003775AB" w:rsidRPr="000F49E6" w:rsidRDefault="00B23B6D" w:rsidP="00224601">
            <w:pPr>
              <w:autoSpaceDE w:val="0"/>
              <w:autoSpaceDN w:val="0"/>
              <w:adjustRightInd w:val="0"/>
              <w:snapToGrid w:val="0"/>
              <w:spacing w:line="360" w:lineRule="auto"/>
              <w:rPr>
                <w:rFonts w:ascii="宋体" w:hAnsi="宋体" w:cs="MS Mincho"/>
                <w:sz w:val="24"/>
              </w:rPr>
            </w:pPr>
            <w:r w:rsidRPr="000F49E6">
              <w:rPr>
                <w:rFonts w:ascii="宋体" w:hAnsi="宋体" w:cs="MS Mincho" w:hint="eastAsia"/>
                <w:sz w:val="24"/>
              </w:rPr>
              <w:t>董事会秘书常旺玲女士</w:t>
            </w:r>
            <w:r w:rsidR="006F056D" w:rsidRPr="000F49E6">
              <w:rPr>
                <w:rFonts w:ascii="宋体" w:hAnsi="宋体" w:cs="MS Mincho" w:hint="eastAsia"/>
                <w:sz w:val="24"/>
              </w:rPr>
              <w:t>，</w:t>
            </w:r>
            <w:r w:rsidR="00B10E8D" w:rsidRPr="000F49E6">
              <w:rPr>
                <w:rFonts w:ascii="宋体" w:hAnsi="宋体" w:cs="MS Mincho" w:hint="eastAsia"/>
                <w:sz w:val="24"/>
              </w:rPr>
              <w:t>董事会办公室主任刘庆荣先生，</w:t>
            </w:r>
            <w:r w:rsidR="006F056D" w:rsidRPr="000F49E6">
              <w:rPr>
                <w:rFonts w:ascii="宋体" w:hAnsi="宋体" w:cs="MS Mincho" w:hint="eastAsia"/>
                <w:sz w:val="24"/>
              </w:rPr>
              <w:t>证券事务代表邓晓梦女士</w:t>
            </w:r>
            <w:r w:rsidR="00224601">
              <w:rPr>
                <w:rFonts w:ascii="宋体" w:hAnsi="宋体" w:cs="MS Mincho" w:hint="eastAsia"/>
                <w:sz w:val="24"/>
              </w:rPr>
              <w:t>，资产财务部高级主管曹娴女士</w:t>
            </w:r>
          </w:p>
        </w:tc>
      </w:tr>
      <w:tr w:rsidR="003775AB" w:rsidRPr="000F49E6" w:rsidTr="00D93209">
        <w:trPr>
          <w:trHeight w:val="567"/>
          <w:jc w:val="center"/>
        </w:trPr>
        <w:tc>
          <w:tcPr>
            <w:tcW w:w="1739" w:type="dxa"/>
            <w:vAlign w:val="center"/>
          </w:tcPr>
          <w:p w:rsidR="003775AB" w:rsidRPr="000F49E6" w:rsidRDefault="003775AB" w:rsidP="000F49E6">
            <w:pPr>
              <w:autoSpaceDE w:val="0"/>
              <w:autoSpaceDN w:val="0"/>
              <w:adjustRightInd w:val="0"/>
              <w:snapToGrid w:val="0"/>
              <w:spacing w:line="360" w:lineRule="auto"/>
              <w:rPr>
                <w:rFonts w:ascii="宋体" w:hAnsi="宋体" w:cs="MS Mincho"/>
                <w:sz w:val="24"/>
              </w:rPr>
            </w:pPr>
            <w:r w:rsidRPr="000F49E6">
              <w:rPr>
                <w:rFonts w:ascii="宋体" w:hAnsi="宋体" w:cs="MS Mincho" w:hint="eastAsia"/>
                <w:sz w:val="24"/>
              </w:rPr>
              <w:t>参与单位名称及人员</w:t>
            </w:r>
          </w:p>
        </w:tc>
        <w:tc>
          <w:tcPr>
            <w:tcW w:w="7164" w:type="dxa"/>
            <w:vAlign w:val="center"/>
          </w:tcPr>
          <w:p w:rsidR="0074566A" w:rsidRDefault="0074566A" w:rsidP="0074566A">
            <w:pPr>
              <w:autoSpaceDE w:val="0"/>
              <w:autoSpaceDN w:val="0"/>
              <w:adjustRightInd w:val="0"/>
              <w:snapToGrid w:val="0"/>
              <w:spacing w:line="360" w:lineRule="auto"/>
              <w:rPr>
                <w:rFonts w:ascii="宋体" w:hAnsi="宋体"/>
                <w:sz w:val="24"/>
              </w:rPr>
            </w:pPr>
            <w:r w:rsidRPr="000F49E6">
              <w:rPr>
                <w:rFonts w:ascii="宋体" w:hAnsi="宋体" w:hint="eastAsia"/>
                <w:sz w:val="24"/>
              </w:rPr>
              <w:t>以</w:t>
            </w:r>
            <w:r>
              <w:rPr>
                <w:rFonts w:ascii="宋体" w:hAnsi="宋体" w:hint="eastAsia"/>
                <w:sz w:val="24"/>
              </w:rPr>
              <w:t>下排名不分先后：</w:t>
            </w:r>
          </w:p>
          <w:p w:rsidR="003775AB" w:rsidRPr="00B10E8D" w:rsidRDefault="00B10E8D" w:rsidP="00224601">
            <w:pPr>
              <w:autoSpaceDE w:val="0"/>
              <w:autoSpaceDN w:val="0"/>
              <w:adjustRightInd w:val="0"/>
              <w:snapToGrid w:val="0"/>
              <w:spacing w:line="360" w:lineRule="auto"/>
              <w:rPr>
                <w:rFonts w:ascii="宋体" w:hAnsi="宋体"/>
                <w:sz w:val="24"/>
              </w:rPr>
            </w:pPr>
            <w:r w:rsidRPr="00B10E8D">
              <w:rPr>
                <w:rFonts w:ascii="宋体" w:hAnsi="宋体" w:hint="eastAsia"/>
                <w:sz w:val="24"/>
              </w:rPr>
              <w:t>龙天光</w:t>
            </w:r>
            <w:r>
              <w:rPr>
                <w:rFonts w:ascii="宋体" w:hAnsi="宋体" w:hint="eastAsia"/>
                <w:sz w:val="24"/>
              </w:rPr>
              <w:t>（</w:t>
            </w:r>
            <w:r w:rsidRPr="00B10E8D">
              <w:rPr>
                <w:rFonts w:ascii="宋体" w:hAnsi="宋体" w:hint="eastAsia"/>
                <w:sz w:val="24"/>
              </w:rPr>
              <w:t>银河证券</w:t>
            </w:r>
            <w:r>
              <w:rPr>
                <w:rFonts w:ascii="宋体" w:hAnsi="宋体" w:hint="eastAsia"/>
                <w:sz w:val="24"/>
              </w:rPr>
              <w:t>），</w:t>
            </w:r>
            <w:r w:rsidRPr="00B10E8D">
              <w:rPr>
                <w:rFonts w:ascii="宋体" w:hAnsi="宋体" w:hint="eastAsia"/>
                <w:sz w:val="24"/>
              </w:rPr>
              <w:t>张渌荻</w:t>
            </w:r>
            <w:r>
              <w:rPr>
                <w:rFonts w:ascii="宋体" w:hAnsi="宋体" w:hint="eastAsia"/>
                <w:sz w:val="24"/>
              </w:rPr>
              <w:t>（</w:t>
            </w:r>
            <w:r w:rsidRPr="00B10E8D">
              <w:rPr>
                <w:rFonts w:ascii="宋体" w:hAnsi="宋体" w:hint="eastAsia"/>
                <w:sz w:val="24"/>
              </w:rPr>
              <w:t>银河证券</w:t>
            </w:r>
            <w:r>
              <w:rPr>
                <w:rFonts w:ascii="宋体" w:hAnsi="宋体" w:hint="eastAsia"/>
                <w:sz w:val="24"/>
              </w:rPr>
              <w:t>），</w:t>
            </w:r>
            <w:r w:rsidR="00224601" w:rsidRPr="00224601">
              <w:rPr>
                <w:rFonts w:ascii="宋体" w:hAnsi="宋体" w:hint="eastAsia"/>
                <w:sz w:val="24"/>
              </w:rPr>
              <w:t>倪秉泽</w:t>
            </w:r>
            <w:r w:rsidR="00224601">
              <w:rPr>
                <w:rFonts w:ascii="宋体" w:hAnsi="宋体" w:hint="eastAsia"/>
                <w:sz w:val="24"/>
              </w:rPr>
              <w:t>（中信证券），</w:t>
            </w:r>
            <w:r w:rsidR="00224601" w:rsidRPr="00224601">
              <w:rPr>
                <w:rFonts w:ascii="宋体" w:hAnsi="宋体" w:hint="eastAsia"/>
                <w:sz w:val="24"/>
              </w:rPr>
              <w:t>秦楚才</w:t>
            </w:r>
            <w:r w:rsidR="00224601">
              <w:rPr>
                <w:rFonts w:ascii="宋体" w:hAnsi="宋体" w:hint="eastAsia"/>
                <w:sz w:val="24"/>
              </w:rPr>
              <w:t>（私募基金），</w:t>
            </w:r>
            <w:r w:rsidR="00224601" w:rsidRPr="00224601">
              <w:rPr>
                <w:rFonts w:ascii="宋体" w:hAnsi="宋体" w:hint="eastAsia"/>
                <w:sz w:val="24"/>
              </w:rPr>
              <w:t>郭艳超</w:t>
            </w:r>
            <w:r w:rsidR="00224601">
              <w:rPr>
                <w:rFonts w:ascii="宋体" w:hAnsi="宋体" w:hint="eastAsia"/>
                <w:sz w:val="24"/>
              </w:rPr>
              <w:t>（中银理财），</w:t>
            </w:r>
            <w:r w:rsidR="00224601" w:rsidRPr="00224601">
              <w:rPr>
                <w:rFonts w:ascii="宋体" w:hAnsi="宋体" w:hint="eastAsia"/>
                <w:sz w:val="24"/>
              </w:rPr>
              <w:t>孙昊</w:t>
            </w:r>
            <w:r w:rsidR="00224601">
              <w:rPr>
                <w:rFonts w:ascii="宋体" w:hAnsi="宋体" w:hint="eastAsia"/>
                <w:sz w:val="24"/>
              </w:rPr>
              <w:t>（</w:t>
            </w:r>
            <w:r w:rsidR="00224601" w:rsidRPr="00224601">
              <w:rPr>
                <w:rFonts w:ascii="宋体" w:hAnsi="宋体" w:hint="eastAsia"/>
                <w:sz w:val="24"/>
              </w:rPr>
              <w:t>青岛立本私募基金管理合伙企业（有限合伙）</w:t>
            </w:r>
            <w:r w:rsidR="008E6AC9">
              <w:rPr>
                <w:rFonts w:ascii="宋体" w:hAnsi="宋体" w:hint="eastAsia"/>
                <w:sz w:val="24"/>
              </w:rPr>
              <w:t>）</w:t>
            </w:r>
          </w:p>
        </w:tc>
      </w:tr>
      <w:tr w:rsidR="003775AB" w:rsidRPr="000F49E6" w:rsidTr="00D93209">
        <w:trPr>
          <w:trHeight w:val="699"/>
          <w:jc w:val="center"/>
        </w:trPr>
        <w:tc>
          <w:tcPr>
            <w:tcW w:w="1739" w:type="dxa"/>
            <w:vAlign w:val="center"/>
          </w:tcPr>
          <w:p w:rsidR="003775AB" w:rsidRPr="000F49E6" w:rsidRDefault="003775AB" w:rsidP="000F49E6">
            <w:pPr>
              <w:spacing w:line="360" w:lineRule="auto"/>
              <w:rPr>
                <w:rFonts w:ascii="宋体" w:hAnsi="宋体" w:cs="方正黑体_GBK"/>
                <w:bCs/>
                <w:iCs/>
                <w:color w:val="000000"/>
                <w:sz w:val="24"/>
              </w:rPr>
            </w:pPr>
            <w:r w:rsidRPr="000F49E6">
              <w:rPr>
                <w:rFonts w:ascii="宋体" w:hAnsi="宋体" w:cs="方正黑体_GBK" w:hint="eastAsia"/>
                <w:bCs/>
                <w:iCs/>
                <w:color w:val="000000"/>
                <w:sz w:val="24"/>
              </w:rPr>
              <w:t>主要内容</w:t>
            </w:r>
          </w:p>
        </w:tc>
        <w:tc>
          <w:tcPr>
            <w:tcW w:w="7164" w:type="dxa"/>
          </w:tcPr>
          <w:p w:rsidR="00826BDB" w:rsidRPr="008A4F92" w:rsidRDefault="00507B7D" w:rsidP="008A4F92">
            <w:pPr>
              <w:autoSpaceDE w:val="0"/>
              <w:autoSpaceDN w:val="0"/>
              <w:adjustRightInd w:val="0"/>
              <w:snapToGrid w:val="0"/>
              <w:spacing w:line="360" w:lineRule="auto"/>
              <w:ind w:firstLineChars="200" w:firstLine="480"/>
              <w:rPr>
                <w:sz w:val="24"/>
              </w:rPr>
            </w:pPr>
            <w:r w:rsidRPr="008A4F92">
              <w:rPr>
                <w:sz w:val="24"/>
              </w:rPr>
              <w:t>投资者提出的主要问题及公司回复情况如下：</w:t>
            </w:r>
          </w:p>
          <w:p w:rsidR="00817855" w:rsidRPr="00B10E8D" w:rsidRDefault="00826BDB" w:rsidP="00B10E8D">
            <w:pPr>
              <w:autoSpaceDE w:val="0"/>
              <w:autoSpaceDN w:val="0"/>
              <w:adjustRightInd w:val="0"/>
              <w:snapToGrid w:val="0"/>
              <w:spacing w:line="360" w:lineRule="auto"/>
              <w:ind w:firstLineChars="200" w:firstLine="482"/>
              <w:rPr>
                <w:b/>
                <w:bCs/>
                <w:sz w:val="24"/>
              </w:rPr>
            </w:pPr>
            <w:r w:rsidRPr="008A4F92">
              <w:rPr>
                <w:b/>
                <w:bCs/>
                <w:sz w:val="24"/>
              </w:rPr>
              <w:t>Q1</w:t>
            </w:r>
            <w:r w:rsidRPr="008A4F92">
              <w:rPr>
                <w:b/>
                <w:bCs/>
                <w:sz w:val="24"/>
              </w:rPr>
              <w:t>、</w:t>
            </w:r>
            <w:r w:rsidR="00817855" w:rsidRPr="00817855">
              <w:rPr>
                <w:rFonts w:hint="eastAsia"/>
                <w:b/>
                <w:bCs/>
                <w:sz w:val="24"/>
              </w:rPr>
              <w:t>2024</w:t>
            </w:r>
            <w:r w:rsidR="00817855" w:rsidRPr="00817855">
              <w:rPr>
                <w:rFonts w:hint="eastAsia"/>
                <w:b/>
                <w:bCs/>
                <w:sz w:val="24"/>
              </w:rPr>
              <w:t>年公司检测与技术服务</w:t>
            </w:r>
            <w:r w:rsidR="00817855" w:rsidRPr="00817855">
              <w:rPr>
                <w:b/>
                <w:bCs/>
                <w:sz w:val="24"/>
              </w:rPr>
              <w:t>收入</w:t>
            </w:r>
            <w:r w:rsidR="00817855" w:rsidRPr="00817855">
              <w:rPr>
                <w:rFonts w:hint="eastAsia"/>
                <w:b/>
                <w:bCs/>
                <w:sz w:val="24"/>
              </w:rPr>
              <w:t>13.4</w:t>
            </w:r>
            <w:r w:rsidR="00817855" w:rsidRPr="00817855">
              <w:rPr>
                <w:rFonts w:hint="eastAsia"/>
                <w:b/>
                <w:bCs/>
                <w:sz w:val="24"/>
              </w:rPr>
              <w:t>亿元，同比增长</w:t>
            </w:r>
            <w:r w:rsidR="00817855" w:rsidRPr="00817855">
              <w:rPr>
                <w:rFonts w:hint="eastAsia"/>
                <w:b/>
                <w:bCs/>
                <w:sz w:val="24"/>
              </w:rPr>
              <w:t>11.72%</w:t>
            </w:r>
            <w:r w:rsidR="00817855" w:rsidRPr="00817855">
              <w:rPr>
                <w:rFonts w:hint="eastAsia"/>
                <w:b/>
                <w:bCs/>
                <w:sz w:val="24"/>
              </w:rPr>
              <w:t>。增速相对较快的原因？</w:t>
            </w:r>
          </w:p>
          <w:p w:rsidR="00B10E8D" w:rsidRDefault="00B10E8D" w:rsidP="00817855">
            <w:pPr>
              <w:spacing w:line="360" w:lineRule="auto"/>
              <w:ind w:firstLineChars="200" w:firstLine="480"/>
              <w:rPr>
                <w:sz w:val="24"/>
              </w:rPr>
            </w:pPr>
            <w:r w:rsidRPr="008A4F92">
              <w:rPr>
                <w:sz w:val="24"/>
              </w:rPr>
              <w:t>答：</w:t>
            </w:r>
            <w:r w:rsidR="00817855" w:rsidRPr="00817855">
              <w:rPr>
                <w:rFonts w:hint="eastAsia"/>
                <w:sz w:val="24"/>
              </w:rPr>
              <w:t>检测与技术服务板块内</w:t>
            </w:r>
            <w:r w:rsidR="00F65687">
              <w:rPr>
                <w:rFonts w:hint="eastAsia"/>
                <w:sz w:val="24"/>
              </w:rPr>
              <w:t>的</w:t>
            </w:r>
            <w:r w:rsidR="00817855" w:rsidRPr="00817855">
              <w:rPr>
                <w:rFonts w:hint="eastAsia"/>
                <w:sz w:val="24"/>
              </w:rPr>
              <w:t>公司通过积极延伸市场和领域带来营业收入增长，</w:t>
            </w:r>
            <w:r w:rsidR="00817855" w:rsidRPr="00817855">
              <w:rPr>
                <w:sz w:val="24"/>
              </w:rPr>
              <w:t>其中检验公司</w:t>
            </w:r>
            <w:r w:rsidR="00F65687">
              <w:rPr>
                <w:rFonts w:hint="eastAsia"/>
                <w:sz w:val="24"/>
              </w:rPr>
              <w:t>及其子公司、</w:t>
            </w:r>
            <w:r w:rsidR="00F65687" w:rsidRPr="00817855">
              <w:rPr>
                <w:sz w:val="24"/>
              </w:rPr>
              <w:t>建科院</w:t>
            </w:r>
            <w:r w:rsidR="00F65687">
              <w:rPr>
                <w:rFonts w:hint="eastAsia"/>
                <w:sz w:val="24"/>
              </w:rPr>
              <w:t>等</w:t>
            </w:r>
            <w:r w:rsidR="006B58DB">
              <w:rPr>
                <w:rFonts w:hint="eastAsia"/>
                <w:sz w:val="24"/>
              </w:rPr>
              <w:t>公司</w:t>
            </w:r>
            <w:r w:rsidR="00F65687">
              <w:rPr>
                <w:rFonts w:hint="eastAsia"/>
                <w:sz w:val="24"/>
              </w:rPr>
              <w:t>营业收入</w:t>
            </w:r>
            <w:r w:rsidR="006B58DB">
              <w:rPr>
                <w:rFonts w:hint="eastAsia"/>
                <w:sz w:val="24"/>
              </w:rPr>
              <w:t>合计</w:t>
            </w:r>
            <w:r w:rsidR="00F65687">
              <w:rPr>
                <w:rFonts w:hint="eastAsia"/>
                <w:sz w:val="24"/>
              </w:rPr>
              <w:t>增长超过</w:t>
            </w:r>
            <w:r w:rsidR="00F65687">
              <w:rPr>
                <w:rFonts w:hint="eastAsia"/>
                <w:sz w:val="24"/>
              </w:rPr>
              <w:t>1</w:t>
            </w:r>
            <w:r w:rsidR="00F65687">
              <w:rPr>
                <w:rFonts w:hint="eastAsia"/>
                <w:sz w:val="24"/>
              </w:rPr>
              <w:t>亿元。此外，</w:t>
            </w:r>
            <w:r w:rsidR="00817855" w:rsidRPr="00817855">
              <w:rPr>
                <w:rFonts w:hint="eastAsia"/>
                <w:sz w:val="24"/>
              </w:rPr>
              <w:t>公司加大区域拓展，收购了四川省禾力建设工程检测鉴定咨询有限公司，带来营业收入增长</w:t>
            </w:r>
            <w:r w:rsidR="00817855" w:rsidRPr="00817855">
              <w:rPr>
                <w:sz w:val="24"/>
              </w:rPr>
              <w:t>0.40</w:t>
            </w:r>
            <w:r w:rsidR="00817855" w:rsidRPr="00817855">
              <w:rPr>
                <w:sz w:val="24"/>
              </w:rPr>
              <w:t>亿元</w:t>
            </w:r>
            <w:r w:rsidR="00817855" w:rsidRPr="00817855">
              <w:rPr>
                <w:rFonts w:hint="eastAsia"/>
                <w:sz w:val="24"/>
              </w:rPr>
              <w:t>。</w:t>
            </w:r>
          </w:p>
          <w:p w:rsidR="00817855" w:rsidRDefault="00817855" w:rsidP="00817855">
            <w:pPr>
              <w:spacing w:line="360" w:lineRule="auto"/>
              <w:ind w:firstLineChars="200" w:firstLine="480"/>
              <w:rPr>
                <w:sz w:val="24"/>
              </w:rPr>
            </w:pPr>
          </w:p>
          <w:p w:rsidR="00817855" w:rsidRPr="00817855" w:rsidRDefault="00817855" w:rsidP="00817855">
            <w:pPr>
              <w:autoSpaceDE w:val="0"/>
              <w:autoSpaceDN w:val="0"/>
              <w:adjustRightInd w:val="0"/>
              <w:snapToGrid w:val="0"/>
              <w:spacing w:line="360" w:lineRule="auto"/>
              <w:ind w:firstLineChars="200" w:firstLine="482"/>
              <w:rPr>
                <w:b/>
                <w:bCs/>
                <w:sz w:val="24"/>
              </w:rPr>
            </w:pPr>
            <w:r>
              <w:rPr>
                <w:b/>
                <w:bCs/>
                <w:sz w:val="24"/>
              </w:rPr>
              <w:t>Q</w:t>
            </w:r>
            <w:r w:rsidRPr="00817855">
              <w:rPr>
                <w:rFonts w:hint="eastAsia"/>
                <w:b/>
                <w:bCs/>
                <w:sz w:val="24"/>
              </w:rPr>
              <w:t>2</w:t>
            </w:r>
            <w:r w:rsidRPr="00817855">
              <w:rPr>
                <w:rFonts w:hint="eastAsia"/>
                <w:b/>
                <w:bCs/>
                <w:sz w:val="24"/>
              </w:rPr>
              <w:t>、环</w:t>
            </w:r>
            <w:r w:rsidRPr="00817855">
              <w:rPr>
                <w:b/>
                <w:bCs/>
                <w:sz w:val="24"/>
              </w:rPr>
              <w:t>境低碳技术服务收入</w:t>
            </w:r>
            <w:r w:rsidRPr="00817855">
              <w:rPr>
                <w:rFonts w:hint="eastAsia"/>
                <w:b/>
                <w:bCs/>
                <w:sz w:val="24"/>
              </w:rPr>
              <w:t>4</w:t>
            </w:r>
            <w:r w:rsidRPr="00817855">
              <w:rPr>
                <w:b/>
                <w:bCs/>
                <w:sz w:val="24"/>
              </w:rPr>
              <w:t>.</w:t>
            </w:r>
            <w:r w:rsidRPr="00817855">
              <w:rPr>
                <w:rFonts w:hint="eastAsia"/>
                <w:b/>
                <w:bCs/>
                <w:sz w:val="24"/>
              </w:rPr>
              <w:t>14</w:t>
            </w:r>
            <w:r w:rsidRPr="00817855">
              <w:rPr>
                <w:b/>
                <w:bCs/>
                <w:sz w:val="24"/>
              </w:rPr>
              <w:t>亿元，同比下降</w:t>
            </w:r>
            <w:r w:rsidRPr="00817855">
              <w:rPr>
                <w:rFonts w:hint="eastAsia"/>
                <w:b/>
                <w:bCs/>
                <w:sz w:val="24"/>
              </w:rPr>
              <w:t>6.27%</w:t>
            </w:r>
            <w:r w:rsidRPr="00817855">
              <w:rPr>
                <w:b/>
                <w:bCs/>
                <w:sz w:val="24"/>
              </w:rPr>
              <w:t>；特种工程与产品销售收入</w:t>
            </w:r>
            <w:r w:rsidRPr="00817855">
              <w:rPr>
                <w:rFonts w:hint="eastAsia"/>
                <w:b/>
                <w:bCs/>
                <w:sz w:val="24"/>
              </w:rPr>
              <w:t>1.3</w:t>
            </w:r>
            <w:r w:rsidRPr="00817855">
              <w:rPr>
                <w:rFonts w:hint="eastAsia"/>
                <w:b/>
                <w:bCs/>
                <w:sz w:val="24"/>
              </w:rPr>
              <w:t>亿元，同比下降</w:t>
            </w:r>
            <w:r w:rsidRPr="00817855">
              <w:rPr>
                <w:rFonts w:hint="eastAsia"/>
                <w:b/>
                <w:bCs/>
                <w:sz w:val="24"/>
              </w:rPr>
              <w:t>17.09%</w:t>
            </w:r>
            <w:r w:rsidRPr="00817855">
              <w:rPr>
                <w:rFonts w:hint="eastAsia"/>
                <w:b/>
                <w:bCs/>
                <w:sz w:val="24"/>
              </w:rPr>
              <w:t>。两块业务下降的原因及未来展望？</w:t>
            </w:r>
          </w:p>
          <w:p w:rsidR="00817855" w:rsidRPr="00817855" w:rsidRDefault="00817855" w:rsidP="00817855">
            <w:pPr>
              <w:spacing w:line="360" w:lineRule="auto"/>
              <w:ind w:firstLineChars="200" w:firstLine="480"/>
              <w:rPr>
                <w:sz w:val="24"/>
              </w:rPr>
            </w:pPr>
            <w:r w:rsidRPr="00817855">
              <w:rPr>
                <w:rFonts w:hint="eastAsia"/>
                <w:sz w:val="24"/>
              </w:rPr>
              <w:lastRenderedPageBreak/>
              <w:t>答：环境低碳技术服务营业收入同比下降</w:t>
            </w:r>
            <w:r w:rsidR="00F65687">
              <w:rPr>
                <w:rFonts w:hint="eastAsia"/>
                <w:sz w:val="24"/>
              </w:rPr>
              <w:t>，一</w:t>
            </w:r>
            <w:r w:rsidRPr="00817855">
              <w:rPr>
                <w:rFonts w:hint="eastAsia"/>
                <w:sz w:val="24"/>
              </w:rPr>
              <w:t>是</w:t>
            </w:r>
            <w:r w:rsidR="00F65687">
              <w:rPr>
                <w:rFonts w:hint="eastAsia"/>
                <w:sz w:val="24"/>
              </w:rPr>
              <w:t>因为</w:t>
            </w:r>
            <w:r w:rsidRPr="00817855">
              <w:rPr>
                <w:rFonts w:hint="eastAsia"/>
                <w:sz w:val="24"/>
              </w:rPr>
              <w:t>外地财政预算减少，带来政府客户项目总量减少以及单价下降；</w:t>
            </w:r>
            <w:r w:rsidR="00F65687">
              <w:rPr>
                <w:rFonts w:hint="eastAsia"/>
                <w:sz w:val="24"/>
              </w:rPr>
              <w:t>二是因为</w:t>
            </w:r>
            <w:r w:rsidRPr="00817855">
              <w:rPr>
                <w:rFonts w:hint="eastAsia"/>
                <w:sz w:val="24"/>
              </w:rPr>
              <w:t>所处行业发展压力增大，原有优势业务受到较大冲击，合同额下降；三是</w:t>
            </w:r>
            <w:r w:rsidRPr="00817855">
              <w:rPr>
                <w:rFonts w:hint="eastAsia"/>
                <w:sz w:val="24"/>
              </w:rPr>
              <w:t>2023</w:t>
            </w:r>
            <w:r w:rsidRPr="00817855">
              <w:rPr>
                <w:rFonts w:hint="eastAsia"/>
                <w:sz w:val="24"/>
              </w:rPr>
              <w:t>年度存在大额合同完工结算的情况，带来两年口径不可比。未来展望方面，公司支持环境低碳技术服务板块优先发展，</w:t>
            </w:r>
            <w:r w:rsidR="00F65687">
              <w:rPr>
                <w:rFonts w:hint="eastAsia"/>
                <w:sz w:val="24"/>
              </w:rPr>
              <w:t>今年</w:t>
            </w:r>
            <w:r w:rsidRPr="00817855">
              <w:rPr>
                <w:rFonts w:hint="eastAsia"/>
                <w:sz w:val="24"/>
              </w:rPr>
              <w:t>一季度合同额已较去年同期实现了两位数增长，对该板块的发展较为看好。</w:t>
            </w:r>
          </w:p>
          <w:p w:rsidR="00817855" w:rsidRPr="00817855" w:rsidRDefault="00817855" w:rsidP="00817855">
            <w:pPr>
              <w:spacing w:line="360" w:lineRule="auto"/>
              <w:ind w:firstLineChars="200" w:firstLine="480"/>
              <w:rPr>
                <w:sz w:val="24"/>
              </w:rPr>
            </w:pPr>
            <w:r w:rsidRPr="00817855">
              <w:rPr>
                <w:rFonts w:hint="eastAsia"/>
                <w:sz w:val="24"/>
              </w:rPr>
              <w:t>特种工程与产品销售营业收入同比下降主要因为机械工程行业仍处于周期性调整中，带来智能制造产品销售的营业收入下降。此外，建筑行业市场下行</w:t>
            </w:r>
            <w:r w:rsidR="00F65687">
              <w:rPr>
                <w:rFonts w:hint="eastAsia"/>
                <w:sz w:val="24"/>
              </w:rPr>
              <w:t>，</w:t>
            </w:r>
            <w:r w:rsidRPr="00817855">
              <w:rPr>
                <w:rFonts w:hint="eastAsia"/>
                <w:sz w:val="24"/>
              </w:rPr>
              <w:t>开工量减少，带来工程类相关的营业收入下降。</w:t>
            </w:r>
          </w:p>
          <w:p w:rsidR="00817855" w:rsidRPr="00291435" w:rsidRDefault="00817855" w:rsidP="00817855">
            <w:pPr>
              <w:spacing w:line="360" w:lineRule="auto"/>
              <w:rPr>
                <w:rFonts w:ascii="仿宋" w:eastAsia="仿宋" w:hAnsi="仿宋"/>
                <w:sz w:val="24"/>
              </w:rPr>
            </w:pPr>
          </w:p>
          <w:p w:rsidR="00817855" w:rsidRPr="00817855" w:rsidRDefault="00817855" w:rsidP="00817855">
            <w:pPr>
              <w:autoSpaceDE w:val="0"/>
              <w:autoSpaceDN w:val="0"/>
              <w:adjustRightInd w:val="0"/>
              <w:snapToGrid w:val="0"/>
              <w:spacing w:line="360" w:lineRule="auto"/>
              <w:ind w:firstLineChars="200" w:firstLine="482"/>
              <w:rPr>
                <w:b/>
                <w:bCs/>
                <w:sz w:val="24"/>
              </w:rPr>
            </w:pPr>
            <w:r>
              <w:rPr>
                <w:b/>
                <w:bCs/>
                <w:sz w:val="24"/>
              </w:rPr>
              <w:t>Q</w:t>
            </w:r>
            <w:r w:rsidRPr="00817855">
              <w:rPr>
                <w:rFonts w:hint="eastAsia"/>
                <w:b/>
                <w:bCs/>
                <w:sz w:val="24"/>
              </w:rPr>
              <w:t>3</w:t>
            </w:r>
            <w:r w:rsidRPr="00817855">
              <w:rPr>
                <w:rFonts w:hint="eastAsia"/>
                <w:b/>
                <w:bCs/>
                <w:sz w:val="24"/>
              </w:rPr>
              <w:t>、公司</w:t>
            </w:r>
            <w:r w:rsidRPr="00817855">
              <w:rPr>
                <w:b/>
                <w:bCs/>
                <w:sz w:val="24"/>
              </w:rPr>
              <w:t>工程咨询服务收入</w:t>
            </w:r>
            <w:r w:rsidRPr="00817855">
              <w:rPr>
                <w:rFonts w:hint="eastAsia"/>
                <w:b/>
                <w:bCs/>
                <w:sz w:val="24"/>
              </w:rPr>
              <w:t>22</w:t>
            </w:r>
            <w:r w:rsidRPr="00817855">
              <w:rPr>
                <w:b/>
                <w:bCs/>
                <w:sz w:val="24"/>
              </w:rPr>
              <w:t>.</w:t>
            </w:r>
            <w:r w:rsidRPr="00817855">
              <w:rPr>
                <w:rFonts w:hint="eastAsia"/>
                <w:b/>
                <w:bCs/>
                <w:sz w:val="24"/>
              </w:rPr>
              <w:t>43</w:t>
            </w:r>
            <w:r w:rsidRPr="00817855">
              <w:rPr>
                <w:b/>
                <w:bCs/>
                <w:sz w:val="24"/>
              </w:rPr>
              <w:t>亿元，同比增长</w:t>
            </w:r>
            <w:r w:rsidRPr="00817855">
              <w:rPr>
                <w:rFonts w:hint="eastAsia"/>
                <w:b/>
                <w:bCs/>
                <w:sz w:val="24"/>
              </w:rPr>
              <w:t>2.55%</w:t>
            </w:r>
            <w:r w:rsidRPr="00817855">
              <w:rPr>
                <w:rFonts w:hint="eastAsia"/>
                <w:b/>
                <w:bCs/>
                <w:sz w:val="24"/>
              </w:rPr>
              <w:t>。该项业务</w:t>
            </w:r>
            <w:r w:rsidRPr="00817855">
              <w:rPr>
                <w:rFonts w:hint="eastAsia"/>
                <w:b/>
                <w:bCs/>
                <w:sz w:val="24"/>
              </w:rPr>
              <w:t>2025</w:t>
            </w:r>
            <w:r w:rsidRPr="00817855">
              <w:rPr>
                <w:rFonts w:hint="eastAsia"/>
                <w:b/>
                <w:bCs/>
                <w:sz w:val="24"/>
              </w:rPr>
              <w:t>年发展展望如何？</w:t>
            </w:r>
          </w:p>
          <w:p w:rsidR="00817855" w:rsidRPr="00817855" w:rsidRDefault="00817855" w:rsidP="00817855">
            <w:pPr>
              <w:spacing w:line="360" w:lineRule="auto"/>
              <w:ind w:firstLineChars="200" w:firstLine="480"/>
              <w:rPr>
                <w:sz w:val="24"/>
              </w:rPr>
            </w:pPr>
            <w:r w:rsidRPr="00817855">
              <w:rPr>
                <w:rFonts w:hint="eastAsia"/>
                <w:sz w:val="24"/>
              </w:rPr>
              <w:t>答：传统建设工程咨询</w:t>
            </w:r>
            <w:r w:rsidR="00F65687">
              <w:rPr>
                <w:rFonts w:hint="eastAsia"/>
                <w:sz w:val="24"/>
              </w:rPr>
              <w:t>受固定资产投资萎缩影响，一季度大额咨询项目的数量有所下降。但</w:t>
            </w:r>
            <w:r w:rsidRPr="00817855">
              <w:rPr>
                <w:rFonts w:hint="eastAsia"/>
                <w:sz w:val="24"/>
              </w:rPr>
              <w:t>公司在</w:t>
            </w:r>
            <w:r w:rsidRPr="00817855">
              <w:rPr>
                <w:rFonts w:hint="eastAsia"/>
                <w:sz w:val="24"/>
              </w:rPr>
              <w:t>2</w:t>
            </w:r>
            <w:r w:rsidRPr="00817855">
              <w:rPr>
                <w:sz w:val="24"/>
              </w:rPr>
              <w:t>024</w:t>
            </w:r>
            <w:r w:rsidRPr="00817855">
              <w:rPr>
                <w:rFonts w:hint="eastAsia"/>
                <w:sz w:val="24"/>
              </w:rPr>
              <w:t>年底实现了与上咨公司的</w:t>
            </w:r>
            <w:r w:rsidR="00F65687">
              <w:rPr>
                <w:rFonts w:hint="eastAsia"/>
                <w:sz w:val="24"/>
              </w:rPr>
              <w:t>联合</w:t>
            </w:r>
            <w:r w:rsidRPr="00817855">
              <w:rPr>
                <w:rFonts w:hint="eastAsia"/>
                <w:sz w:val="24"/>
              </w:rPr>
              <w:t>重组，工程咨询服务产业链实现了有效的补链延链强链，覆盖“规划咨询</w:t>
            </w:r>
            <w:r w:rsidRPr="00817855">
              <w:rPr>
                <w:rFonts w:hint="eastAsia"/>
                <w:sz w:val="24"/>
              </w:rPr>
              <w:t>-</w:t>
            </w:r>
            <w:r w:rsidRPr="00817855">
              <w:rPr>
                <w:rFonts w:hint="eastAsia"/>
                <w:sz w:val="24"/>
              </w:rPr>
              <w:t>投资咨询</w:t>
            </w:r>
            <w:r w:rsidRPr="00817855">
              <w:rPr>
                <w:rFonts w:hint="eastAsia"/>
                <w:sz w:val="24"/>
              </w:rPr>
              <w:t>/</w:t>
            </w:r>
            <w:r w:rsidRPr="00817855">
              <w:rPr>
                <w:rFonts w:hint="eastAsia"/>
                <w:sz w:val="24"/>
              </w:rPr>
              <w:t>评估</w:t>
            </w:r>
            <w:r w:rsidRPr="00817855">
              <w:rPr>
                <w:rFonts w:hint="eastAsia"/>
                <w:sz w:val="24"/>
              </w:rPr>
              <w:t>-</w:t>
            </w:r>
            <w:r w:rsidRPr="00817855">
              <w:rPr>
                <w:rFonts w:hint="eastAsia"/>
                <w:sz w:val="24"/>
              </w:rPr>
              <w:t>建设咨询”。</w:t>
            </w:r>
            <w:r w:rsidRPr="00817855">
              <w:rPr>
                <w:rFonts w:hint="eastAsia"/>
                <w:sz w:val="24"/>
              </w:rPr>
              <w:t>20</w:t>
            </w:r>
            <w:r w:rsidRPr="00817855">
              <w:rPr>
                <w:sz w:val="24"/>
              </w:rPr>
              <w:t>25</w:t>
            </w:r>
            <w:r w:rsidRPr="00817855">
              <w:rPr>
                <w:rFonts w:hint="eastAsia"/>
                <w:sz w:val="24"/>
              </w:rPr>
              <w:t>年是“十五五”的规划发展年，公司</w:t>
            </w:r>
            <w:r w:rsidR="00F65687">
              <w:rPr>
                <w:rFonts w:hint="eastAsia"/>
                <w:sz w:val="24"/>
              </w:rPr>
              <w:t>参与多个行业和企业的规划咨询，带来一定的业务引流</w:t>
            </w:r>
            <w:r w:rsidRPr="00817855">
              <w:rPr>
                <w:rFonts w:hint="eastAsia"/>
                <w:sz w:val="24"/>
              </w:rPr>
              <w:t>作用</w:t>
            </w:r>
            <w:r w:rsidR="008B0DF5">
              <w:rPr>
                <w:rFonts w:hint="eastAsia"/>
                <w:sz w:val="24"/>
              </w:rPr>
              <w:t>，</w:t>
            </w:r>
            <w:r w:rsidRPr="00817855">
              <w:rPr>
                <w:rFonts w:hint="eastAsia"/>
                <w:sz w:val="24"/>
              </w:rPr>
              <w:t>我们对咨询板块的整体发展呈乐观预期。</w:t>
            </w:r>
          </w:p>
          <w:p w:rsidR="00817855" w:rsidRPr="00291435" w:rsidRDefault="00817855" w:rsidP="00817855">
            <w:pPr>
              <w:spacing w:line="360" w:lineRule="auto"/>
              <w:rPr>
                <w:rFonts w:ascii="仿宋" w:eastAsia="仿宋" w:hAnsi="仿宋"/>
                <w:sz w:val="24"/>
              </w:rPr>
            </w:pPr>
          </w:p>
          <w:p w:rsidR="00817855" w:rsidRPr="00817855" w:rsidRDefault="00817855" w:rsidP="00817855">
            <w:pPr>
              <w:autoSpaceDE w:val="0"/>
              <w:autoSpaceDN w:val="0"/>
              <w:adjustRightInd w:val="0"/>
              <w:snapToGrid w:val="0"/>
              <w:spacing w:line="360" w:lineRule="auto"/>
              <w:ind w:firstLineChars="200" w:firstLine="482"/>
              <w:rPr>
                <w:b/>
                <w:bCs/>
                <w:sz w:val="24"/>
              </w:rPr>
            </w:pPr>
            <w:r>
              <w:rPr>
                <w:b/>
                <w:bCs/>
                <w:sz w:val="24"/>
              </w:rPr>
              <w:t>Q</w:t>
            </w:r>
            <w:r w:rsidRPr="00817855">
              <w:rPr>
                <w:rFonts w:hint="eastAsia"/>
                <w:b/>
                <w:bCs/>
                <w:sz w:val="24"/>
              </w:rPr>
              <w:t>4</w:t>
            </w:r>
            <w:r w:rsidRPr="00817855">
              <w:rPr>
                <w:rFonts w:hint="eastAsia"/>
                <w:b/>
                <w:bCs/>
                <w:sz w:val="24"/>
              </w:rPr>
              <w:t>、由于季节性原因，</w:t>
            </w:r>
            <w:r w:rsidRPr="00817855">
              <w:rPr>
                <w:rFonts w:hint="eastAsia"/>
                <w:b/>
                <w:bCs/>
                <w:sz w:val="24"/>
              </w:rPr>
              <w:t>2024</w:t>
            </w:r>
            <w:r w:rsidRPr="00817855">
              <w:rPr>
                <w:rFonts w:hint="eastAsia"/>
                <w:b/>
                <w:bCs/>
                <w:sz w:val="24"/>
              </w:rPr>
              <w:t>年上海投资咨询集团</w:t>
            </w:r>
            <w:r w:rsidRPr="00817855">
              <w:rPr>
                <w:rFonts w:hint="eastAsia"/>
                <w:b/>
                <w:bCs/>
                <w:sz w:val="24"/>
              </w:rPr>
              <w:t>1</w:t>
            </w:r>
            <w:r w:rsidRPr="00817855">
              <w:rPr>
                <w:rFonts w:hint="eastAsia"/>
                <w:b/>
                <w:bCs/>
                <w:sz w:val="24"/>
              </w:rPr>
              <w:t>季度亏损，带来公司整体亏损，上海投资咨询集团</w:t>
            </w:r>
            <w:r w:rsidRPr="00817855">
              <w:rPr>
                <w:rFonts w:hint="eastAsia"/>
                <w:b/>
                <w:bCs/>
                <w:sz w:val="24"/>
              </w:rPr>
              <w:t>2024</w:t>
            </w:r>
            <w:r w:rsidRPr="00817855">
              <w:rPr>
                <w:rFonts w:hint="eastAsia"/>
                <w:b/>
                <w:bCs/>
                <w:sz w:val="24"/>
              </w:rPr>
              <w:t>年</w:t>
            </w:r>
            <w:r w:rsidRPr="00817855">
              <w:rPr>
                <w:rFonts w:hint="eastAsia"/>
                <w:b/>
                <w:bCs/>
                <w:sz w:val="24"/>
              </w:rPr>
              <w:t>2-4</w:t>
            </w:r>
            <w:r w:rsidRPr="00817855">
              <w:rPr>
                <w:rFonts w:hint="eastAsia"/>
                <w:b/>
                <w:bCs/>
                <w:sz w:val="24"/>
              </w:rPr>
              <w:t>季度业绩如何？</w:t>
            </w:r>
          </w:p>
          <w:p w:rsidR="00817855" w:rsidRPr="00817855" w:rsidRDefault="00817855" w:rsidP="00817855">
            <w:pPr>
              <w:spacing w:line="360" w:lineRule="auto"/>
              <w:ind w:firstLineChars="200" w:firstLine="480"/>
              <w:rPr>
                <w:sz w:val="24"/>
              </w:rPr>
            </w:pPr>
            <w:r w:rsidRPr="00817855">
              <w:rPr>
                <w:rFonts w:hint="eastAsia"/>
                <w:sz w:val="24"/>
              </w:rPr>
              <w:t>答：从历史趋势可以看出，上咨公司经营季节性更为明显，一般在四季度才能实现盈利，</w:t>
            </w:r>
            <w:r w:rsidR="0005431D">
              <w:rPr>
                <w:rFonts w:hint="eastAsia"/>
                <w:sz w:val="24"/>
              </w:rPr>
              <w:t>具体</w:t>
            </w:r>
            <w:r w:rsidRPr="00817855">
              <w:rPr>
                <w:rFonts w:hint="eastAsia"/>
                <w:sz w:val="24"/>
              </w:rPr>
              <w:t>业绩情况请持续关注公司相关公告。</w:t>
            </w:r>
          </w:p>
          <w:p w:rsidR="00817855" w:rsidRPr="00291435" w:rsidRDefault="00817855" w:rsidP="00817855">
            <w:pPr>
              <w:spacing w:line="360" w:lineRule="auto"/>
              <w:rPr>
                <w:rFonts w:ascii="仿宋" w:eastAsia="仿宋" w:hAnsi="仿宋"/>
                <w:sz w:val="24"/>
              </w:rPr>
            </w:pPr>
          </w:p>
          <w:p w:rsidR="00817855" w:rsidRPr="00817855" w:rsidRDefault="00817855" w:rsidP="00817855">
            <w:pPr>
              <w:autoSpaceDE w:val="0"/>
              <w:autoSpaceDN w:val="0"/>
              <w:adjustRightInd w:val="0"/>
              <w:snapToGrid w:val="0"/>
              <w:spacing w:line="360" w:lineRule="auto"/>
              <w:ind w:firstLineChars="200" w:firstLine="482"/>
              <w:rPr>
                <w:b/>
                <w:bCs/>
                <w:sz w:val="24"/>
              </w:rPr>
            </w:pPr>
            <w:r>
              <w:rPr>
                <w:b/>
                <w:bCs/>
                <w:sz w:val="24"/>
              </w:rPr>
              <w:t>Q</w:t>
            </w:r>
            <w:r w:rsidRPr="00817855">
              <w:rPr>
                <w:rFonts w:hint="eastAsia"/>
                <w:b/>
                <w:bCs/>
                <w:sz w:val="24"/>
              </w:rPr>
              <w:t>5</w:t>
            </w:r>
            <w:r w:rsidRPr="00817855">
              <w:rPr>
                <w:rFonts w:hint="eastAsia"/>
                <w:b/>
                <w:bCs/>
                <w:sz w:val="24"/>
              </w:rPr>
              <w:t>、</w:t>
            </w:r>
            <w:r w:rsidRPr="00817855">
              <w:rPr>
                <w:rFonts w:hint="eastAsia"/>
                <w:b/>
                <w:bCs/>
                <w:sz w:val="24"/>
              </w:rPr>
              <w:t>2024</w:t>
            </w:r>
            <w:r w:rsidRPr="00817855">
              <w:rPr>
                <w:rFonts w:hint="eastAsia"/>
                <w:b/>
                <w:bCs/>
                <w:sz w:val="24"/>
              </w:rPr>
              <w:t>年公司毛利率和净利率均有所提高，主要原因及可持</w:t>
            </w:r>
            <w:r w:rsidRPr="00817855">
              <w:rPr>
                <w:rFonts w:hint="eastAsia"/>
                <w:b/>
                <w:bCs/>
                <w:sz w:val="24"/>
              </w:rPr>
              <w:lastRenderedPageBreak/>
              <w:t>续性如何？</w:t>
            </w:r>
          </w:p>
          <w:p w:rsidR="00817855" w:rsidRPr="00817855" w:rsidRDefault="00817855" w:rsidP="00817855">
            <w:pPr>
              <w:spacing w:line="360" w:lineRule="auto"/>
              <w:ind w:firstLineChars="200" w:firstLine="480"/>
              <w:rPr>
                <w:sz w:val="24"/>
              </w:rPr>
            </w:pPr>
            <w:r w:rsidRPr="00817855">
              <w:rPr>
                <w:rFonts w:hint="eastAsia"/>
                <w:sz w:val="24"/>
              </w:rPr>
              <w:t>答：</w:t>
            </w:r>
            <w:r w:rsidRPr="00817855">
              <w:rPr>
                <w:rFonts w:hint="eastAsia"/>
                <w:sz w:val="24"/>
              </w:rPr>
              <w:t>2024</w:t>
            </w:r>
            <w:r w:rsidRPr="00817855">
              <w:rPr>
                <w:rFonts w:hint="eastAsia"/>
                <w:sz w:val="24"/>
              </w:rPr>
              <w:t>年度，公司毛利率和净利率分别为</w:t>
            </w:r>
            <w:r w:rsidRPr="00817855">
              <w:rPr>
                <w:rFonts w:hint="eastAsia"/>
                <w:sz w:val="24"/>
              </w:rPr>
              <w:t>35.69%</w:t>
            </w:r>
            <w:r w:rsidRPr="00817855">
              <w:rPr>
                <w:rFonts w:hint="eastAsia"/>
                <w:sz w:val="24"/>
              </w:rPr>
              <w:t>和</w:t>
            </w:r>
            <w:r w:rsidRPr="00817855">
              <w:rPr>
                <w:rFonts w:hint="eastAsia"/>
                <w:sz w:val="24"/>
              </w:rPr>
              <w:t>8.72%</w:t>
            </w:r>
            <w:r w:rsidRPr="00817855">
              <w:rPr>
                <w:rFonts w:hint="eastAsia"/>
                <w:sz w:val="24"/>
              </w:rPr>
              <w:t>，分别较上年增长</w:t>
            </w:r>
            <w:r w:rsidRPr="00817855">
              <w:rPr>
                <w:rFonts w:hint="eastAsia"/>
                <w:sz w:val="24"/>
              </w:rPr>
              <w:t>1.95%</w:t>
            </w:r>
            <w:r w:rsidRPr="00817855">
              <w:rPr>
                <w:rFonts w:hint="eastAsia"/>
                <w:sz w:val="24"/>
              </w:rPr>
              <w:t>和</w:t>
            </w:r>
            <w:r w:rsidRPr="00817855">
              <w:rPr>
                <w:rFonts w:hint="eastAsia"/>
                <w:sz w:val="24"/>
              </w:rPr>
              <w:t>0.06%</w:t>
            </w:r>
            <w:r w:rsidRPr="00817855">
              <w:rPr>
                <w:rFonts w:hint="eastAsia"/>
                <w:sz w:val="24"/>
              </w:rPr>
              <w:t>。毛利率和净利率增长主要因为公司不断优化业务结构、加大业务拓展，营业收入实现增长。同时，公司进一步强化精细化管理、加强各类成本费用的过程管控，落实降本增效目标。公司会持续加强业务拓展以及成本费用管控，后续经营情况请持续关注公司相关公告。</w:t>
            </w:r>
          </w:p>
          <w:p w:rsidR="00817855" w:rsidRPr="00291435" w:rsidRDefault="00817855" w:rsidP="00817855">
            <w:pPr>
              <w:spacing w:line="360" w:lineRule="auto"/>
              <w:rPr>
                <w:rFonts w:ascii="仿宋" w:eastAsia="仿宋" w:hAnsi="仿宋"/>
                <w:sz w:val="24"/>
              </w:rPr>
            </w:pPr>
          </w:p>
          <w:p w:rsidR="00817855" w:rsidRPr="00291435" w:rsidRDefault="00817855" w:rsidP="00817855">
            <w:pPr>
              <w:spacing w:line="360" w:lineRule="auto"/>
              <w:ind w:firstLineChars="200" w:firstLine="482"/>
              <w:rPr>
                <w:rFonts w:ascii="仿宋" w:eastAsia="仿宋" w:hAnsi="仿宋"/>
                <w:b/>
                <w:sz w:val="24"/>
              </w:rPr>
            </w:pPr>
            <w:r>
              <w:rPr>
                <w:rFonts w:ascii="仿宋" w:eastAsia="仿宋" w:hAnsi="仿宋"/>
                <w:b/>
                <w:sz w:val="24"/>
              </w:rPr>
              <w:t>Q</w:t>
            </w:r>
            <w:r w:rsidRPr="00291435">
              <w:rPr>
                <w:rFonts w:ascii="仿宋" w:eastAsia="仿宋" w:hAnsi="仿宋" w:hint="eastAsia"/>
                <w:b/>
                <w:sz w:val="24"/>
              </w:rPr>
              <w:t>6、</w:t>
            </w:r>
            <w:r w:rsidRPr="00817855">
              <w:rPr>
                <w:rFonts w:hint="eastAsia"/>
                <w:b/>
                <w:bCs/>
                <w:sz w:val="24"/>
              </w:rPr>
              <w:t>2024</w:t>
            </w:r>
            <w:r w:rsidRPr="00817855">
              <w:rPr>
                <w:rFonts w:hint="eastAsia"/>
                <w:b/>
                <w:bCs/>
                <w:sz w:val="24"/>
              </w:rPr>
              <w:t>年公司应收账款为</w:t>
            </w:r>
            <w:r w:rsidRPr="00817855">
              <w:rPr>
                <w:rFonts w:hint="eastAsia"/>
                <w:b/>
                <w:bCs/>
                <w:sz w:val="24"/>
              </w:rPr>
              <w:t>14</w:t>
            </w:r>
            <w:r w:rsidRPr="00817855">
              <w:rPr>
                <w:rFonts w:hint="eastAsia"/>
                <w:b/>
                <w:bCs/>
                <w:sz w:val="24"/>
              </w:rPr>
              <w:t>亿元，同比增长</w:t>
            </w:r>
            <w:r w:rsidRPr="00817855">
              <w:rPr>
                <w:rFonts w:hint="eastAsia"/>
                <w:b/>
                <w:bCs/>
                <w:sz w:val="24"/>
              </w:rPr>
              <w:t>10.2</w:t>
            </w:r>
            <w:r w:rsidR="0005431D">
              <w:rPr>
                <w:b/>
                <w:bCs/>
                <w:sz w:val="24"/>
              </w:rPr>
              <w:t>5</w:t>
            </w:r>
            <w:r w:rsidRPr="00817855">
              <w:rPr>
                <w:rFonts w:hint="eastAsia"/>
                <w:b/>
                <w:bCs/>
                <w:sz w:val="24"/>
              </w:rPr>
              <w:t>%</w:t>
            </w:r>
            <w:r w:rsidRPr="00817855">
              <w:rPr>
                <w:rFonts w:hint="eastAsia"/>
                <w:b/>
                <w:bCs/>
                <w:sz w:val="24"/>
              </w:rPr>
              <w:t>。公司层面如何改善应收账款回收？</w:t>
            </w:r>
          </w:p>
          <w:p w:rsidR="00817855" w:rsidRPr="00817855" w:rsidRDefault="00817855" w:rsidP="00817855">
            <w:pPr>
              <w:spacing w:line="360" w:lineRule="auto"/>
              <w:ind w:firstLineChars="200" w:firstLine="480"/>
              <w:rPr>
                <w:sz w:val="24"/>
              </w:rPr>
            </w:pPr>
            <w:r w:rsidRPr="00817855">
              <w:rPr>
                <w:rFonts w:hint="eastAsia"/>
                <w:sz w:val="24"/>
              </w:rPr>
              <w:t>答：公司经营规模持续扩张及基础设施投资建设主体、大型国有企业等主要客户和公司结算时间延长，带来公司应收账款增长。公司已从制度上和行动上加强对应收账款管理，后续会持续通过定期对账、函件催收、法律诉讼等多种形式维护公司的合法权益；加大催收力度，增强业务部门的催收积极性。</w:t>
            </w:r>
          </w:p>
          <w:p w:rsidR="00817855" w:rsidRPr="00291435" w:rsidRDefault="00817855" w:rsidP="00817855">
            <w:pPr>
              <w:spacing w:line="360" w:lineRule="auto"/>
              <w:ind w:firstLineChars="200" w:firstLine="480"/>
              <w:rPr>
                <w:rFonts w:ascii="仿宋" w:eastAsia="仿宋" w:hAnsi="仿宋"/>
                <w:sz w:val="24"/>
              </w:rPr>
            </w:pPr>
          </w:p>
          <w:p w:rsidR="00817855" w:rsidRPr="00817855" w:rsidRDefault="00817855" w:rsidP="00817855">
            <w:pPr>
              <w:autoSpaceDE w:val="0"/>
              <w:autoSpaceDN w:val="0"/>
              <w:adjustRightInd w:val="0"/>
              <w:snapToGrid w:val="0"/>
              <w:spacing w:line="360" w:lineRule="auto"/>
              <w:ind w:firstLineChars="200" w:firstLine="482"/>
              <w:rPr>
                <w:b/>
                <w:bCs/>
                <w:sz w:val="24"/>
              </w:rPr>
            </w:pPr>
            <w:r>
              <w:rPr>
                <w:b/>
                <w:bCs/>
                <w:sz w:val="24"/>
              </w:rPr>
              <w:t>Q</w:t>
            </w:r>
            <w:r w:rsidRPr="00817855">
              <w:rPr>
                <w:rFonts w:hint="eastAsia"/>
                <w:b/>
                <w:bCs/>
                <w:sz w:val="24"/>
              </w:rPr>
              <w:t>7</w:t>
            </w:r>
            <w:r w:rsidRPr="00817855">
              <w:rPr>
                <w:rFonts w:hint="eastAsia"/>
                <w:b/>
                <w:bCs/>
                <w:sz w:val="24"/>
              </w:rPr>
              <w:t>、公司资产减值损失和信用减值损失合计</w:t>
            </w:r>
            <w:r w:rsidRPr="00817855">
              <w:rPr>
                <w:rFonts w:hint="eastAsia"/>
                <w:b/>
                <w:bCs/>
                <w:sz w:val="24"/>
              </w:rPr>
              <w:t>1.46</w:t>
            </w:r>
            <w:r w:rsidRPr="00817855">
              <w:rPr>
                <w:rFonts w:hint="eastAsia"/>
                <w:b/>
                <w:bCs/>
                <w:sz w:val="24"/>
              </w:rPr>
              <w:t>亿元，同比增加</w:t>
            </w:r>
            <w:r w:rsidRPr="00817855">
              <w:rPr>
                <w:rFonts w:hint="eastAsia"/>
                <w:b/>
                <w:bCs/>
                <w:sz w:val="24"/>
              </w:rPr>
              <w:t>0.56</w:t>
            </w:r>
            <w:r w:rsidRPr="00817855">
              <w:rPr>
                <w:rFonts w:hint="eastAsia"/>
                <w:b/>
                <w:bCs/>
                <w:sz w:val="24"/>
              </w:rPr>
              <w:t>亿元。未来减值展望如何？</w:t>
            </w:r>
          </w:p>
          <w:p w:rsidR="00817855" w:rsidRPr="00817855" w:rsidRDefault="00817855" w:rsidP="00817855">
            <w:pPr>
              <w:spacing w:line="360" w:lineRule="auto"/>
              <w:ind w:firstLineChars="200" w:firstLine="480"/>
              <w:rPr>
                <w:sz w:val="24"/>
              </w:rPr>
            </w:pPr>
            <w:r w:rsidRPr="00817855">
              <w:rPr>
                <w:rFonts w:hint="eastAsia"/>
                <w:sz w:val="24"/>
              </w:rPr>
              <w:t>答：</w:t>
            </w:r>
            <w:r w:rsidRPr="00817855">
              <w:rPr>
                <w:rFonts w:hint="eastAsia"/>
                <w:sz w:val="24"/>
              </w:rPr>
              <w:t>2024</w:t>
            </w:r>
            <w:r w:rsidRPr="00817855">
              <w:rPr>
                <w:rFonts w:hint="eastAsia"/>
                <w:sz w:val="24"/>
              </w:rPr>
              <w:t>年度，公司信用减值损失</w:t>
            </w:r>
            <w:r w:rsidRPr="00817855">
              <w:rPr>
                <w:rFonts w:hint="eastAsia"/>
                <w:sz w:val="24"/>
              </w:rPr>
              <w:t>1.32</w:t>
            </w:r>
            <w:r w:rsidRPr="00817855">
              <w:rPr>
                <w:rFonts w:hint="eastAsia"/>
                <w:sz w:val="24"/>
              </w:rPr>
              <w:t>亿元，资产减值损失</w:t>
            </w:r>
            <w:r w:rsidRPr="00817855">
              <w:rPr>
                <w:rFonts w:hint="eastAsia"/>
                <w:sz w:val="24"/>
              </w:rPr>
              <w:t>0.14</w:t>
            </w:r>
            <w:r w:rsidRPr="00817855">
              <w:rPr>
                <w:rFonts w:hint="eastAsia"/>
                <w:sz w:val="24"/>
              </w:rPr>
              <w:t>亿元，合计金额</w:t>
            </w:r>
            <w:r w:rsidRPr="00817855">
              <w:rPr>
                <w:rFonts w:hint="eastAsia"/>
                <w:sz w:val="24"/>
              </w:rPr>
              <w:t>1.46</w:t>
            </w:r>
            <w:r w:rsidRPr="00817855">
              <w:rPr>
                <w:rFonts w:hint="eastAsia"/>
                <w:sz w:val="24"/>
              </w:rPr>
              <w:t>亿元，同比增加</w:t>
            </w:r>
            <w:r w:rsidRPr="00817855">
              <w:rPr>
                <w:rFonts w:hint="eastAsia"/>
                <w:sz w:val="24"/>
              </w:rPr>
              <w:t>61.55%</w:t>
            </w:r>
            <w:r w:rsidRPr="00817855">
              <w:rPr>
                <w:rFonts w:hint="eastAsia"/>
                <w:sz w:val="24"/>
              </w:rPr>
              <w:t>，增加一方面系应收款项坏账准备增加，另一方面系商誉减值准备增加。</w:t>
            </w:r>
          </w:p>
          <w:p w:rsidR="00817855" w:rsidRPr="00817855" w:rsidRDefault="00817855" w:rsidP="00817855">
            <w:pPr>
              <w:spacing w:line="360" w:lineRule="auto"/>
              <w:ind w:firstLineChars="200" w:firstLine="480"/>
              <w:rPr>
                <w:sz w:val="24"/>
              </w:rPr>
            </w:pPr>
            <w:r w:rsidRPr="00817855">
              <w:rPr>
                <w:rFonts w:hint="eastAsia"/>
                <w:sz w:val="24"/>
              </w:rPr>
              <w:t>应收款项坏账准备增加主要系：</w:t>
            </w:r>
            <w:r w:rsidRPr="00817855">
              <w:rPr>
                <w:rFonts w:hint="eastAsia"/>
                <w:sz w:val="24"/>
              </w:rPr>
              <w:t>1</w:t>
            </w:r>
            <w:r w:rsidRPr="00817855">
              <w:rPr>
                <w:rFonts w:hint="eastAsia"/>
                <w:sz w:val="24"/>
              </w:rPr>
              <w:t>、随着公司规模的扩大以及基础设施投资建设主体、大型国有企业等主要客户和公司结算时间延长，公司应收款项增加；</w:t>
            </w:r>
            <w:r w:rsidRPr="00817855">
              <w:rPr>
                <w:rFonts w:hint="eastAsia"/>
                <w:sz w:val="24"/>
              </w:rPr>
              <w:t>2</w:t>
            </w:r>
            <w:r w:rsidRPr="00817855">
              <w:rPr>
                <w:rFonts w:hint="eastAsia"/>
                <w:sz w:val="24"/>
              </w:rPr>
              <w:t>、公司根据会计准则和公司的会计政策的相关规定，对客户进行风险识别，对无法收回风险较大的客户单项计提坏账准备；</w:t>
            </w:r>
            <w:r w:rsidRPr="00817855">
              <w:rPr>
                <w:rFonts w:hint="eastAsia"/>
                <w:sz w:val="24"/>
              </w:rPr>
              <w:t>3</w:t>
            </w:r>
            <w:r w:rsidRPr="00817855">
              <w:rPr>
                <w:rFonts w:hint="eastAsia"/>
                <w:sz w:val="24"/>
              </w:rPr>
              <w:t>、公司长账龄应收款项增加。</w:t>
            </w:r>
          </w:p>
          <w:p w:rsidR="00817855" w:rsidRPr="00817855" w:rsidRDefault="00817855" w:rsidP="00817855">
            <w:pPr>
              <w:spacing w:line="360" w:lineRule="auto"/>
              <w:ind w:firstLineChars="200" w:firstLine="480"/>
              <w:rPr>
                <w:sz w:val="24"/>
              </w:rPr>
            </w:pPr>
            <w:r w:rsidRPr="00817855">
              <w:rPr>
                <w:rFonts w:hint="eastAsia"/>
                <w:sz w:val="24"/>
              </w:rPr>
              <w:t>商誉减值准备的增加系公司根据准则规定对商誉进行减值测试，并聘请专业的评估机构出具商誉减值报告，根据商誉减值报告</w:t>
            </w:r>
            <w:r w:rsidRPr="00817855">
              <w:rPr>
                <w:rFonts w:hint="eastAsia"/>
                <w:sz w:val="24"/>
              </w:rPr>
              <w:lastRenderedPageBreak/>
              <w:t>对商誉所在资产组的可收回金额低于包含商誉的资产组账面价值的商誉计提减值准备。</w:t>
            </w:r>
          </w:p>
          <w:p w:rsidR="00817855" w:rsidRPr="00817855" w:rsidRDefault="00817855" w:rsidP="00817855">
            <w:pPr>
              <w:spacing w:line="360" w:lineRule="auto"/>
              <w:ind w:firstLineChars="200" w:firstLine="480"/>
              <w:rPr>
                <w:sz w:val="24"/>
              </w:rPr>
            </w:pPr>
            <w:r w:rsidRPr="00817855">
              <w:rPr>
                <w:rFonts w:hint="eastAsia"/>
                <w:sz w:val="24"/>
              </w:rPr>
              <w:t>随着公</w:t>
            </w:r>
            <w:r w:rsidR="0005431D">
              <w:rPr>
                <w:rFonts w:hint="eastAsia"/>
                <w:sz w:val="24"/>
              </w:rPr>
              <w:t>司经营规模的扩大，公司的减值准备存在增加的风险。公司将</w:t>
            </w:r>
            <w:r w:rsidRPr="00817855">
              <w:rPr>
                <w:rFonts w:hint="eastAsia"/>
                <w:sz w:val="24"/>
              </w:rPr>
              <w:t>加强对客户及应收账款管理，</w:t>
            </w:r>
            <w:r w:rsidR="0005431D">
              <w:rPr>
                <w:rFonts w:hint="eastAsia"/>
                <w:sz w:val="24"/>
              </w:rPr>
              <w:t>同时</w:t>
            </w:r>
            <w:r w:rsidRPr="00817855">
              <w:rPr>
                <w:rFonts w:hint="eastAsia"/>
                <w:sz w:val="24"/>
              </w:rPr>
              <w:t>加强对收购公司的管理，以降低减值对公司盈利的不利影响。</w:t>
            </w:r>
          </w:p>
          <w:p w:rsidR="00817855" w:rsidRPr="00291435" w:rsidRDefault="00817855" w:rsidP="00817855">
            <w:pPr>
              <w:spacing w:line="360" w:lineRule="auto"/>
              <w:rPr>
                <w:rFonts w:ascii="仿宋" w:eastAsia="仿宋" w:hAnsi="仿宋"/>
                <w:sz w:val="24"/>
              </w:rPr>
            </w:pPr>
          </w:p>
          <w:p w:rsidR="00817855" w:rsidRPr="00817855" w:rsidRDefault="00817855" w:rsidP="00817855">
            <w:pPr>
              <w:autoSpaceDE w:val="0"/>
              <w:autoSpaceDN w:val="0"/>
              <w:adjustRightInd w:val="0"/>
              <w:snapToGrid w:val="0"/>
              <w:spacing w:line="360" w:lineRule="auto"/>
              <w:ind w:firstLineChars="200" w:firstLine="482"/>
              <w:rPr>
                <w:b/>
                <w:bCs/>
                <w:sz w:val="24"/>
              </w:rPr>
            </w:pPr>
            <w:r>
              <w:rPr>
                <w:b/>
                <w:bCs/>
                <w:sz w:val="24"/>
              </w:rPr>
              <w:t>Q</w:t>
            </w:r>
            <w:r w:rsidRPr="00817855">
              <w:rPr>
                <w:rFonts w:hint="eastAsia"/>
                <w:b/>
                <w:bCs/>
                <w:sz w:val="24"/>
              </w:rPr>
              <w:t>8</w:t>
            </w:r>
            <w:r w:rsidRPr="00817855">
              <w:rPr>
                <w:rFonts w:hint="eastAsia"/>
                <w:b/>
                <w:bCs/>
                <w:sz w:val="24"/>
              </w:rPr>
              <w:t>、上咨集团</w:t>
            </w:r>
            <w:r w:rsidRPr="00817855">
              <w:rPr>
                <w:rFonts w:hint="eastAsia"/>
                <w:b/>
                <w:bCs/>
                <w:sz w:val="24"/>
              </w:rPr>
              <w:t>2025</w:t>
            </w:r>
            <w:r w:rsidRPr="00817855">
              <w:rPr>
                <w:rFonts w:hint="eastAsia"/>
                <w:b/>
                <w:bCs/>
                <w:sz w:val="24"/>
              </w:rPr>
              <w:t>年</w:t>
            </w:r>
            <w:r w:rsidRPr="00817855">
              <w:rPr>
                <w:rFonts w:hint="eastAsia"/>
                <w:b/>
                <w:bCs/>
                <w:sz w:val="24"/>
              </w:rPr>
              <w:t>1</w:t>
            </w:r>
            <w:r w:rsidRPr="00817855">
              <w:rPr>
                <w:rFonts w:hint="eastAsia"/>
                <w:b/>
                <w:bCs/>
                <w:sz w:val="24"/>
              </w:rPr>
              <w:t>月进入公司，</w:t>
            </w:r>
            <w:r w:rsidRPr="00817855">
              <w:rPr>
                <w:rFonts w:hint="eastAsia"/>
                <w:b/>
                <w:bCs/>
                <w:sz w:val="24"/>
              </w:rPr>
              <w:t>2024</w:t>
            </w:r>
            <w:r w:rsidRPr="00817855">
              <w:rPr>
                <w:rFonts w:hint="eastAsia"/>
                <w:b/>
                <w:bCs/>
                <w:sz w:val="24"/>
              </w:rPr>
              <w:t>年</w:t>
            </w:r>
            <w:r w:rsidRPr="00817855">
              <w:rPr>
                <w:rFonts w:hint="eastAsia"/>
                <w:b/>
                <w:bCs/>
                <w:sz w:val="24"/>
              </w:rPr>
              <w:t>1-11</w:t>
            </w:r>
            <w:r w:rsidRPr="00817855">
              <w:rPr>
                <w:rFonts w:hint="eastAsia"/>
                <w:b/>
                <w:bCs/>
                <w:sz w:val="24"/>
              </w:rPr>
              <w:t>月新签订单</w:t>
            </w:r>
            <w:r w:rsidRPr="00817855">
              <w:rPr>
                <w:rFonts w:hint="eastAsia"/>
                <w:b/>
                <w:bCs/>
                <w:sz w:val="24"/>
              </w:rPr>
              <w:t>6.76</w:t>
            </w:r>
            <w:r w:rsidRPr="00817855">
              <w:rPr>
                <w:rFonts w:hint="eastAsia"/>
                <w:b/>
                <w:bCs/>
                <w:sz w:val="24"/>
              </w:rPr>
              <w:t>亿元，</w:t>
            </w:r>
            <w:r w:rsidRPr="00817855">
              <w:rPr>
                <w:rFonts w:hint="eastAsia"/>
                <w:b/>
                <w:bCs/>
                <w:sz w:val="24"/>
              </w:rPr>
              <w:t>2024</w:t>
            </w:r>
            <w:r w:rsidRPr="00817855">
              <w:rPr>
                <w:rFonts w:hint="eastAsia"/>
                <w:b/>
                <w:bCs/>
                <w:sz w:val="24"/>
              </w:rPr>
              <w:t>年上咨集团整体业绩情况如何？后续订单释放的节奏怎么样？</w:t>
            </w:r>
          </w:p>
          <w:p w:rsidR="00817855" w:rsidRPr="00817855" w:rsidRDefault="00817855" w:rsidP="00817855">
            <w:pPr>
              <w:spacing w:line="360" w:lineRule="auto"/>
              <w:ind w:firstLineChars="200" w:firstLine="480"/>
              <w:rPr>
                <w:sz w:val="24"/>
              </w:rPr>
            </w:pPr>
            <w:r w:rsidRPr="00817855">
              <w:rPr>
                <w:rFonts w:hint="eastAsia"/>
                <w:sz w:val="24"/>
              </w:rPr>
              <w:t>答：</w:t>
            </w:r>
            <w:r w:rsidRPr="00817855">
              <w:rPr>
                <w:rFonts w:hint="eastAsia"/>
                <w:sz w:val="24"/>
              </w:rPr>
              <w:t>2024</w:t>
            </w:r>
            <w:r w:rsidRPr="00817855">
              <w:rPr>
                <w:rFonts w:hint="eastAsia"/>
                <w:sz w:val="24"/>
              </w:rPr>
              <w:t>年度，上咨公司完成业绩</w:t>
            </w:r>
            <w:r w:rsidR="00B92776">
              <w:rPr>
                <w:rFonts w:hint="eastAsia"/>
                <w:sz w:val="24"/>
              </w:rPr>
              <w:t>承诺</w:t>
            </w:r>
            <w:r w:rsidRPr="00817855">
              <w:rPr>
                <w:rFonts w:hint="eastAsia"/>
                <w:sz w:val="24"/>
              </w:rPr>
              <w:t>，营业收入和利润均实现增长。从</w:t>
            </w:r>
            <w:r w:rsidRPr="00817855">
              <w:rPr>
                <w:rFonts w:hint="eastAsia"/>
                <w:sz w:val="24"/>
              </w:rPr>
              <w:t>2</w:t>
            </w:r>
            <w:r w:rsidRPr="00817855">
              <w:rPr>
                <w:sz w:val="24"/>
              </w:rPr>
              <w:t>025</w:t>
            </w:r>
            <w:r w:rsidRPr="00817855">
              <w:rPr>
                <w:rFonts w:hint="eastAsia"/>
                <w:sz w:val="24"/>
              </w:rPr>
              <w:t>年一季度上咨</w:t>
            </w:r>
            <w:r w:rsidR="00B92776">
              <w:rPr>
                <w:rFonts w:hint="eastAsia"/>
                <w:sz w:val="24"/>
              </w:rPr>
              <w:t>公司</w:t>
            </w:r>
            <w:r w:rsidRPr="00817855">
              <w:rPr>
                <w:rFonts w:hint="eastAsia"/>
                <w:sz w:val="24"/>
              </w:rPr>
              <w:t>的合同额来看，较去年同期有</w:t>
            </w:r>
            <w:r w:rsidR="00B92776">
              <w:rPr>
                <w:rFonts w:hint="eastAsia"/>
                <w:sz w:val="24"/>
              </w:rPr>
              <w:t>一定的</w:t>
            </w:r>
            <w:r w:rsidRPr="00817855">
              <w:rPr>
                <w:rFonts w:hint="eastAsia"/>
                <w:sz w:val="24"/>
              </w:rPr>
              <w:t>增长。</w:t>
            </w:r>
          </w:p>
          <w:p w:rsidR="00817855" w:rsidRPr="00291435" w:rsidRDefault="00817855" w:rsidP="00817855">
            <w:pPr>
              <w:spacing w:line="360" w:lineRule="auto"/>
              <w:rPr>
                <w:rFonts w:ascii="仿宋" w:eastAsia="仿宋" w:hAnsi="仿宋"/>
                <w:sz w:val="24"/>
              </w:rPr>
            </w:pPr>
          </w:p>
          <w:p w:rsidR="00817855" w:rsidRPr="008E6AC9" w:rsidRDefault="00817855" w:rsidP="008E6AC9">
            <w:pPr>
              <w:autoSpaceDE w:val="0"/>
              <w:autoSpaceDN w:val="0"/>
              <w:adjustRightInd w:val="0"/>
              <w:snapToGrid w:val="0"/>
              <w:spacing w:line="360" w:lineRule="auto"/>
              <w:ind w:firstLineChars="200" w:firstLine="482"/>
              <w:rPr>
                <w:b/>
                <w:bCs/>
                <w:sz w:val="24"/>
              </w:rPr>
            </w:pPr>
            <w:r w:rsidRPr="008E6AC9">
              <w:rPr>
                <w:b/>
                <w:bCs/>
                <w:sz w:val="24"/>
              </w:rPr>
              <w:t>Q</w:t>
            </w:r>
            <w:r w:rsidRPr="008E6AC9">
              <w:rPr>
                <w:rFonts w:hint="eastAsia"/>
                <w:b/>
                <w:bCs/>
                <w:sz w:val="24"/>
              </w:rPr>
              <w:t>9</w:t>
            </w:r>
            <w:r w:rsidRPr="00817855">
              <w:rPr>
                <w:rFonts w:hint="eastAsia"/>
                <w:b/>
                <w:bCs/>
                <w:sz w:val="24"/>
              </w:rPr>
              <w:t>、公司在低空经济领域有哪些布局？</w:t>
            </w:r>
          </w:p>
          <w:p w:rsidR="00817855" w:rsidRPr="00817855" w:rsidRDefault="00817855" w:rsidP="00817855">
            <w:pPr>
              <w:spacing w:line="360" w:lineRule="auto"/>
              <w:ind w:firstLineChars="200" w:firstLine="480"/>
              <w:rPr>
                <w:sz w:val="24"/>
              </w:rPr>
            </w:pPr>
            <w:r w:rsidRPr="00817855">
              <w:rPr>
                <w:rFonts w:hint="eastAsia"/>
                <w:sz w:val="24"/>
              </w:rPr>
              <w:t>答：中国工程咨询协会低空经济</w:t>
            </w:r>
            <w:r w:rsidR="0005431D">
              <w:rPr>
                <w:rFonts w:hint="eastAsia"/>
                <w:sz w:val="24"/>
              </w:rPr>
              <w:t>专业委员会</w:t>
            </w:r>
            <w:r w:rsidRPr="00817855">
              <w:rPr>
                <w:rFonts w:hint="eastAsia"/>
                <w:sz w:val="24"/>
              </w:rPr>
              <w:t>依托公司旗下上咨公司成立</w:t>
            </w:r>
            <w:r w:rsidR="00B92776">
              <w:rPr>
                <w:rFonts w:hint="eastAsia"/>
                <w:sz w:val="24"/>
              </w:rPr>
              <w:t>。</w:t>
            </w:r>
            <w:r w:rsidRPr="00817855">
              <w:rPr>
                <w:rFonts w:hint="eastAsia"/>
                <w:sz w:val="24"/>
              </w:rPr>
              <w:t>上咨</w:t>
            </w:r>
            <w:r w:rsidR="0005431D">
              <w:rPr>
                <w:rFonts w:hint="eastAsia"/>
                <w:sz w:val="24"/>
              </w:rPr>
              <w:t>公司</w:t>
            </w:r>
            <w:r w:rsidRPr="00817855">
              <w:rPr>
                <w:rFonts w:hint="eastAsia"/>
                <w:sz w:val="24"/>
              </w:rPr>
              <w:t>作为上海市重点智库，近期完成了《上海促进低空经济产业发展的突破口研究》《上海市金山区无人机及通航产业发展策略研究》《上海民用航空产业发展专题研究》等多项重大课题。公司旗下</w:t>
            </w:r>
            <w:bookmarkStart w:id="2" w:name="OLE_LINK3"/>
            <w:bookmarkStart w:id="3" w:name="OLE_LINK4"/>
            <w:r w:rsidRPr="00817855">
              <w:rPr>
                <w:rFonts w:hint="eastAsia"/>
                <w:sz w:val="24"/>
              </w:rPr>
              <w:t>城市运维业务板块将低空无人机搭载影像扫描、数据传输、分析诊断技术，开展智能巡飞、智能巡检</w:t>
            </w:r>
            <w:bookmarkEnd w:id="2"/>
            <w:bookmarkEnd w:id="3"/>
            <w:r w:rsidRPr="00817855">
              <w:rPr>
                <w:rFonts w:hint="eastAsia"/>
                <w:sz w:val="24"/>
              </w:rPr>
              <w:t>，用于桥梁高架病灾评估、建筑外墙安全评估、地铁施工沿线堆土安全隐患排查、城市道路管养巡查、生态城市和环境航拍调查等业务。</w:t>
            </w:r>
          </w:p>
          <w:p w:rsidR="00817855" w:rsidRPr="00291435" w:rsidRDefault="00817855" w:rsidP="00817855">
            <w:pPr>
              <w:spacing w:line="360" w:lineRule="auto"/>
              <w:rPr>
                <w:rFonts w:ascii="仿宋" w:eastAsia="仿宋" w:hAnsi="仿宋"/>
                <w:sz w:val="24"/>
              </w:rPr>
            </w:pPr>
          </w:p>
          <w:p w:rsidR="00817855" w:rsidRPr="00817855" w:rsidRDefault="00817855" w:rsidP="00817855">
            <w:pPr>
              <w:autoSpaceDE w:val="0"/>
              <w:autoSpaceDN w:val="0"/>
              <w:adjustRightInd w:val="0"/>
              <w:snapToGrid w:val="0"/>
              <w:spacing w:line="360" w:lineRule="auto"/>
              <w:ind w:firstLineChars="200" w:firstLine="482"/>
              <w:rPr>
                <w:b/>
                <w:bCs/>
                <w:sz w:val="24"/>
              </w:rPr>
            </w:pPr>
            <w:r>
              <w:rPr>
                <w:b/>
                <w:bCs/>
                <w:sz w:val="24"/>
              </w:rPr>
              <w:t>Q</w:t>
            </w:r>
            <w:r w:rsidRPr="00817855">
              <w:rPr>
                <w:rFonts w:hint="eastAsia"/>
                <w:b/>
                <w:bCs/>
                <w:sz w:val="24"/>
              </w:rPr>
              <w:t>10</w:t>
            </w:r>
            <w:r w:rsidRPr="00817855">
              <w:rPr>
                <w:rFonts w:hint="eastAsia"/>
                <w:b/>
                <w:bCs/>
                <w:sz w:val="24"/>
              </w:rPr>
              <w:t>、公司</w:t>
            </w:r>
            <w:bookmarkStart w:id="4" w:name="OLE_LINK9"/>
            <w:r w:rsidRPr="00817855">
              <w:rPr>
                <w:rFonts w:hint="eastAsia"/>
                <w:b/>
                <w:bCs/>
                <w:sz w:val="24"/>
              </w:rPr>
              <w:t>股东国新控股计划减持股份，主要考虑因素是哪些？</w:t>
            </w:r>
            <w:bookmarkEnd w:id="4"/>
          </w:p>
          <w:p w:rsidR="00817855" w:rsidRPr="00291435" w:rsidRDefault="00817855" w:rsidP="00817855">
            <w:pPr>
              <w:spacing w:line="360" w:lineRule="auto"/>
              <w:ind w:firstLineChars="200" w:firstLine="480"/>
              <w:rPr>
                <w:rFonts w:ascii="仿宋" w:eastAsia="仿宋" w:hAnsi="仿宋"/>
                <w:sz w:val="24"/>
              </w:rPr>
            </w:pPr>
            <w:r w:rsidRPr="00817855">
              <w:rPr>
                <w:rFonts w:hint="eastAsia"/>
                <w:sz w:val="24"/>
              </w:rPr>
              <w:t>答：股东</w:t>
            </w:r>
            <w:r w:rsidR="00BB61BD" w:rsidRPr="00BB61BD">
              <w:rPr>
                <w:rFonts w:hint="eastAsia"/>
                <w:sz w:val="24"/>
              </w:rPr>
              <w:t>国新控股（上海）有限公司</w:t>
            </w:r>
            <w:r w:rsidRPr="00817855">
              <w:rPr>
                <w:rFonts w:hint="eastAsia"/>
                <w:sz w:val="24"/>
              </w:rPr>
              <w:t>持有公司</w:t>
            </w:r>
            <w:r w:rsidRPr="00817855">
              <w:rPr>
                <w:rFonts w:hint="eastAsia"/>
                <w:sz w:val="24"/>
              </w:rPr>
              <w:t>3</w:t>
            </w:r>
            <w:r w:rsidRPr="00817855">
              <w:rPr>
                <w:sz w:val="24"/>
              </w:rPr>
              <w:t>,200</w:t>
            </w:r>
            <w:r w:rsidRPr="00817855">
              <w:rPr>
                <w:rFonts w:hint="eastAsia"/>
                <w:sz w:val="24"/>
              </w:rPr>
              <w:t>万股，持股比例为</w:t>
            </w:r>
            <w:r w:rsidRPr="00817855">
              <w:rPr>
                <w:rFonts w:hint="eastAsia"/>
                <w:sz w:val="24"/>
              </w:rPr>
              <w:t>7</w:t>
            </w:r>
            <w:r w:rsidRPr="00817855">
              <w:rPr>
                <w:sz w:val="24"/>
              </w:rPr>
              <w:t>.81%</w:t>
            </w:r>
            <w:r w:rsidRPr="00817855">
              <w:rPr>
                <w:rFonts w:hint="eastAsia"/>
                <w:sz w:val="24"/>
              </w:rPr>
              <w:t>，</w:t>
            </w:r>
            <w:r w:rsidR="008B0DF5">
              <w:rPr>
                <w:rFonts w:hint="eastAsia"/>
                <w:sz w:val="24"/>
              </w:rPr>
              <w:t>为</w:t>
            </w:r>
            <w:r w:rsidRPr="00817855">
              <w:rPr>
                <w:rFonts w:hint="eastAsia"/>
                <w:sz w:val="24"/>
              </w:rPr>
              <w:t>公司首次公开发行前取得的股份，已于</w:t>
            </w:r>
            <w:r w:rsidRPr="00817855">
              <w:rPr>
                <w:rFonts w:hint="eastAsia"/>
                <w:sz w:val="24"/>
              </w:rPr>
              <w:t>2</w:t>
            </w:r>
            <w:r w:rsidRPr="00817855">
              <w:rPr>
                <w:sz w:val="24"/>
              </w:rPr>
              <w:t>024</w:t>
            </w:r>
            <w:r w:rsidRPr="00817855">
              <w:rPr>
                <w:rFonts w:hint="eastAsia"/>
                <w:sz w:val="24"/>
              </w:rPr>
              <w:t>年</w:t>
            </w:r>
            <w:r w:rsidRPr="00817855">
              <w:rPr>
                <w:rFonts w:hint="eastAsia"/>
                <w:sz w:val="24"/>
              </w:rPr>
              <w:t>3</w:t>
            </w:r>
            <w:r w:rsidRPr="00817855">
              <w:rPr>
                <w:rFonts w:hint="eastAsia"/>
                <w:sz w:val="24"/>
              </w:rPr>
              <w:t>月</w:t>
            </w:r>
            <w:r w:rsidRPr="00817855">
              <w:rPr>
                <w:rFonts w:hint="eastAsia"/>
                <w:sz w:val="24"/>
              </w:rPr>
              <w:t>1</w:t>
            </w:r>
            <w:r w:rsidRPr="00817855">
              <w:rPr>
                <w:sz w:val="24"/>
              </w:rPr>
              <w:t>3</w:t>
            </w:r>
            <w:r w:rsidRPr="00817855">
              <w:rPr>
                <w:rFonts w:hint="eastAsia"/>
                <w:sz w:val="24"/>
              </w:rPr>
              <w:t>日解除限售。</w:t>
            </w:r>
            <w:r w:rsidRPr="00817855">
              <w:rPr>
                <w:rFonts w:hint="eastAsia"/>
                <w:sz w:val="24"/>
              </w:rPr>
              <w:t>2</w:t>
            </w:r>
            <w:r w:rsidRPr="00817855">
              <w:rPr>
                <w:sz w:val="24"/>
              </w:rPr>
              <w:t>025</w:t>
            </w:r>
            <w:r w:rsidRPr="00817855">
              <w:rPr>
                <w:rFonts w:hint="eastAsia"/>
                <w:sz w:val="24"/>
              </w:rPr>
              <w:t>年</w:t>
            </w:r>
            <w:r w:rsidRPr="00817855">
              <w:rPr>
                <w:rFonts w:hint="eastAsia"/>
                <w:sz w:val="24"/>
              </w:rPr>
              <w:t>4</w:t>
            </w:r>
            <w:r w:rsidRPr="00817855">
              <w:rPr>
                <w:rFonts w:hint="eastAsia"/>
                <w:sz w:val="24"/>
              </w:rPr>
              <w:t>月</w:t>
            </w:r>
            <w:r w:rsidRPr="00817855">
              <w:rPr>
                <w:rFonts w:hint="eastAsia"/>
                <w:sz w:val="24"/>
              </w:rPr>
              <w:t>3</w:t>
            </w:r>
            <w:r w:rsidRPr="00817855">
              <w:rPr>
                <w:rFonts w:hint="eastAsia"/>
                <w:sz w:val="24"/>
              </w:rPr>
              <w:t>日</w:t>
            </w:r>
            <w:r w:rsidR="00BB61BD">
              <w:rPr>
                <w:rFonts w:hint="eastAsia"/>
                <w:sz w:val="24"/>
              </w:rPr>
              <w:t>公司</w:t>
            </w:r>
            <w:r w:rsidRPr="00817855">
              <w:rPr>
                <w:rFonts w:hint="eastAsia"/>
                <w:sz w:val="24"/>
              </w:rPr>
              <w:t>发布了关于国新减持的计划公告，减持是股东根据自身资金安排综合考虑的，不会对公司</w:t>
            </w:r>
            <w:r w:rsidRPr="00817855">
              <w:rPr>
                <w:rFonts w:hint="eastAsia"/>
                <w:sz w:val="24"/>
              </w:rPr>
              <w:lastRenderedPageBreak/>
              <w:t>治理结构及持续经营情况产生重大影响。在减持期间内，股东将根据市场情况、公司股价等因素选择是否实施及如何实施减持计划，减持的时间、数量和价格等存在不确定性，请持续关注公司后续披露的相关公告。</w:t>
            </w:r>
          </w:p>
          <w:p w:rsidR="00817855" w:rsidRPr="00291435" w:rsidRDefault="00817855" w:rsidP="00817855">
            <w:pPr>
              <w:spacing w:line="360" w:lineRule="auto"/>
              <w:rPr>
                <w:rFonts w:ascii="仿宋" w:eastAsia="仿宋" w:hAnsi="仿宋"/>
                <w:sz w:val="24"/>
              </w:rPr>
            </w:pPr>
          </w:p>
          <w:p w:rsidR="00817855" w:rsidRPr="00817855" w:rsidRDefault="00817855" w:rsidP="00817855">
            <w:pPr>
              <w:autoSpaceDE w:val="0"/>
              <w:autoSpaceDN w:val="0"/>
              <w:adjustRightInd w:val="0"/>
              <w:snapToGrid w:val="0"/>
              <w:spacing w:line="360" w:lineRule="auto"/>
              <w:ind w:firstLineChars="200" w:firstLine="482"/>
              <w:rPr>
                <w:b/>
                <w:bCs/>
                <w:sz w:val="24"/>
              </w:rPr>
            </w:pPr>
            <w:r>
              <w:rPr>
                <w:b/>
                <w:bCs/>
                <w:sz w:val="24"/>
              </w:rPr>
              <w:t>Q</w:t>
            </w:r>
            <w:r w:rsidRPr="00817855">
              <w:rPr>
                <w:rFonts w:hint="eastAsia"/>
                <w:b/>
                <w:bCs/>
                <w:sz w:val="24"/>
              </w:rPr>
              <w:t>11</w:t>
            </w:r>
            <w:r w:rsidRPr="00817855">
              <w:rPr>
                <w:rFonts w:hint="eastAsia"/>
                <w:b/>
                <w:bCs/>
                <w:sz w:val="24"/>
              </w:rPr>
              <w:t>、</w:t>
            </w:r>
            <w:r w:rsidRPr="00817855">
              <w:rPr>
                <w:b/>
                <w:bCs/>
                <w:sz w:val="24"/>
              </w:rPr>
              <w:t>截至</w:t>
            </w:r>
            <w:r w:rsidRPr="00817855">
              <w:rPr>
                <w:b/>
                <w:bCs/>
                <w:sz w:val="24"/>
              </w:rPr>
              <w:t>2025</w:t>
            </w:r>
            <w:r w:rsidRPr="00817855">
              <w:rPr>
                <w:b/>
                <w:bCs/>
                <w:sz w:val="24"/>
              </w:rPr>
              <w:t>年</w:t>
            </w:r>
            <w:r w:rsidRPr="00817855">
              <w:rPr>
                <w:b/>
                <w:bCs/>
                <w:sz w:val="24"/>
              </w:rPr>
              <w:t>3</w:t>
            </w:r>
            <w:r w:rsidRPr="00817855">
              <w:rPr>
                <w:b/>
                <w:bCs/>
                <w:sz w:val="24"/>
              </w:rPr>
              <w:t>月</w:t>
            </w:r>
            <w:r w:rsidRPr="00817855">
              <w:rPr>
                <w:b/>
                <w:bCs/>
                <w:sz w:val="24"/>
              </w:rPr>
              <w:t>31</w:t>
            </w:r>
            <w:r w:rsidRPr="00817855">
              <w:rPr>
                <w:b/>
                <w:bCs/>
                <w:sz w:val="24"/>
              </w:rPr>
              <w:t>日，公司通过回购专用账户以集中竞价方式回购公司股份</w:t>
            </w:r>
            <w:r w:rsidRPr="00817855">
              <w:rPr>
                <w:b/>
                <w:bCs/>
                <w:sz w:val="24"/>
              </w:rPr>
              <w:t>5,802,710</w:t>
            </w:r>
            <w:r w:rsidRPr="00817855">
              <w:rPr>
                <w:b/>
                <w:bCs/>
                <w:sz w:val="24"/>
              </w:rPr>
              <w:t>股，占公司总股本的比例为</w:t>
            </w:r>
            <w:r w:rsidRPr="00817855">
              <w:rPr>
                <w:b/>
                <w:bCs/>
                <w:sz w:val="24"/>
              </w:rPr>
              <w:t>1.42%</w:t>
            </w:r>
            <w:r w:rsidRPr="00817855">
              <w:rPr>
                <w:b/>
                <w:bCs/>
                <w:sz w:val="24"/>
              </w:rPr>
              <w:t>。未来是否有继续回购计划？</w:t>
            </w:r>
            <w:r w:rsidRPr="00817855">
              <w:rPr>
                <w:rFonts w:hint="eastAsia"/>
                <w:b/>
                <w:bCs/>
                <w:sz w:val="24"/>
              </w:rPr>
              <w:t>公司未来分红展望如何？</w:t>
            </w:r>
          </w:p>
          <w:p w:rsidR="00817855" w:rsidRPr="00817855" w:rsidRDefault="00817855" w:rsidP="00817855">
            <w:pPr>
              <w:spacing w:line="360" w:lineRule="auto"/>
              <w:ind w:firstLineChars="200" w:firstLine="480"/>
              <w:rPr>
                <w:sz w:val="24"/>
              </w:rPr>
            </w:pPr>
            <w:r w:rsidRPr="00817855">
              <w:rPr>
                <w:rFonts w:hint="eastAsia"/>
                <w:sz w:val="24"/>
              </w:rPr>
              <w:t>答：截至</w:t>
            </w:r>
            <w:r w:rsidRPr="00817855">
              <w:rPr>
                <w:rFonts w:hint="eastAsia"/>
                <w:sz w:val="24"/>
              </w:rPr>
              <w:t>2</w:t>
            </w:r>
            <w:r w:rsidRPr="00817855">
              <w:rPr>
                <w:sz w:val="24"/>
              </w:rPr>
              <w:t>025</w:t>
            </w:r>
            <w:r w:rsidRPr="00817855">
              <w:rPr>
                <w:rFonts w:hint="eastAsia"/>
                <w:sz w:val="24"/>
              </w:rPr>
              <w:t>年</w:t>
            </w:r>
            <w:r w:rsidRPr="00817855">
              <w:rPr>
                <w:rFonts w:hint="eastAsia"/>
                <w:sz w:val="24"/>
              </w:rPr>
              <w:t>3</w:t>
            </w:r>
            <w:r w:rsidRPr="00817855">
              <w:rPr>
                <w:rFonts w:hint="eastAsia"/>
                <w:sz w:val="24"/>
              </w:rPr>
              <w:t>月</w:t>
            </w:r>
            <w:r w:rsidRPr="00817855">
              <w:rPr>
                <w:rFonts w:hint="eastAsia"/>
                <w:sz w:val="24"/>
              </w:rPr>
              <w:t>3</w:t>
            </w:r>
            <w:r w:rsidRPr="00817855">
              <w:rPr>
                <w:sz w:val="24"/>
              </w:rPr>
              <w:t>1</w:t>
            </w:r>
            <w:r w:rsidRPr="00817855">
              <w:rPr>
                <w:rFonts w:hint="eastAsia"/>
                <w:sz w:val="24"/>
              </w:rPr>
              <w:t>日，公司回购股份</w:t>
            </w:r>
            <w:r w:rsidRPr="00817855">
              <w:rPr>
                <w:rFonts w:hint="eastAsia"/>
                <w:sz w:val="24"/>
              </w:rPr>
              <w:t>5</w:t>
            </w:r>
            <w:r w:rsidRPr="00817855">
              <w:rPr>
                <w:sz w:val="24"/>
              </w:rPr>
              <w:t>80.27</w:t>
            </w:r>
            <w:r w:rsidRPr="00817855">
              <w:rPr>
                <w:rFonts w:hint="eastAsia"/>
                <w:sz w:val="24"/>
              </w:rPr>
              <w:t>万股，占公司总股本</w:t>
            </w:r>
            <w:r w:rsidRPr="00817855">
              <w:rPr>
                <w:rFonts w:hint="eastAsia"/>
                <w:sz w:val="24"/>
              </w:rPr>
              <w:t>1</w:t>
            </w:r>
            <w:r w:rsidRPr="00817855">
              <w:rPr>
                <w:sz w:val="24"/>
              </w:rPr>
              <w:t>.42%</w:t>
            </w:r>
            <w:r w:rsidRPr="00817855">
              <w:rPr>
                <w:rFonts w:hint="eastAsia"/>
                <w:sz w:val="24"/>
              </w:rPr>
              <w:t>。</w:t>
            </w:r>
            <w:r w:rsidRPr="00817855">
              <w:rPr>
                <w:rFonts w:hint="eastAsia"/>
                <w:sz w:val="24"/>
              </w:rPr>
              <w:t>2</w:t>
            </w:r>
            <w:r w:rsidRPr="00817855">
              <w:rPr>
                <w:sz w:val="24"/>
              </w:rPr>
              <w:t>025</w:t>
            </w:r>
            <w:r w:rsidRPr="00817855">
              <w:rPr>
                <w:rFonts w:hint="eastAsia"/>
                <w:sz w:val="24"/>
              </w:rPr>
              <w:t>年</w:t>
            </w:r>
            <w:r w:rsidRPr="00817855">
              <w:rPr>
                <w:rFonts w:hint="eastAsia"/>
                <w:sz w:val="24"/>
              </w:rPr>
              <w:t>4</w:t>
            </w:r>
            <w:r w:rsidRPr="00817855">
              <w:rPr>
                <w:rFonts w:hint="eastAsia"/>
                <w:sz w:val="24"/>
              </w:rPr>
              <w:t>月</w:t>
            </w:r>
            <w:r w:rsidRPr="00817855">
              <w:rPr>
                <w:sz w:val="24"/>
              </w:rPr>
              <w:t>7</w:t>
            </w:r>
            <w:r w:rsidRPr="00817855">
              <w:rPr>
                <w:rFonts w:hint="eastAsia"/>
                <w:sz w:val="24"/>
              </w:rPr>
              <w:t>日，公司完成回购，实际回购公司股份</w:t>
            </w:r>
            <w:r w:rsidRPr="00817855">
              <w:rPr>
                <w:sz w:val="24"/>
              </w:rPr>
              <w:t>612.49</w:t>
            </w:r>
            <w:r w:rsidRPr="00817855">
              <w:rPr>
                <w:rFonts w:hint="eastAsia"/>
                <w:sz w:val="24"/>
              </w:rPr>
              <w:t>万股，占公司总股本的</w:t>
            </w:r>
            <w:r w:rsidRPr="00817855">
              <w:rPr>
                <w:sz w:val="24"/>
              </w:rPr>
              <w:t>1.49%</w:t>
            </w:r>
            <w:r w:rsidRPr="00817855">
              <w:rPr>
                <w:rFonts w:hint="eastAsia"/>
                <w:sz w:val="24"/>
              </w:rPr>
              <w:t>，并于</w:t>
            </w:r>
            <w:r w:rsidRPr="00817855">
              <w:rPr>
                <w:rFonts w:hint="eastAsia"/>
                <w:sz w:val="24"/>
              </w:rPr>
              <w:t>2</w:t>
            </w:r>
            <w:r w:rsidRPr="00817855">
              <w:rPr>
                <w:sz w:val="24"/>
              </w:rPr>
              <w:t>025</w:t>
            </w:r>
            <w:r w:rsidRPr="00817855">
              <w:rPr>
                <w:rFonts w:hint="eastAsia"/>
                <w:sz w:val="24"/>
              </w:rPr>
              <w:t>年</w:t>
            </w:r>
            <w:r w:rsidRPr="00817855">
              <w:rPr>
                <w:rFonts w:hint="eastAsia"/>
                <w:sz w:val="24"/>
              </w:rPr>
              <w:t>4</w:t>
            </w:r>
            <w:r w:rsidRPr="00817855">
              <w:rPr>
                <w:rFonts w:hint="eastAsia"/>
                <w:sz w:val="24"/>
              </w:rPr>
              <w:t>月</w:t>
            </w:r>
            <w:r w:rsidRPr="00817855">
              <w:rPr>
                <w:rFonts w:hint="eastAsia"/>
                <w:sz w:val="24"/>
              </w:rPr>
              <w:t>9</w:t>
            </w:r>
            <w:r w:rsidRPr="00817855">
              <w:rPr>
                <w:rFonts w:hint="eastAsia"/>
                <w:sz w:val="24"/>
              </w:rPr>
              <w:t>日发布了股份回购实施结果暨股份变动的公告。本次回购的目的是用于员工持股或股权激励计划，回购计划已实施完毕。未来是否再开展回购计划，请持续关注公司披露的</w:t>
            </w:r>
            <w:r w:rsidR="00BB61BD">
              <w:rPr>
                <w:rFonts w:hint="eastAsia"/>
                <w:sz w:val="24"/>
              </w:rPr>
              <w:t>相关</w:t>
            </w:r>
            <w:r w:rsidRPr="00817855">
              <w:rPr>
                <w:rFonts w:hint="eastAsia"/>
                <w:sz w:val="24"/>
              </w:rPr>
              <w:t>公告。</w:t>
            </w:r>
          </w:p>
          <w:p w:rsidR="00817855" w:rsidRPr="00817855" w:rsidRDefault="00817855" w:rsidP="00817855">
            <w:pPr>
              <w:spacing w:line="360" w:lineRule="auto"/>
              <w:ind w:firstLineChars="200" w:firstLine="480"/>
              <w:rPr>
                <w:sz w:val="24"/>
              </w:rPr>
            </w:pPr>
            <w:r w:rsidRPr="00817855">
              <w:rPr>
                <w:rFonts w:hint="eastAsia"/>
                <w:sz w:val="24"/>
              </w:rPr>
              <w:t>公司一直采取持续、稳定的分红政策，重视股东回报，于</w:t>
            </w:r>
            <w:r w:rsidRPr="00817855">
              <w:rPr>
                <w:rFonts w:hint="eastAsia"/>
                <w:sz w:val="24"/>
              </w:rPr>
              <w:t>2</w:t>
            </w:r>
            <w:r w:rsidRPr="00817855">
              <w:rPr>
                <w:sz w:val="24"/>
              </w:rPr>
              <w:t>025</w:t>
            </w:r>
            <w:r w:rsidRPr="00817855">
              <w:rPr>
                <w:rFonts w:hint="eastAsia"/>
                <w:sz w:val="24"/>
              </w:rPr>
              <w:t>年</w:t>
            </w:r>
            <w:r w:rsidRPr="00817855">
              <w:rPr>
                <w:rFonts w:hint="eastAsia"/>
                <w:sz w:val="24"/>
              </w:rPr>
              <w:t>4</w:t>
            </w:r>
            <w:r w:rsidRPr="00817855">
              <w:rPr>
                <w:rFonts w:hint="eastAsia"/>
                <w:sz w:val="24"/>
              </w:rPr>
              <w:t>月</w:t>
            </w:r>
            <w:r w:rsidRPr="00817855">
              <w:rPr>
                <w:rFonts w:hint="eastAsia"/>
                <w:sz w:val="24"/>
              </w:rPr>
              <w:t>2</w:t>
            </w:r>
            <w:r w:rsidRPr="00817855">
              <w:rPr>
                <w:sz w:val="24"/>
              </w:rPr>
              <w:t>4</w:t>
            </w:r>
            <w:r w:rsidRPr="00817855">
              <w:rPr>
                <w:rFonts w:hint="eastAsia"/>
                <w:sz w:val="24"/>
              </w:rPr>
              <w:t>日经董事会审议通过</w:t>
            </w:r>
            <w:r w:rsidRPr="00817855">
              <w:rPr>
                <w:rFonts w:hint="eastAsia"/>
                <w:sz w:val="24"/>
              </w:rPr>
              <w:t>2</w:t>
            </w:r>
            <w:r w:rsidRPr="00817855">
              <w:rPr>
                <w:sz w:val="24"/>
              </w:rPr>
              <w:t>024</w:t>
            </w:r>
            <w:r w:rsidRPr="00817855">
              <w:rPr>
                <w:rFonts w:hint="eastAsia"/>
                <w:sz w:val="24"/>
              </w:rPr>
              <w:t>年度分红预案，拟每</w:t>
            </w:r>
            <w:r w:rsidRPr="00817855">
              <w:rPr>
                <w:rFonts w:hint="eastAsia"/>
                <w:sz w:val="24"/>
              </w:rPr>
              <w:t>1</w:t>
            </w:r>
            <w:r w:rsidRPr="00817855">
              <w:rPr>
                <w:sz w:val="24"/>
              </w:rPr>
              <w:t>0</w:t>
            </w:r>
            <w:r w:rsidRPr="00817855">
              <w:rPr>
                <w:sz w:val="24"/>
              </w:rPr>
              <w:t>股派发现金红利</w:t>
            </w:r>
            <w:r w:rsidRPr="00817855">
              <w:rPr>
                <w:sz w:val="24"/>
              </w:rPr>
              <w:t>2.55</w:t>
            </w:r>
            <w:r w:rsidRPr="00817855">
              <w:rPr>
                <w:sz w:val="24"/>
              </w:rPr>
              <w:t>元（含税）</w:t>
            </w:r>
            <w:r w:rsidRPr="00817855">
              <w:rPr>
                <w:rFonts w:hint="eastAsia"/>
                <w:sz w:val="24"/>
              </w:rPr>
              <w:t>，</w:t>
            </w:r>
            <w:r w:rsidRPr="00817855">
              <w:rPr>
                <w:sz w:val="24"/>
              </w:rPr>
              <w:t>合计拟派发现金红利</w:t>
            </w:r>
            <w:r w:rsidRPr="00817855">
              <w:rPr>
                <w:sz w:val="24"/>
              </w:rPr>
              <w:t>102,952,729.98</w:t>
            </w:r>
            <w:r w:rsidRPr="00817855">
              <w:rPr>
                <w:sz w:val="24"/>
              </w:rPr>
              <w:t>元（含税），占公司</w:t>
            </w:r>
            <w:r w:rsidRPr="00817855">
              <w:rPr>
                <w:sz w:val="24"/>
              </w:rPr>
              <w:t>2024</w:t>
            </w:r>
            <w:r w:rsidRPr="00817855">
              <w:rPr>
                <w:sz w:val="24"/>
              </w:rPr>
              <w:t>年年度归属于公司股东的净利润比例为</w:t>
            </w:r>
            <w:r w:rsidRPr="00817855">
              <w:rPr>
                <w:sz w:val="24"/>
              </w:rPr>
              <w:t>30.05%</w:t>
            </w:r>
            <w:r w:rsidRPr="00817855">
              <w:rPr>
                <w:sz w:val="24"/>
              </w:rPr>
              <w:t>。</w:t>
            </w:r>
            <w:r w:rsidRPr="00817855">
              <w:rPr>
                <w:rFonts w:hint="eastAsia"/>
                <w:sz w:val="24"/>
              </w:rPr>
              <w:t>2</w:t>
            </w:r>
            <w:r w:rsidRPr="00817855">
              <w:rPr>
                <w:sz w:val="24"/>
              </w:rPr>
              <w:t>024</w:t>
            </w:r>
            <w:r w:rsidRPr="00817855">
              <w:rPr>
                <w:rFonts w:hint="eastAsia"/>
                <w:sz w:val="24"/>
              </w:rPr>
              <w:t>年度</w:t>
            </w:r>
            <w:r w:rsidRPr="00817855">
              <w:rPr>
                <w:sz w:val="24"/>
              </w:rPr>
              <w:t>以现金为对价，采用集中竞价方式已实施的股份回购金额</w:t>
            </w:r>
            <w:r w:rsidRPr="00817855">
              <w:rPr>
                <w:sz w:val="24"/>
              </w:rPr>
              <w:t>94,965,451.50</w:t>
            </w:r>
            <w:r w:rsidRPr="00817855">
              <w:rPr>
                <w:sz w:val="24"/>
              </w:rPr>
              <w:t>元，现金分红和回购金额合计</w:t>
            </w:r>
            <w:r w:rsidRPr="00817855">
              <w:rPr>
                <w:sz w:val="24"/>
              </w:rPr>
              <w:t>197,918,181.48</w:t>
            </w:r>
            <w:r w:rsidRPr="00817855">
              <w:rPr>
                <w:sz w:val="24"/>
              </w:rPr>
              <w:t>元，占</w:t>
            </w:r>
            <w:r w:rsidRPr="00817855">
              <w:rPr>
                <w:rFonts w:hint="eastAsia"/>
                <w:sz w:val="24"/>
              </w:rPr>
              <w:t>2</w:t>
            </w:r>
            <w:r w:rsidRPr="00817855">
              <w:rPr>
                <w:sz w:val="24"/>
              </w:rPr>
              <w:t>024</w:t>
            </w:r>
            <w:r w:rsidRPr="00817855">
              <w:rPr>
                <w:rFonts w:hint="eastAsia"/>
                <w:sz w:val="24"/>
              </w:rPr>
              <w:t>年度</w:t>
            </w:r>
            <w:r w:rsidRPr="00817855">
              <w:rPr>
                <w:sz w:val="24"/>
              </w:rPr>
              <w:t>归属于上市公司股东净利润的比例</w:t>
            </w:r>
            <w:r w:rsidRPr="00817855">
              <w:rPr>
                <w:sz w:val="24"/>
              </w:rPr>
              <w:t>57.77%</w:t>
            </w:r>
            <w:r w:rsidRPr="00817855">
              <w:rPr>
                <w:sz w:val="24"/>
              </w:rPr>
              <w:t>。</w:t>
            </w:r>
          </w:p>
          <w:p w:rsidR="00817855" w:rsidRPr="00291435" w:rsidRDefault="00817855" w:rsidP="00817855">
            <w:pPr>
              <w:spacing w:line="360" w:lineRule="auto"/>
              <w:ind w:firstLineChars="200" w:firstLine="480"/>
              <w:rPr>
                <w:rFonts w:ascii="仿宋" w:eastAsia="仿宋" w:hAnsi="仿宋"/>
                <w:sz w:val="24"/>
              </w:rPr>
            </w:pPr>
            <w:r w:rsidRPr="00817855">
              <w:rPr>
                <w:rFonts w:hint="eastAsia"/>
                <w:sz w:val="24"/>
              </w:rPr>
              <w:t>公司保持利润分配政策的连续性和稳定性，综合考虑所处行业特点、发展阶段、自身经营模式、盈利水平以及是否有重大资金支出安排等因素开展现金分红，更好与股东分享经营成果。</w:t>
            </w:r>
          </w:p>
          <w:p w:rsidR="00817855" w:rsidRPr="00291435" w:rsidRDefault="00817855" w:rsidP="00817855">
            <w:pPr>
              <w:spacing w:line="360" w:lineRule="auto"/>
              <w:rPr>
                <w:rFonts w:ascii="仿宋" w:eastAsia="仿宋" w:hAnsi="仿宋"/>
                <w:sz w:val="24"/>
              </w:rPr>
            </w:pPr>
          </w:p>
          <w:p w:rsidR="00817855" w:rsidRPr="00817855" w:rsidRDefault="00817855" w:rsidP="00817855">
            <w:pPr>
              <w:autoSpaceDE w:val="0"/>
              <w:autoSpaceDN w:val="0"/>
              <w:adjustRightInd w:val="0"/>
              <w:snapToGrid w:val="0"/>
              <w:spacing w:line="360" w:lineRule="auto"/>
              <w:ind w:firstLineChars="200" w:firstLine="482"/>
              <w:rPr>
                <w:b/>
                <w:bCs/>
                <w:sz w:val="24"/>
              </w:rPr>
            </w:pPr>
            <w:r>
              <w:rPr>
                <w:b/>
                <w:bCs/>
                <w:sz w:val="24"/>
              </w:rPr>
              <w:t>Q</w:t>
            </w:r>
            <w:r w:rsidRPr="00817855">
              <w:rPr>
                <w:rFonts w:hint="eastAsia"/>
                <w:b/>
                <w:bCs/>
                <w:sz w:val="24"/>
              </w:rPr>
              <w:t>1</w:t>
            </w:r>
            <w:r>
              <w:rPr>
                <w:b/>
                <w:bCs/>
                <w:sz w:val="24"/>
              </w:rPr>
              <w:t>2</w:t>
            </w:r>
            <w:r w:rsidRPr="00817855">
              <w:rPr>
                <w:rFonts w:hint="eastAsia"/>
                <w:b/>
                <w:bCs/>
                <w:sz w:val="24"/>
              </w:rPr>
              <w:t>、公司在</w:t>
            </w:r>
            <w:r w:rsidRPr="00817855">
              <w:rPr>
                <w:rFonts w:hint="eastAsia"/>
                <w:b/>
                <w:bCs/>
                <w:sz w:val="24"/>
              </w:rPr>
              <w:t>AI</w:t>
            </w:r>
            <w:r w:rsidRPr="00817855">
              <w:rPr>
                <w:rFonts w:hint="eastAsia"/>
                <w:b/>
                <w:bCs/>
                <w:sz w:val="24"/>
              </w:rPr>
              <w:t>设计及数字化领域有哪些优势？</w:t>
            </w:r>
          </w:p>
          <w:p w:rsidR="002C3304" w:rsidRDefault="00817855" w:rsidP="002C3304">
            <w:pPr>
              <w:spacing w:line="360" w:lineRule="auto"/>
              <w:ind w:firstLineChars="200" w:firstLine="480"/>
              <w:rPr>
                <w:sz w:val="24"/>
              </w:rPr>
            </w:pPr>
            <w:r w:rsidRPr="00817855">
              <w:rPr>
                <w:rFonts w:hint="eastAsia"/>
                <w:sz w:val="24"/>
              </w:rPr>
              <w:t>答：在</w:t>
            </w:r>
            <w:r w:rsidRPr="00817855">
              <w:rPr>
                <w:sz w:val="24"/>
              </w:rPr>
              <w:t>AI</w:t>
            </w:r>
            <w:r w:rsidRPr="00817855">
              <w:rPr>
                <w:sz w:val="24"/>
              </w:rPr>
              <w:t>设计领域，</w:t>
            </w:r>
            <w:r w:rsidRPr="00817855">
              <w:rPr>
                <w:rFonts w:hint="eastAsia"/>
                <w:sz w:val="24"/>
              </w:rPr>
              <w:t>公司</w:t>
            </w:r>
            <w:r w:rsidR="00BB61BD">
              <w:rPr>
                <w:sz w:val="24"/>
              </w:rPr>
              <w:t>及子公司</w:t>
            </w:r>
            <w:r w:rsidRPr="00817855">
              <w:rPr>
                <w:sz w:val="24"/>
              </w:rPr>
              <w:t>立项了</w:t>
            </w:r>
            <w:r w:rsidR="00BB61BD">
              <w:rPr>
                <w:rFonts w:hint="eastAsia"/>
                <w:sz w:val="24"/>
              </w:rPr>
              <w:t>多项</w:t>
            </w:r>
            <w:r w:rsidRPr="00817855">
              <w:rPr>
                <w:sz w:val="24"/>
              </w:rPr>
              <w:t>相关科技研发与数字化转型项目，支持该领域的技术研发与落地应用。目前，</w:t>
            </w:r>
            <w:r w:rsidRPr="00817855">
              <w:rPr>
                <w:rFonts w:hint="eastAsia"/>
                <w:sz w:val="24"/>
              </w:rPr>
              <w:t>公</w:t>
            </w:r>
            <w:r w:rsidRPr="00817855">
              <w:rPr>
                <w:rFonts w:hint="eastAsia"/>
                <w:sz w:val="24"/>
              </w:rPr>
              <w:lastRenderedPageBreak/>
              <w:t>司下属建科院城市更新与工程设计研究院</w:t>
            </w:r>
            <w:r w:rsidRPr="00817855">
              <w:rPr>
                <w:sz w:val="24"/>
              </w:rPr>
              <w:t>已基本建立了基于</w:t>
            </w:r>
            <w:r w:rsidRPr="00817855">
              <w:rPr>
                <w:sz w:val="24"/>
              </w:rPr>
              <w:t>AI</w:t>
            </w:r>
            <w:r w:rsidRPr="00817855">
              <w:rPr>
                <w:rFonts w:hint="eastAsia"/>
                <w:sz w:val="24"/>
              </w:rPr>
              <w:t>技术</w:t>
            </w:r>
            <w:r w:rsidRPr="00817855">
              <w:rPr>
                <w:sz w:val="24"/>
              </w:rPr>
              <w:t>辅助的建筑创意设计工作流程，设计师可以借助</w:t>
            </w:r>
            <w:r w:rsidRPr="00817855">
              <w:rPr>
                <w:sz w:val="24"/>
              </w:rPr>
              <w:t>AI</w:t>
            </w:r>
            <w:r w:rsidRPr="00817855">
              <w:rPr>
                <w:sz w:val="24"/>
              </w:rPr>
              <w:t>工具进行前期资料及规范收集、概念设计辅助生成、空间与建筑效果渲染、设计方案评估与迭代优化等工作，提高了设计效率。</w:t>
            </w:r>
          </w:p>
          <w:p w:rsidR="002C3304" w:rsidRPr="00817855" w:rsidRDefault="002C3304" w:rsidP="002C3304">
            <w:pPr>
              <w:spacing w:line="360" w:lineRule="auto"/>
              <w:ind w:firstLineChars="200" w:firstLine="480"/>
              <w:rPr>
                <w:sz w:val="24"/>
              </w:rPr>
            </w:pPr>
            <w:r>
              <w:rPr>
                <w:rFonts w:hint="eastAsia"/>
                <w:sz w:val="24"/>
              </w:rPr>
              <w:t>在数字化领域，公司不断推进数智转型，赋能主业提质增效。</w:t>
            </w:r>
            <w:r w:rsidRPr="002C3304">
              <w:rPr>
                <w:rFonts w:hint="eastAsia"/>
                <w:sz w:val="24"/>
              </w:rPr>
              <w:t>一是实施数字化转型战略，</w:t>
            </w:r>
            <w:r w:rsidRPr="002C3304">
              <w:rPr>
                <w:sz w:val="24"/>
              </w:rPr>
              <w:t>深化顶层设计</w:t>
            </w:r>
            <w:r w:rsidRPr="002C3304">
              <w:rPr>
                <w:rFonts w:hint="eastAsia"/>
                <w:sz w:val="24"/>
              </w:rPr>
              <w:t>，</w:t>
            </w:r>
            <w:r>
              <w:rPr>
                <w:rFonts w:hint="eastAsia"/>
                <w:sz w:val="24"/>
              </w:rPr>
              <w:t>已编制两轮</w:t>
            </w:r>
            <w:r w:rsidRPr="002C3304">
              <w:rPr>
                <w:sz w:val="24"/>
              </w:rPr>
              <w:t>数字化转型三年行动规划</w:t>
            </w:r>
            <w:r w:rsidRPr="002C3304">
              <w:rPr>
                <w:rFonts w:hint="eastAsia"/>
                <w:sz w:val="24"/>
              </w:rPr>
              <w:t>。</w:t>
            </w:r>
            <w:r>
              <w:rPr>
                <w:rFonts w:hint="eastAsia"/>
                <w:sz w:val="24"/>
              </w:rPr>
              <w:t>二是</w:t>
            </w:r>
            <w:r w:rsidRPr="002C3304">
              <w:rPr>
                <w:sz w:val="24"/>
              </w:rPr>
              <w:t>加快</w:t>
            </w:r>
            <w:r w:rsidRPr="002C3304">
              <w:rPr>
                <w:sz w:val="24"/>
              </w:rPr>
              <w:t>“</w:t>
            </w:r>
            <w:r w:rsidRPr="002C3304">
              <w:rPr>
                <w:sz w:val="24"/>
              </w:rPr>
              <w:t>数字化</w:t>
            </w:r>
            <w:r w:rsidRPr="002C3304">
              <w:rPr>
                <w:sz w:val="24"/>
              </w:rPr>
              <w:t>+</w:t>
            </w:r>
            <w:r w:rsidRPr="002C3304">
              <w:rPr>
                <w:sz w:val="24"/>
              </w:rPr>
              <w:t>智能化</w:t>
            </w:r>
            <w:r w:rsidRPr="002C3304">
              <w:rPr>
                <w:sz w:val="24"/>
              </w:rPr>
              <w:t>”</w:t>
            </w:r>
            <w:r w:rsidRPr="002C3304">
              <w:rPr>
                <w:sz w:val="24"/>
              </w:rPr>
              <w:t>融合发展</w:t>
            </w:r>
            <w:r>
              <w:rPr>
                <w:rFonts w:hint="eastAsia"/>
                <w:sz w:val="24"/>
              </w:rPr>
              <w:t>，</w:t>
            </w:r>
            <w:r w:rsidRPr="002C3304">
              <w:rPr>
                <w:rFonts w:hint="eastAsia"/>
                <w:sz w:val="24"/>
              </w:rPr>
              <w:t>形成一批具有自主知识产权的数字平台和智能检测装备。打造工</w:t>
            </w:r>
            <w:r>
              <w:rPr>
                <w:rFonts w:hint="eastAsia"/>
                <w:sz w:val="24"/>
              </w:rPr>
              <w:t>程监理、建筑运维、环境治理等领域多项典型平台，赋能管理效能提升</w:t>
            </w:r>
            <w:r w:rsidRPr="002C3304">
              <w:rPr>
                <w:rFonts w:hint="eastAsia"/>
                <w:sz w:val="24"/>
              </w:rPr>
              <w:t>。</w:t>
            </w:r>
            <w:r w:rsidRPr="002C3304">
              <w:rPr>
                <w:sz w:val="24"/>
              </w:rPr>
              <w:t>加快建设</w:t>
            </w:r>
            <w:r w:rsidRPr="002C3304">
              <w:rPr>
                <w:rFonts w:hint="eastAsia"/>
                <w:sz w:val="24"/>
              </w:rPr>
              <w:t>工程检测</w:t>
            </w:r>
            <w:r w:rsidRPr="002C3304">
              <w:rPr>
                <w:sz w:val="24"/>
              </w:rPr>
              <w:t>数字</w:t>
            </w:r>
            <w:r w:rsidRPr="002C3304">
              <w:rPr>
                <w:rFonts w:hint="eastAsia"/>
                <w:sz w:val="24"/>
              </w:rPr>
              <w:t>化</w:t>
            </w:r>
            <w:r w:rsidRPr="002C3304">
              <w:rPr>
                <w:sz w:val="24"/>
              </w:rPr>
              <w:t>实验室，加速推进</w:t>
            </w:r>
            <w:r w:rsidRPr="002C3304">
              <w:rPr>
                <w:sz w:val="24"/>
              </w:rPr>
              <w:t>AI</w:t>
            </w:r>
            <w:r w:rsidRPr="002C3304">
              <w:rPr>
                <w:sz w:val="24"/>
              </w:rPr>
              <w:t>和大</w:t>
            </w:r>
            <w:r>
              <w:rPr>
                <w:sz w:val="24"/>
              </w:rPr>
              <w:t>数据等技术在桥梁运行评估、房屋建筑检测等场景的应用</w:t>
            </w:r>
            <w:r>
              <w:rPr>
                <w:rFonts w:hint="eastAsia"/>
                <w:sz w:val="24"/>
              </w:rPr>
              <w:t>等</w:t>
            </w:r>
            <w:r w:rsidRPr="002C3304">
              <w:rPr>
                <w:sz w:val="24"/>
              </w:rPr>
              <w:t>。</w:t>
            </w:r>
            <w:r>
              <w:rPr>
                <w:rFonts w:hint="eastAsia"/>
                <w:sz w:val="24"/>
              </w:rPr>
              <w:t>三是</w:t>
            </w:r>
            <w:r w:rsidRPr="002C3304">
              <w:rPr>
                <w:sz w:val="24"/>
              </w:rPr>
              <w:t>加快数字产业化探索实践</w:t>
            </w:r>
            <w:r w:rsidRPr="002C3304">
              <w:rPr>
                <w:rFonts w:hint="eastAsia"/>
                <w:sz w:val="24"/>
              </w:rPr>
              <w:t>，形成数字检测、智慧工地、文物建筑预防性保护等多个通用型专业服务平台产品。围</w:t>
            </w:r>
            <w:r w:rsidRPr="002C3304">
              <w:rPr>
                <w:sz w:val="24"/>
              </w:rPr>
              <w:t>绕企业数字化转型需求，形成系统的数字化咨询和实施建设能力，为企业提供数字化转型规划咨询服务</w:t>
            </w:r>
            <w:r>
              <w:rPr>
                <w:rFonts w:hint="eastAsia"/>
                <w:sz w:val="24"/>
              </w:rPr>
              <w:t>等。</w:t>
            </w:r>
          </w:p>
          <w:p w:rsidR="00817855" w:rsidRPr="00291435" w:rsidRDefault="00817855" w:rsidP="00817855">
            <w:pPr>
              <w:spacing w:after="156" w:line="360" w:lineRule="auto"/>
              <w:rPr>
                <w:rFonts w:ascii="仿宋" w:eastAsia="仿宋" w:hAnsi="仿宋"/>
                <w:sz w:val="24"/>
              </w:rPr>
            </w:pPr>
            <w:bookmarkStart w:id="5" w:name="OLE_LINK5"/>
            <w:bookmarkStart w:id="6" w:name="OLE_LINK6"/>
            <w:bookmarkStart w:id="7" w:name="OLE_LINK7"/>
            <w:bookmarkStart w:id="8" w:name="OLE_LINK8"/>
          </w:p>
          <w:p w:rsidR="00817855" w:rsidRPr="00817855" w:rsidRDefault="00817855" w:rsidP="00817855">
            <w:pPr>
              <w:autoSpaceDE w:val="0"/>
              <w:autoSpaceDN w:val="0"/>
              <w:adjustRightInd w:val="0"/>
              <w:snapToGrid w:val="0"/>
              <w:spacing w:line="360" w:lineRule="auto"/>
              <w:ind w:firstLineChars="200" w:firstLine="482"/>
              <w:rPr>
                <w:b/>
                <w:bCs/>
                <w:sz w:val="24"/>
              </w:rPr>
            </w:pPr>
            <w:r>
              <w:rPr>
                <w:b/>
                <w:bCs/>
                <w:sz w:val="24"/>
              </w:rPr>
              <w:t>Q</w:t>
            </w:r>
            <w:r w:rsidRPr="00817855">
              <w:rPr>
                <w:rFonts w:hint="eastAsia"/>
                <w:b/>
                <w:bCs/>
                <w:sz w:val="24"/>
              </w:rPr>
              <w:t>1</w:t>
            </w:r>
            <w:r>
              <w:rPr>
                <w:b/>
                <w:bCs/>
                <w:sz w:val="24"/>
              </w:rPr>
              <w:t>3</w:t>
            </w:r>
            <w:r w:rsidRPr="00817855">
              <w:rPr>
                <w:rFonts w:hint="eastAsia"/>
                <w:b/>
                <w:bCs/>
                <w:sz w:val="24"/>
              </w:rPr>
              <w:t>、上海市国资委开会试点国有上市公司市值考核，目前有哪些量化指标</w:t>
            </w:r>
            <w:bookmarkEnd w:id="5"/>
            <w:bookmarkEnd w:id="6"/>
            <w:r w:rsidRPr="00817855">
              <w:rPr>
                <w:rFonts w:hint="eastAsia"/>
                <w:b/>
                <w:bCs/>
                <w:sz w:val="24"/>
              </w:rPr>
              <w:t>吗？公司采取哪些措施？</w:t>
            </w:r>
            <w:bookmarkEnd w:id="7"/>
            <w:bookmarkEnd w:id="8"/>
          </w:p>
          <w:p w:rsidR="00817855" w:rsidRPr="00817855" w:rsidRDefault="00817855" w:rsidP="00817855">
            <w:pPr>
              <w:spacing w:line="360" w:lineRule="auto"/>
              <w:ind w:firstLineChars="200" w:firstLine="480"/>
              <w:rPr>
                <w:sz w:val="24"/>
              </w:rPr>
            </w:pPr>
            <w:r w:rsidRPr="00817855">
              <w:rPr>
                <w:rFonts w:hint="eastAsia"/>
                <w:sz w:val="24"/>
              </w:rPr>
              <w:t>答：</w:t>
            </w:r>
            <w:r w:rsidRPr="00817855">
              <w:rPr>
                <w:sz w:val="24"/>
              </w:rPr>
              <w:t>上海市国资委在确定国企领导人员新一轮任期考核目标时，已经将市值管理绩效纳入考核体系。</w:t>
            </w:r>
            <w:r w:rsidRPr="00817855">
              <w:rPr>
                <w:rFonts w:hint="eastAsia"/>
                <w:sz w:val="24"/>
              </w:rPr>
              <w:t>量化指标体系从多个考量角度出发，例如营收和净利润在行业中的地位、行业相对总市值、投资者关系、分红情况等</w:t>
            </w:r>
            <w:r w:rsidR="00731552">
              <w:rPr>
                <w:rFonts w:hint="eastAsia"/>
                <w:sz w:val="24"/>
              </w:rPr>
              <w:t>多维度</w:t>
            </w:r>
            <w:bookmarkStart w:id="9" w:name="_GoBack"/>
            <w:bookmarkEnd w:id="9"/>
            <w:r w:rsidRPr="00817855">
              <w:rPr>
                <w:rFonts w:hint="eastAsia"/>
                <w:sz w:val="24"/>
              </w:rPr>
              <w:t>。</w:t>
            </w:r>
          </w:p>
          <w:p w:rsidR="00817855" w:rsidRPr="00817855" w:rsidRDefault="00817855" w:rsidP="00817855">
            <w:pPr>
              <w:spacing w:line="360" w:lineRule="auto"/>
              <w:ind w:firstLineChars="200" w:firstLine="480"/>
              <w:rPr>
                <w:sz w:val="24"/>
              </w:rPr>
            </w:pPr>
            <w:r w:rsidRPr="00817855">
              <w:rPr>
                <w:sz w:val="24"/>
              </w:rPr>
              <w:t>公司将积极努力从以下三个方面做好市值管理与维护</w:t>
            </w:r>
            <w:r w:rsidRPr="00817855">
              <w:rPr>
                <w:rFonts w:hint="eastAsia"/>
                <w:sz w:val="24"/>
              </w:rPr>
              <w:t>：</w:t>
            </w:r>
            <w:r w:rsidRPr="00817855">
              <w:rPr>
                <w:sz w:val="24"/>
              </w:rPr>
              <w:t>一是夯实价值基础。始终按照战略规划导向，紧跟绿色低碳、城市更新、安全韧性等社会重大需求，全面推动主业提升服务能力、拓展服务范围、延伸服务链条，打造更强市场竞争优势，促进主业做强做优做精，进一步增强市场信心。二是提升价值创造。抓住</w:t>
            </w:r>
            <w:r w:rsidRPr="00817855">
              <w:rPr>
                <w:sz w:val="24"/>
              </w:rPr>
              <w:t>“</w:t>
            </w:r>
            <w:r w:rsidRPr="00817855">
              <w:rPr>
                <w:sz w:val="24"/>
              </w:rPr>
              <w:t>碳达峰与碳中和</w:t>
            </w:r>
            <w:r w:rsidRPr="00817855">
              <w:rPr>
                <w:sz w:val="24"/>
              </w:rPr>
              <w:t>”</w:t>
            </w:r>
            <w:r w:rsidRPr="00817855">
              <w:rPr>
                <w:sz w:val="24"/>
              </w:rPr>
              <w:t>、</w:t>
            </w:r>
            <w:r w:rsidRPr="00817855">
              <w:rPr>
                <w:sz w:val="24"/>
              </w:rPr>
              <w:t>“</w:t>
            </w:r>
            <w:r w:rsidRPr="00817855">
              <w:rPr>
                <w:sz w:val="24"/>
              </w:rPr>
              <w:t>城市更新与韧性城市</w:t>
            </w:r>
            <w:r w:rsidRPr="00817855">
              <w:rPr>
                <w:sz w:val="24"/>
              </w:rPr>
              <w:t>”</w:t>
            </w:r>
            <w:r w:rsidRPr="00817855">
              <w:rPr>
                <w:sz w:val="24"/>
              </w:rPr>
              <w:t>、</w:t>
            </w:r>
            <w:r w:rsidRPr="00817855">
              <w:rPr>
                <w:sz w:val="24"/>
              </w:rPr>
              <w:t>“</w:t>
            </w:r>
            <w:r w:rsidRPr="00817855">
              <w:rPr>
                <w:sz w:val="24"/>
              </w:rPr>
              <w:t>全面数字化转型</w:t>
            </w:r>
            <w:r w:rsidRPr="00817855">
              <w:rPr>
                <w:sz w:val="24"/>
              </w:rPr>
              <w:t>”</w:t>
            </w:r>
            <w:r w:rsidRPr="00817855">
              <w:rPr>
                <w:sz w:val="24"/>
              </w:rPr>
              <w:t>三条主线，集聚研发资源，积极承担重大科研项目、编制重要标准、发挥智库作用，</w:t>
            </w:r>
            <w:r w:rsidRPr="00817855">
              <w:rPr>
                <w:sz w:val="24"/>
              </w:rPr>
              <w:lastRenderedPageBreak/>
              <w:t>打造具有国内外领先水平的专项技术。围绕主业能力提升和领域地域拓展开展投资并购，充分发挥资本市场资源配置功能，深化外延式发展模式，聚焦工程咨询、检测检验两大核心主业和粤港澳大湾区、西南成渝城市群等区域，加大特种设备、电子电器、汽车、新能源检测等领域以及投资咨询、石化、水利水务工程咨询等领域的投资并购项目开发和推进力度。三是促进价值实现。通过切实可行的方式与投资者开展交流，不断完善治理结构和内部控制，将</w:t>
            </w:r>
            <w:r w:rsidRPr="00817855">
              <w:rPr>
                <w:sz w:val="24"/>
              </w:rPr>
              <w:t>ESG</w:t>
            </w:r>
            <w:r w:rsidRPr="00817855">
              <w:rPr>
                <w:sz w:val="24"/>
              </w:rPr>
              <w:t>理念融入企业战略、日常运行和专业服务，加强与行业分析师的互动，提升投资者对公司战略和长期投资价值的认同。</w:t>
            </w:r>
          </w:p>
        </w:tc>
      </w:tr>
      <w:tr w:rsidR="00B23B6D" w:rsidRPr="000F49E6" w:rsidTr="00E9164F">
        <w:trPr>
          <w:trHeight w:val="699"/>
          <w:jc w:val="center"/>
        </w:trPr>
        <w:tc>
          <w:tcPr>
            <w:tcW w:w="1739" w:type="dxa"/>
            <w:vAlign w:val="center"/>
          </w:tcPr>
          <w:p w:rsidR="00B23B6D" w:rsidRPr="000F49E6" w:rsidRDefault="00B23B6D" w:rsidP="000F49E6">
            <w:pPr>
              <w:spacing w:line="360" w:lineRule="auto"/>
              <w:rPr>
                <w:rFonts w:ascii="宋体" w:hAnsi="宋体" w:cs="方正黑体_GBK"/>
                <w:bCs/>
                <w:iCs/>
                <w:color w:val="000000"/>
                <w:sz w:val="24"/>
              </w:rPr>
            </w:pPr>
            <w:r w:rsidRPr="000F49E6">
              <w:rPr>
                <w:rFonts w:ascii="宋体" w:hAnsi="宋体" w:cs="方正黑体_GBK" w:hint="eastAsia"/>
                <w:bCs/>
                <w:iCs/>
                <w:color w:val="000000"/>
                <w:sz w:val="24"/>
              </w:rPr>
              <w:lastRenderedPageBreak/>
              <w:t>附件清单</w:t>
            </w:r>
          </w:p>
        </w:tc>
        <w:tc>
          <w:tcPr>
            <w:tcW w:w="7164" w:type="dxa"/>
            <w:vAlign w:val="center"/>
          </w:tcPr>
          <w:p w:rsidR="00B23B6D" w:rsidRPr="000F49E6" w:rsidRDefault="00B23B6D" w:rsidP="000F49E6">
            <w:pPr>
              <w:spacing w:line="360" w:lineRule="auto"/>
              <w:rPr>
                <w:rFonts w:ascii="宋体" w:hAnsi="宋体" w:cs="方正黑体_GBK"/>
                <w:bCs/>
                <w:iCs/>
                <w:color w:val="000000"/>
                <w:sz w:val="24"/>
              </w:rPr>
            </w:pPr>
            <w:r w:rsidRPr="000F49E6">
              <w:rPr>
                <w:rFonts w:ascii="宋体" w:hAnsi="宋体" w:cs="方正黑体_GBK" w:hint="eastAsia"/>
                <w:bCs/>
                <w:iCs/>
                <w:color w:val="000000"/>
                <w:sz w:val="24"/>
              </w:rPr>
              <w:t>无</w:t>
            </w:r>
          </w:p>
        </w:tc>
      </w:tr>
      <w:tr w:rsidR="00B23B6D" w:rsidRPr="000F49E6" w:rsidTr="00E9164F">
        <w:trPr>
          <w:trHeight w:val="699"/>
          <w:jc w:val="center"/>
        </w:trPr>
        <w:tc>
          <w:tcPr>
            <w:tcW w:w="1739" w:type="dxa"/>
            <w:vAlign w:val="center"/>
          </w:tcPr>
          <w:p w:rsidR="00B23B6D" w:rsidRPr="000F49E6" w:rsidRDefault="00B23B6D" w:rsidP="000F49E6">
            <w:pPr>
              <w:spacing w:line="360" w:lineRule="auto"/>
              <w:rPr>
                <w:rFonts w:ascii="宋体" w:hAnsi="宋体" w:cs="方正黑体_GBK"/>
                <w:bCs/>
                <w:iCs/>
                <w:color w:val="000000"/>
                <w:sz w:val="24"/>
              </w:rPr>
            </w:pPr>
            <w:r w:rsidRPr="000F49E6">
              <w:rPr>
                <w:rFonts w:ascii="宋体" w:hAnsi="宋体" w:cs="方正黑体_GBK" w:hint="eastAsia"/>
                <w:bCs/>
                <w:iCs/>
                <w:color w:val="000000"/>
                <w:sz w:val="24"/>
              </w:rPr>
              <w:t>记录日期</w:t>
            </w:r>
          </w:p>
        </w:tc>
        <w:tc>
          <w:tcPr>
            <w:tcW w:w="7164" w:type="dxa"/>
            <w:vAlign w:val="center"/>
          </w:tcPr>
          <w:p w:rsidR="00B23B6D" w:rsidRPr="000F49E6" w:rsidRDefault="00B23B6D" w:rsidP="00817855">
            <w:pPr>
              <w:spacing w:line="360" w:lineRule="auto"/>
              <w:rPr>
                <w:rFonts w:ascii="宋体" w:hAnsi="宋体" w:cs="方正黑体_GBK"/>
                <w:bCs/>
                <w:iCs/>
                <w:color w:val="000000"/>
                <w:sz w:val="24"/>
              </w:rPr>
            </w:pPr>
            <w:r w:rsidRPr="000F49E6">
              <w:rPr>
                <w:rFonts w:ascii="宋体" w:hAnsi="宋体" w:cs="方正黑体_GBK" w:hint="eastAsia"/>
                <w:bCs/>
                <w:iCs/>
                <w:color w:val="000000"/>
                <w:sz w:val="24"/>
              </w:rPr>
              <w:t>2</w:t>
            </w:r>
            <w:r w:rsidRPr="000F49E6">
              <w:rPr>
                <w:rFonts w:ascii="宋体" w:hAnsi="宋体" w:cs="方正黑体_GBK"/>
                <w:bCs/>
                <w:iCs/>
                <w:color w:val="000000"/>
                <w:sz w:val="24"/>
              </w:rPr>
              <w:t>0</w:t>
            </w:r>
            <w:r w:rsidR="00817855">
              <w:rPr>
                <w:rFonts w:ascii="宋体" w:hAnsi="宋体" w:cs="方正黑体_GBK"/>
                <w:bCs/>
                <w:iCs/>
                <w:color w:val="000000"/>
                <w:sz w:val="24"/>
              </w:rPr>
              <w:t>25</w:t>
            </w:r>
            <w:r w:rsidRPr="000F49E6">
              <w:rPr>
                <w:rFonts w:ascii="宋体" w:hAnsi="宋体" w:cs="方正黑体_GBK" w:hint="eastAsia"/>
                <w:bCs/>
                <w:iCs/>
                <w:color w:val="000000"/>
                <w:sz w:val="24"/>
              </w:rPr>
              <w:t>年</w:t>
            </w:r>
            <w:r w:rsidR="00817855">
              <w:rPr>
                <w:rFonts w:ascii="宋体" w:hAnsi="宋体" w:cs="方正黑体_GBK"/>
                <w:bCs/>
                <w:iCs/>
                <w:color w:val="000000"/>
                <w:sz w:val="24"/>
              </w:rPr>
              <w:t>5</w:t>
            </w:r>
            <w:r w:rsidRPr="000F49E6">
              <w:rPr>
                <w:rFonts w:ascii="宋体" w:hAnsi="宋体" w:cs="方正黑体_GBK" w:hint="eastAsia"/>
                <w:bCs/>
                <w:iCs/>
                <w:color w:val="000000"/>
                <w:sz w:val="24"/>
              </w:rPr>
              <w:t>月</w:t>
            </w:r>
            <w:r w:rsidR="00817855">
              <w:rPr>
                <w:rFonts w:ascii="宋体" w:hAnsi="宋体" w:cs="方正黑体_GBK"/>
                <w:bCs/>
                <w:iCs/>
                <w:color w:val="000000"/>
                <w:sz w:val="24"/>
              </w:rPr>
              <w:t>23</w:t>
            </w:r>
            <w:r w:rsidRPr="000F49E6">
              <w:rPr>
                <w:rFonts w:ascii="宋体" w:hAnsi="宋体" w:cs="方正黑体_GBK" w:hint="eastAsia"/>
                <w:bCs/>
                <w:iCs/>
                <w:color w:val="000000"/>
                <w:sz w:val="24"/>
              </w:rPr>
              <w:t>日</w:t>
            </w:r>
          </w:p>
        </w:tc>
      </w:tr>
    </w:tbl>
    <w:p w:rsidR="001F0D93" w:rsidRPr="001F0D93" w:rsidRDefault="001F0D93" w:rsidP="00826BDB">
      <w:pPr>
        <w:jc w:val="right"/>
        <w:rPr>
          <w:sz w:val="24"/>
        </w:rPr>
      </w:pPr>
    </w:p>
    <w:sectPr w:rsidR="001F0D93" w:rsidRPr="001F0D93" w:rsidSect="00F13C9A">
      <w:pgSz w:w="11906" w:h="16838"/>
      <w:pgMar w:top="1758" w:right="1701" w:bottom="175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B8D" w:rsidRDefault="00DB6B8D" w:rsidP="00514E66">
      <w:r>
        <w:separator/>
      </w:r>
    </w:p>
  </w:endnote>
  <w:endnote w:type="continuationSeparator" w:id="0">
    <w:p w:rsidR="00DB6B8D" w:rsidRDefault="00DB6B8D" w:rsidP="0051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B8D" w:rsidRDefault="00DB6B8D" w:rsidP="00514E66">
      <w:r>
        <w:separator/>
      </w:r>
    </w:p>
  </w:footnote>
  <w:footnote w:type="continuationSeparator" w:id="0">
    <w:p w:rsidR="00DB6B8D" w:rsidRDefault="00DB6B8D" w:rsidP="00514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B4A27"/>
    <w:multiLevelType w:val="hybridMultilevel"/>
    <w:tmpl w:val="97FC4CA8"/>
    <w:lvl w:ilvl="0" w:tplc="F87668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F0"/>
    <w:rsid w:val="00002B34"/>
    <w:rsid w:val="000249B8"/>
    <w:rsid w:val="00050320"/>
    <w:rsid w:val="00053205"/>
    <w:rsid w:val="0005431D"/>
    <w:rsid w:val="000719D1"/>
    <w:rsid w:val="000852AE"/>
    <w:rsid w:val="00085842"/>
    <w:rsid w:val="000B6016"/>
    <w:rsid w:val="000B70EA"/>
    <w:rsid w:val="000D049A"/>
    <w:rsid w:val="000D618E"/>
    <w:rsid w:val="000E3D9C"/>
    <w:rsid w:val="000E78DB"/>
    <w:rsid w:val="000F41A3"/>
    <w:rsid w:val="000F49E6"/>
    <w:rsid w:val="00101B98"/>
    <w:rsid w:val="00107518"/>
    <w:rsid w:val="001145A4"/>
    <w:rsid w:val="00117ACA"/>
    <w:rsid w:val="0012287B"/>
    <w:rsid w:val="0013395B"/>
    <w:rsid w:val="001504DC"/>
    <w:rsid w:val="0016015D"/>
    <w:rsid w:val="001607D7"/>
    <w:rsid w:val="00162C35"/>
    <w:rsid w:val="00167EB5"/>
    <w:rsid w:val="001814DF"/>
    <w:rsid w:val="0019287F"/>
    <w:rsid w:val="001A046A"/>
    <w:rsid w:val="001A1767"/>
    <w:rsid w:val="001A75ED"/>
    <w:rsid w:val="001D2CD2"/>
    <w:rsid w:val="001F0D93"/>
    <w:rsid w:val="00224601"/>
    <w:rsid w:val="0025353F"/>
    <w:rsid w:val="002968CB"/>
    <w:rsid w:val="002A461B"/>
    <w:rsid w:val="002B718C"/>
    <w:rsid w:val="002C3304"/>
    <w:rsid w:val="003017C3"/>
    <w:rsid w:val="00310EC2"/>
    <w:rsid w:val="003305B9"/>
    <w:rsid w:val="003775AB"/>
    <w:rsid w:val="003A6051"/>
    <w:rsid w:val="003C0ACE"/>
    <w:rsid w:val="003F2BCD"/>
    <w:rsid w:val="0043614C"/>
    <w:rsid w:val="004457AB"/>
    <w:rsid w:val="00464A0B"/>
    <w:rsid w:val="004702A9"/>
    <w:rsid w:val="00485C07"/>
    <w:rsid w:val="004B2EB0"/>
    <w:rsid w:val="004B49DD"/>
    <w:rsid w:val="004C6AC6"/>
    <w:rsid w:val="004D4236"/>
    <w:rsid w:val="004D7743"/>
    <w:rsid w:val="004E12E0"/>
    <w:rsid w:val="004F1CC4"/>
    <w:rsid w:val="00507B7D"/>
    <w:rsid w:val="00514E66"/>
    <w:rsid w:val="00567444"/>
    <w:rsid w:val="0058260B"/>
    <w:rsid w:val="00586FCD"/>
    <w:rsid w:val="005A4655"/>
    <w:rsid w:val="005B21A3"/>
    <w:rsid w:val="005D7F04"/>
    <w:rsid w:val="005E2EFF"/>
    <w:rsid w:val="006008EB"/>
    <w:rsid w:val="00606B20"/>
    <w:rsid w:val="00617911"/>
    <w:rsid w:val="006448F2"/>
    <w:rsid w:val="00670D7B"/>
    <w:rsid w:val="00673370"/>
    <w:rsid w:val="00675304"/>
    <w:rsid w:val="0067749E"/>
    <w:rsid w:val="00682FDD"/>
    <w:rsid w:val="00691FAE"/>
    <w:rsid w:val="00692563"/>
    <w:rsid w:val="006A3A18"/>
    <w:rsid w:val="006B58DB"/>
    <w:rsid w:val="006D2084"/>
    <w:rsid w:val="006F04EC"/>
    <w:rsid w:val="006F056D"/>
    <w:rsid w:val="006F454F"/>
    <w:rsid w:val="0070008C"/>
    <w:rsid w:val="007242A0"/>
    <w:rsid w:val="007312C6"/>
    <w:rsid w:val="00731552"/>
    <w:rsid w:val="0074566A"/>
    <w:rsid w:val="007555B4"/>
    <w:rsid w:val="007B148D"/>
    <w:rsid w:val="007C1F48"/>
    <w:rsid w:val="007D17B0"/>
    <w:rsid w:val="007F6C65"/>
    <w:rsid w:val="008124AF"/>
    <w:rsid w:val="00817855"/>
    <w:rsid w:val="00826BDB"/>
    <w:rsid w:val="008405DA"/>
    <w:rsid w:val="008510C8"/>
    <w:rsid w:val="008721BB"/>
    <w:rsid w:val="00883DD1"/>
    <w:rsid w:val="008A2A23"/>
    <w:rsid w:val="008A4F92"/>
    <w:rsid w:val="008B0DF5"/>
    <w:rsid w:val="008E6AC9"/>
    <w:rsid w:val="00921672"/>
    <w:rsid w:val="00921BD3"/>
    <w:rsid w:val="00922D37"/>
    <w:rsid w:val="009350E7"/>
    <w:rsid w:val="00941ACF"/>
    <w:rsid w:val="009570D7"/>
    <w:rsid w:val="009572C3"/>
    <w:rsid w:val="0096288A"/>
    <w:rsid w:val="009A54B2"/>
    <w:rsid w:val="009A5CF7"/>
    <w:rsid w:val="009B0812"/>
    <w:rsid w:val="009B2048"/>
    <w:rsid w:val="009B333F"/>
    <w:rsid w:val="00A453EC"/>
    <w:rsid w:val="00A60B5B"/>
    <w:rsid w:val="00A67F1C"/>
    <w:rsid w:val="00A868D3"/>
    <w:rsid w:val="00AA7DE3"/>
    <w:rsid w:val="00AD016A"/>
    <w:rsid w:val="00AD5268"/>
    <w:rsid w:val="00AF601C"/>
    <w:rsid w:val="00B010CB"/>
    <w:rsid w:val="00B04380"/>
    <w:rsid w:val="00B10E8D"/>
    <w:rsid w:val="00B23B6D"/>
    <w:rsid w:val="00B24378"/>
    <w:rsid w:val="00B5672A"/>
    <w:rsid w:val="00B72528"/>
    <w:rsid w:val="00B77D50"/>
    <w:rsid w:val="00B8326E"/>
    <w:rsid w:val="00B90A72"/>
    <w:rsid w:val="00B92776"/>
    <w:rsid w:val="00BB26D4"/>
    <w:rsid w:val="00BB28D1"/>
    <w:rsid w:val="00BB61BD"/>
    <w:rsid w:val="00BC729E"/>
    <w:rsid w:val="00BD3A13"/>
    <w:rsid w:val="00BE1BFE"/>
    <w:rsid w:val="00BF52D2"/>
    <w:rsid w:val="00C548CD"/>
    <w:rsid w:val="00C65951"/>
    <w:rsid w:val="00CB2CDF"/>
    <w:rsid w:val="00D00652"/>
    <w:rsid w:val="00D01A94"/>
    <w:rsid w:val="00D20736"/>
    <w:rsid w:val="00D30A79"/>
    <w:rsid w:val="00D31E87"/>
    <w:rsid w:val="00D343E8"/>
    <w:rsid w:val="00D360DD"/>
    <w:rsid w:val="00D40A7B"/>
    <w:rsid w:val="00D54620"/>
    <w:rsid w:val="00D812CC"/>
    <w:rsid w:val="00D8292C"/>
    <w:rsid w:val="00D84632"/>
    <w:rsid w:val="00D93209"/>
    <w:rsid w:val="00D95D8D"/>
    <w:rsid w:val="00D97980"/>
    <w:rsid w:val="00DA38A0"/>
    <w:rsid w:val="00DA7E66"/>
    <w:rsid w:val="00DB6B8D"/>
    <w:rsid w:val="00DC7385"/>
    <w:rsid w:val="00DE7511"/>
    <w:rsid w:val="00E02B27"/>
    <w:rsid w:val="00E11B5C"/>
    <w:rsid w:val="00E11CE7"/>
    <w:rsid w:val="00E12CF0"/>
    <w:rsid w:val="00E166D4"/>
    <w:rsid w:val="00E23DA8"/>
    <w:rsid w:val="00E3332B"/>
    <w:rsid w:val="00E4420D"/>
    <w:rsid w:val="00E50A1C"/>
    <w:rsid w:val="00E51307"/>
    <w:rsid w:val="00E534A1"/>
    <w:rsid w:val="00E609AB"/>
    <w:rsid w:val="00E60BA2"/>
    <w:rsid w:val="00E853E8"/>
    <w:rsid w:val="00E9164F"/>
    <w:rsid w:val="00EA66AA"/>
    <w:rsid w:val="00EB042D"/>
    <w:rsid w:val="00EB7E51"/>
    <w:rsid w:val="00EC3661"/>
    <w:rsid w:val="00ED4289"/>
    <w:rsid w:val="00ED5FA3"/>
    <w:rsid w:val="00EE0F15"/>
    <w:rsid w:val="00F0001D"/>
    <w:rsid w:val="00F030AC"/>
    <w:rsid w:val="00F13C9A"/>
    <w:rsid w:val="00F14533"/>
    <w:rsid w:val="00F43657"/>
    <w:rsid w:val="00F6227D"/>
    <w:rsid w:val="00F65687"/>
    <w:rsid w:val="00F750CC"/>
    <w:rsid w:val="00FA4623"/>
    <w:rsid w:val="00FC0954"/>
    <w:rsid w:val="00FE59B6"/>
    <w:rsid w:val="00FE7D21"/>
    <w:rsid w:val="00FF1C2B"/>
    <w:rsid w:val="00FF5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DCD4B"/>
  <w15:chartTrackingRefBased/>
  <w15:docId w15:val="{8DF21E3A-17CF-4267-B6E3-5BD8ABF1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5AB"/>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E66"/>
    <w:pPr>
      <w:tabs>
        <w:tab w:val="center" w:pos="4153"/>
        <w:tab w:val="right" w:pos="8306"/>
      </w:tabs>
      <w:snapToGrid w:val="0"/>
      <w:jc w:val="center"/>
    </w:pPr>
    <w:rPr>
      <w:sz w:val="18"/>
      <w:szCs w:val="18"/>
    </w:rPr>
  </w:style>
  <w:style w:type="character" w:customStyle="1" w:styleId="a4">
    <w:name w:val="页眉 字符"/>
    <w:link w:val="a3"/>
    <w:uiPriority w:val="99"/>
    <w:rsid w:val="00514E66"/>
    <w:rPr>
      <w:rFonts w:ascii="Times New Roman" w:eastAsia="宋体" w:hAnsi="Times New Roman"/>
      <w:kern w:val="2"/>
      <w:sz w:val="18"/>
      <w:szCs w:val="18"/>
    </w:rPr>
  </w:style>
  <w:style w:type="paragraph" w:styleId="a5">
    <w:name w:val="footer"/>
    <w:basedOn w:val="a"/>
    <w:link w:val="a6"/>
    <w:unhideWhenUsed/>
    <w:rsid w:val="00514E66"/>
    <w:pPr>
      <w:tabs>
        <w:tab w:val="center" w:pos="4153"/>
        <w:tab w:val="right" w:pos="8306"/>
      </w:tabs>
      <w:snapToGrid w:val="0"/>
      <w:jc w:val="left"/>
    </w:pPr>
    <w:rPr>
      <w:sz w:val="18"/>
      <w:szCs w:val="18"/>
    </w:rPr>
  </w:style>
  <w:style w:type="character" w:customStyle="1" w:styleId="a6">
    <w:name w:val="页脚 字符"/>
    <w:link w:val="a5"/>
    <w:uiPriority w:val="99"/>
    <w:rsid w:val="00514E66"/>
    <w:rPr>
      <w:rFonts w:ascii="Times New Roman" w:eastAsia="宋体" w:hAnsi="Times New Roman"/>
      <w:kern w:val="2"/>
      <w:sz w:val="18"/>
      <w:szCs w:val="18"/>
    </w:rPr>
  </w:style>
  <w:style w:type="character" w:styleId="a7">
    <w:name w:val="annotation reference"/>
    <w:uiPriority w:val="99"/>
    <w:semiHidden/>
    <w:unhideWhenUsed/>
    <w:rsid w:val="003C0ACE"/>
    <w:rPr>
      <w:sz w:val="21"/>
      <w:szCs w:val="21"/>
    </w:rPr>
  </w:style>
  <w:style w:type="paragraph" w:styleId="a8">
    <w:name w:val="annotation text"/>
    <w:basedOn w:val="a"/>
    <w:link w:val="a9"/>
    <w:uiPriority w:val="99"/>
    <w:unhideWhenUsed/>
    <w:rsid w:val="003C0ACE"/>
    <w:pPr>
      <w:jc w:val="left"/>
    </w:pPr>
  </w:style>
  <w:style w:type="character" w:customStyle="1" w:styleId="a9">
    <w:name w:val="批注文字 字符"/>
    <w:link w:val="a8"/>
    <w:uiPriority w:val="99"/>
    <w:rsid w:val="003C0ACE"/>
    <w:rPr>
      <w:rFonts w:ascii="Times New Roman" w:eastAsia="宋体" w:hAnsi="Times New Roman"/>
      <w:kern w:val="2"/>
      <w:sz w:val="21"/>
      <w:szCs w:val="24"/>
    </w:rPr>
  </w:style>
  <w:style w:type="paragraph" w:styleId="aa">
    <w:name w:val="annotation subject"/>
    <w:basedOn w:val="a8"/>
    <w:next w:val="a8"/>
    <w:link w:val="ab"/>
    <w:uiPriority w:val="99"/>
    <w:semiHidden/>
    <w:unhideWhenUsed/>
    <w:rsid w:val="003C0ACE"/>
    <w:rPr>
      <w:b/>
      <w:bCs/>
    </w:rPr>
  </w:style>
  <w:style w:type="character" w:customStyle="1" w:styleId="ab">
    <w:name w:val="批注主题 字符"/>
    <w:link w:val="aa"/>
    <w:uiPriority w:val="99"/>
    <w:semiHidden/>
    <w:rsid w:val="003C0ACE"/>
    <w:rPr>
      <w:rFonts w:ascii="Times New Roman" w:eastAsia="宋体" w:hAnsi="Times New Roman"/>
      <w:b/>
      <w:bCs/>
      <w:kern w:val="2"/>
      <w:sz w:val="21"/>
      <w:szCs w:val="24"/>
    </w:rPr>
  </w:style>
  <w:style w:type="paragraph" w:styleId="ac">
    <w:name w:val="Normal (Web)"/>
    <w:basedOn w:val="a"/>
    <w:unhideWhenUsed/>
    <w:qFormat/>
    <w:rsid w:val="00B72528"/>
    <w:pPr>
      <w:widowControl/>
      <w:spacing w:before="100" w:beforeAutospacing="1" w:after="100" w:afterAutospacing="1"/>
      <w:jc w:val="left"/>
    </w:pPr>
    <w:rPr>
      <w:rFonts w:ascii="宋体" w:hAnsi="宋体" w:cs="宋体"/>
      <w:kern w:val="0"/>
      <w:sz w:val="24"/>
    </w:rPr>
  </w:style>
  <w:style w:type="paragraph" w:styleId="ad">
    <w:name w:val="Balloon Text"/>
    <w:basedOn w:val="a"/>
    <w:link w:val="ae"/>
    <w:uiPriority w:val="99"/>
    <w:semiHidden/>
    <w:unhideWhenUsed/>
    <w:rsid w:val="00670D7B"/>
    <w:rPr>
      <w:sz w:val="18"/>
      <w:szCs w:val="18"/>
    </w:rPr>
  </w:style>
  <w:style w:type="character" w:customStyle="1" w:styleId="ae">
    <w:name w:val="批注框文本 字符"/>
    <w:link w:val="ad"/>
    <w:uiPriority w:val="99"/>
    <w:semiHidden/>
    <w:rsid w:val="00670D7B"/>
    <w:rPr>
      <w:rFonts w:ascii="Times New Roman" w:eastAsia="宋体" w:hAnsi="Times New Roman"/>
      <w:kern w:val="2"/>
      <w:sz w:val="18"/>
      <w:szCs w:val="18"/>
    </w:rPr>
  </w:style>
  <w:style w:type="paragraph" w:styleId="af">
    <w:name w:val="List Paragraph"/>
    <w:basedOn w:val="a"/>
    <w:uiPriority w:val="34"/>
    <w:qFormat/>
    <w:rsid w:val="00B10E8D"/>
    <w:pPr>
      <w:ind w:firstLineChars="200" w:firstLine="420"/>
    </w:pPr>
    <w:rPr>
      <w:rFonts w:ascii="等线" w:eastAsia="等线" w:hAnsi="等线"/>
      <w:szCs w:val="22"/>
    </w:rPr>
  </w:style>
  <w:style w:type="character" w:customStyle="1" w:styleId="highlight">
    <w:name w:val="highlight"/>
    <w:rsid w:val="00160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83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1928</Words>
  <Characters>2508</Characters>
  <Application>Microsoft Office Word</Application>
  <DocSecurity>0</DocSecurity>
  <Lines>278</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 梓轩</dc:creator>
  <cp:keywords/>
  <dc:description/>
  <cp:lastModifiedBy>muximuxi</cp:lastModifiedBy>
  <cp:revision>8</cp:revision>
  <dcterms:created xsi:type="dcterms:W3CDTF">2025-05-23T12:11:00Z</dcterms:created>
  <dcterms:modified xsi:type="dcterms:W3CDTF">2025-05-26T11:00:00Z</dcterms:modified>
</cp:coreProperties>
</file>