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C6" w:rsidRDefault="00143644">
      <w:pPr>
        <w:jc w:val="left"/>
        <w:rPr>
          <w:rFonts w:ascii="宋体" w:hAnsi="宋体"/>
          <w:b/>
          <w:sz w:val="24"/>
        </w:rPr>
      </w:pPr>
      <w:r>
        <w:rPr>
          <w:rFonts w:ascii="宋体" w:hAnsi="宋体" w:hint="eastAsia"/>
          <w:b/>
          <w:sz w:val="24"/>
        </w:rPr>
        <w:t>证券代码：603757                                证券简称：大元泵业</w:t>
      </w:r>
    </w:p>
    <w:p w:rsidR="000F09C6" w:rsidRDefault="000F09C6">
      <w:pPr>
        <w:pStyle w:val="a5"/>
        <w:spacing w:before="0" w:after="0"/>
        <w:rPr>
          <w:rFonts w:ascii="宋体" w:hAnsi="宋体"/>
          <w:sz w:val="28"/>
        </w:rPr>
      </w:pPr>
    </w:p>
    <w:p w:rsidR="000F09C6" w:rsidRDefault="00143644">
      <w:pPr>
        <w:pStyle w:val="a5"/>
        <w:spacing w:before="0" w:after="0"/>
        <w:rPr>
          <w:rFonts w:ascii="宋体" w:hAnsi="宋体"/>
          <w:sz w:val="28"/>
        </w:rPr>
      </w:pPr>
      <w:r>
        <w:rPr>
          <w:rFonts w:ascii="宋体" w:hAnsi="宋体" w:hint="eastAsia"/>
          <w:sz w:val="28"/>
        </w:rPr>
        <w:t>浙江大元泵业股份有限公司</w:t>
      </w:r>
    </w:p>
    <w:p w:rsidR="000F09C6" w:rsidRDefault="00143644">
      <w:pPr>
        <w:pStyle w:val="a5"/>
        <w:spacing w:before="0" w:after="0"/>
        <w:rPr>
          <w:rFonts w:ascii="宋体" w:hAnsi="宋体"/>
          <w:sz w:val="28"/>
        </w:rPr>
      </w:pPr>
      <w:r>
        <w:rPr>
          <w:rFonts w:ascii="宋体" w:hAnsi="宋体" w:hint="eastAsia"/>
          <w:sz w:val="28"/>
        </w:rPr>
        <w:t>2025年投资者关系活动记录表</w:t>
      </w:r>
    </w:p>
    <w:p w:rsidR="000F09C6" w:rsidRDefault="000F09C6"/>
    <w:p w:rsidR="000F09C6" w:rsidRDefault="00143644">
      <w:pPr>
        <w:jc w:val="right"/>
        <w:rPr>
          <w:rFonts w:ascii="宋体" w:hAnsi="宋体"/>
          <w:sz w:val="24"/>
        </w:rPr>
      </w:pPr>
      <w:r>
        <w:rPr>
          <w:rFonts w:ascii="宋体" w:hAnsi="宋体" w:hint="eastAsia"/>
          <w:sz w:val="24"/>
        </w:rPr>
        <w:t>编号：2025-004</w:t>
      </w:r>
    </w:p>
    <w:tbl>
      <w:tblPr>
        <w:tblStyle w:val="a6"/>
        <w:tblW w:w="9478" w:type="dxa"/>
        <w:jc w:val="center"/>
        <w:tblLook w:val="04A0" w:firstRow="1" w:lastRow="0" w:firstColumn="1" w:lastColumn="0" w:noHBand="0" w:noVBand="1"/>
      </w:tblPr>
      <w:tblGrid>
        <w:gridCol w:w="1809"/>
        <w:gridCol w:w="7669"/>
      </w:tblGrid>
      <w:tr w:rsidR="000F09C6">
        <w:trPr>
          <w:trHeight w:val="1509"/>
          <w:jc w:val="center"/>
        </w:trPr>
        <w:tc>
          <w:tcPr>
            <w:tcW w:w="1809" w:type="dxa"/>
            <w:vAlign w:val="center"/>
          </w:tcPr>
          <w:p w:rsidR="000F09C6" w:rsidRDefault="00143644">
            <w:pPr>
              <w:spacing w:line="360" w:lineRule="auto"/>
              <w:jc w:val="center"/>
              <w:rPr>
                <w:rFonts w:ascii="宋体" w:hAnsi="宋体"/>
                <w:sz w:val="24"/>
                <w:szCs w:val="24"/>
              </w:rPr>
            </w:pPr>
            <w:r>
              <w:rPr>
                <w:rFonts w:ascii="宋体" w:hAnsi="宋体" w:hint="eastAsia"/>
                <w:sz w:val="24"/>
                <w:szCs w:val="24"/>
              </w:rPr>
              <w:t>投资者关系活动类别</w:t>
            </w:r>
          </w:p>
        </w:tc>
        <w:tc>
          <w:tcPr>
            <w:tcW w:w="7669" w:type="dxa"/>
            <w:vAlign w:val="center"/>
          </w:tcPr>
          <w:p w:rsidR="000F09C6" w:rsidRDefault="00143644">
            <w:pPr>
              <w:spacing w:line="360" w:lineRule="auto"/>
              <w:jc w:val="left"/>
              <w:rPr>
                <w:rFonts w:ascii="宋体" w:hAnsi="宋体"/>
                <w:sz w:val="24"/>
                <w:szCs w:val="24"/>
              </w:rPr>
            </w:pPr>
            <w:r>
              <w:rPr>
                <w:rFonts w:ascii="宋体" w:hAnsi="宋体" w:hint="eastAsia"/>
                <w:sz w:val="24"/>
                <w:szCs w:val="24"/>
              </w:rPr>
              <w:t>□特定对象调研    □</w:t>
            </w:r>
            <w:r>
              <w:rPr>
                <w:rFonts w:ascii="宋体" w:hAnsi="宋体"/>
                <w:sz w:val="24"/>
                <w:szCs w:val="24"/>
              </w:rPr>
              <w:t>分析</w:t>
            </w:r>
            <w:proofErr w:type="gramStart"/>
            <w:r>
              <w:rPr>
                <w:rFonts w:ascii="宋体" w:hAnsi="宋体"/>
                <w:sz w:val="24"/>
                <w:szCs w:val="24"/>
              </w:rPr>
              <w:t>师会议</w:t>
            </w:r>
            <w:proofErr w:type="gramEnd"/>
            <w:r>
              <w:rPr>
                <w:rFonts w:ascii="宋体" w:hAnsi="宋体" w:hint="eastAsia"/>
                <w:sz w:val="24"/>
                <w:szCs w:val="24"/>
              </w:rPr>
              <w:t xml:space="preserve">    □</w:t>
            </w:r>
            <w:r>
              <w:rPr>
                <w:rFonts w:ascii="宋体" w:hAnsi="宋体"/>
                <w:sz w:val="24"/>
                <w:szCs w:val="24"/>
              </w:rPr>
              <w:t>媒体采访</w:t>
            </w:r>
          </w:p>
          <w:p w:rsidR="000F09C6" w:rsidRDefault="00143644">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业绩说明会</w:t>
            </w:r>
            <w:r>
              <w:rPr>
                <w:rFonts w:ascii="宋体" w:hAnsi="宋体" w:hint="eastAsia"/>
                <w:sz w:val="24"/>
                <w:szCs w:val="24"/>
              </w:rPr>
              <w:t xml:space="preserve">      □</w:t>
            </w:r>
            <w:r>
              <w:rPr>
                <w:rFonts w:ascii="宋体" w:hAnsi="宋体"/>
                <w:sz w:val="24"/>
                <w:szCs w:val="24"/>
              </w:rPr>
              <w:t>新闻发布会</w:t>
            </w:r>
            <w:r>
              <w:rPr>
                <w:rFonts w:ascii="宋体" w:hAnsi="宋体" w:hint="eastAsia"/>
                <w:sz w:val="24"/>
                <w:szCs w:val="24"/>
              </w:rPr>
              <w:t xml:space="preserve">    √</w:t>
            </w:r>
            <w:r>
              <w:rPr>
                <w:rFonts w:ascii="宋体" w:hAnsi="宋体"/>
                <w:sz w:val="24"/>
                <w:szCs w:val="24"/>
              </w:rPr>
              <w:t>路演活动</w:t>
            </w:r>
          </w:p>
          <w:p w:rsidR="000F09C6" w:rsidRDefault="00143644">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现场交流</w:t>
            </w:r>
            <w:r>
              <w:rPr>
                <w:rFonts w:ascii="宋体" w:hAnsi="宋体" w:hint="eastAsia"/>
                <w:sz w:val="24"/>
                <w:szCs w:val="24"/>
              </w:rPr>
              <w:t xml:space="preserve">        □电话会议      □</w:t>
            </w:r>
            <w:r>
              <w:rPr>
                <w:rFonts w:ascii="宋体" w:hAnsi="宋体"/>
                <w:sz w:val="24"/>
                <w:szCs w:val="24"/>
              </w:rPr>
              <w:t>其他</w:t>
            </w:r>
          </w:p>
        </w:tc>
      </w:tr>
      <w:tr w:rsidR="000F09C6">
        <w:trPr>
          <w:jc w:val="center"/>
        </w:trPr>
        <w:tc>
          <w:tcPr>
            <w:tcW w:w="1809" w:type="dxa"/>
            <w:vAlign w:val="center"/>
          </w:tcPr>
          <w:p w:rsidR="000F09C6" w:rsidRDefault="00143644">
            <w:pPr>
              <w:spacing w:line="360" w:lineRule="auto"/>
              <w:jc w:val="center"/>
              <w:rPr>
                <w:rFonts w:ascii="宋体" w:hAnsi="宋体"/>
                <w:sz w:val="24"/>
                <w:szCs w:val="24"/>
              </w:rPr>
            </w:pPr>
            <w:r>
              <w:rPr>
                <w:rFonts w:ascii="宋体" w:hAnsi="宋体" w:hint="eastAsia"/>
                <w:sz w:val="24"/>
                <w:szCs w:val="24"/>
              </w:rPr>
              <w:t>参与单位</w:t>
            </w:r>
          </w:p>
        </w:tc>
        <w:tc>
          <w:tcPr>
            <w:tcW w:w="7669" w:type="dxa"/>
            <w:vAlign w:val="center"/>
          </w:tcPr>
          <w:p w:rsidR="000F09C6" w:rsidRDefault="00143644">
            <w:pPr>
              <w:spacing w:line="360" w:lineRule="auto"/>
              <w:jc w:val="left"/>
              <w:rPr>
                <w:rFonts w:ascii="宋体" w:hAnsi="宋体"/>
                <w:sz w:val="24"/>
                <w:szCs w:val="24"/>
              </w:rPr>
            </w:pPr>
            <w:bookmarkStart w:id="0" w:name="OLE_LINK1"/>
            <w:bookmarkStart w:id="1" w:name="OLE_LINK2"/>
            <w:r>
              <w:rPr>
                <w:rFonts w:ascii="宋体" w:hAnsi="宋体" w:hint="eastAsia"/>
                <w:sz w:val="24"/>
                <w:szCs w:val="24"/>
              </w:rPr>
              <w:t>华宝基金、兴全基金、</w:t>
            </w:r>
            <w:bookmarkEnd w:id="0"/>
            <w:bookmarkEnd w:id="1"/>
            <w:r>
              <w:rPr>
                <w:rFonts w:ascii="宋体" w:hAnsi="宋体" w:hint="eastAsia"/>
                <w:sz w:val="24"/>
                <w:szCs w:val="24"/>
              </w:rPr>
              <w:t>富国基金、海富通基金、</w:t>
            </w:r>
            <w:bookmarkStart w:id="2" w:name="OLE_LINK3"/>
            <w:bookmarkStart w:id="3" w:name="OLE_LINK4"/>
            <w:r>
              <w:rPr>
                <w:rFonts w:ascii="宋体" w:hAnsi="宋体" w:hint="eastAsia"/>
                <w:sz w:val="24"/>
                <w:szCs w:val="24"/>
              </w:rPr>
              <w:t>东方红</w:t>
            </w:r>
            <w:bookmarkEnd w:id="2"/>
            <w:bookmarkEnd w:id="3"/>
            <w:r>
              <w:rPr>
                <w:rFonts w:ascii="宋体" w:hAnsi="宋体" w:hint="eastAsia"/>
                <w:sz w:val="24"/>
                <w:szCs w:val="24"/>
              </w:rPr>
              <w:t>资管、</w:t>
            </w:r>
            <w:bookmarkStart w:id="4" w:name="OLE_LINK5"/>
            <w:r>
              <w:rPr>
                <w:rFonts w:ascii="宋体" w:hAnsi="宋体" w:hint="eastAsia"/>
                <w:sz w:val="24"/>
                <w:szCs w:val="24"/>
              </w:rPr>
              <w:t>太平养老</w:t>
            </w:r>
            <w:bookmarkEnd w:id="4"/>
            <w:r>
              <w:rPr>
                <w:rFonts w:ascii="宋体" w:hAnsi="宋体" w:hint="eastAsia"/>
                <w:sz w:val="24"/>
                <w:szCs w:val="24"/>
              </w:rPr>
              <w:t>、</w:t>
            </w:r>
            <w:bookmarkStart w:id="5" w:name="OLE_LINK6"/>
            <w:bookmarkStart w:id="6" w:name="OLE_LINK7"/>
            <w:proofErr w:type="gramStart"/>
            <w:r>
              <w:rPr>
                <w:rFonts w:ascii="宋体" w:hAnsi="宋体" w:hint="eastAsia"/>
                <w:sz w:val="24"/>
                <w:szCs w:val="24"/>
              </w:rPr>
              <w:t>睿</w:t>
            </w:r>
            <w:proofErr w:type="gramEnd"/>
            <w:r>
              <w:rPr>
                <w:rFonts w:ascii="宋体" w:hAnsi="宋体" w:hint="eastAsia"/>
                <w:sz w:val="24"/>
                <w:szCs w:val="24"/>
              </w:rPr>
              <w:t>远</w:t>
            </w:r>
            <w:bookmarkEnd w:id="5"/>
            <w:bookmarkEnd w:id="6"/>
            <w:r>
              <w:rPr>
                <w:rFonts w:ascii="宋体" w:hAnsi="宋体" w:hint="eastAsia"/>
                <w:sz w:val="24"/>
                <w:szCs w:val="24"/>
              </w:rPr>
              <w:t>基金、华泰资产、摩根基金。</w:t>
            </w:r>
          </w:p>
        </w:tc>
      </w:tr>
      <w:tr w:rsidR="000F09C6">
        <w:trPr>
          <w:trHeight w:val="411"/>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时间</w:t>
            </w:r>
          </w:p>
        </w:tc>
        <w:tc>
          <w:tcPr>
            <w:tcW w:w="7669" w:type="dxa"/>
            <w:vAlign w:val="center"/>
          </w:tcPr>
          <w:p w:rsidR="000F09C6" w:rsidRDefault="00143644">
            <w:pPr>
              <w:jc w:val="left"/>
              <w:rPr>
                <w:rFonts w:ascii="宋体" w:hAnsi="宋体"/>
                <w:sz w:val="24"/>
                <w:szCs w:val="24"/>
              </w:rPr>
            </w:pPr>
            <w:r>
              <w:rPr>
                <w:rFonts w:ascii="宋体" w:hAnsi="宋体" w:hint="eastAsia"/>
                <w:sz w:val="24"/>
                <w:szCs w:val="24"/>
              </w:rPr>
              <w:t>2025年5月23日-2025年5月27日</w:t>
            </w:r>
          </w:p>
        </w:tc>
      </w:tr>
      <w:tr w:rsidR="000F09C6">
        <w:trPr>
          <w:trHeight w:val="416"/>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地点</w:t>
            </w:r>
          </w:p>
        </w:tc>
        <w:tc>
          <w:tcPr>
            <w:tcW w:w="7669" w:type="dxa"/>
            <w:vAlign w:val="center"/>
          </w:tcPr>
          <w:p w:rsidR="000F09C6" w:rsidRDefault="00143644">
            <w:pPr>
              <w:jc w:val="left"/>
              <w:rPr>
                <w:rFonts w:ascii="宋体" w:hAnsi="宋体"/>
                <w:sz w:val="24"/>
                <w:szCs w:val="24"/>
              </w:rPr>
            </w:pPr>
            <w:r>
              <w:rPr>
                <w:rFonts w:ascii="宋体" w:hAnsi="宋体" w:hint="eastAsia"/>
                <w:sz w:val="24"/>
                <w:szCs w:val="24"/>
              </w:rPr>
              <w:t>温岭、上海</w:t>
            </w:r>
          </w:p>
        </w:tc>
      </w:tr>
      <w:tr w:rsidR="000F09C6">
        <w:trPr>
          <w:trHeight w:val="409"/>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公司接待人员</w:t>
            </w:r>
          </w:p>
        </w:tc>
        <w:tc>
          <w:tcPr>
            <w:tcW w:w="7669" w:type="dxa"/>
            <w:vAlign w:val="center"/>
          </w:tcPr>
          <w:p w:rsidR="000F09C6" w:rsidRDefault="00143644">
            <w:pPr>
              <w:jc w:val="left"/>
              <w:rPr>
                <w:rFonts w:ascii="宋体" w:hAnsi="宋体"/>
                <w:sz w:val="24"/>
                <w:szCs w:val="24"/>
              </w:rPr>
            </w:pPr>
            <w:r>
              <w:rPr>
                <w:rFonts w:ascii="宋体" w:hAnsi="宋体"/>
                <w:sz w:val="24"/>
                <w:szCs w:val="24"/>
              </w:rPr>
              <w:t>董事会秘书黄霖翔、证券事务代表张俊伟</w:t>
            </w:r>
          </w:p>
        </w:tc>
      </w:tr>
      <w:tr w:rsidR="000F09C6">
        <w:trPr>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投资者交流主要内容和介绍</w:t>
            </w:r>
          </w:p>
        </w:tc>
        <w:tc>
          <w:tcPr>
            <w:tcW w:w="7669" w:type="dxa"/>
            <w:vAlign w:val="center"/>
          </w:tcPr>
          <w:p w:rsidR="000F09C6" w:rsidRDefault="00143644">
            <w:pPr>
              <w:spacing w:line="360" w:lineRule="auto"/>
              <w:ind w:firstLineChars="200" w:firstLine="480"/>
              <w:rPr>
                <w:rFonts w:ascii="宋体" w:hAnsi="宋体"/>
                <w:bCs/>
                <w:sz w:val="24"/>
                <w:szCs w:val="24"/>
              </w:rPr>
            </w:pPr>
            <w:r>
              <w:rPr>
                <w:rFonts w:ascii="宋体" w:hAnsi="宋体" w:hint="eastAsia"/>
                <w:bCs/>
                <w:sz w:val="24"/>
                <w:szCs w:val="24"/>
              </w:rPr>
              <w:t>除前期交流过的事项外，公司主要就以下事项与投资者进行了交流：</w:t>
            </w:r>
          </w:p>
          <w:p w:rsidR="000F09C6" w:rsidRDefault="00143644">
            <w:pPr>
              <w:spacing w:line="360" w:lineRule="auto"/>
              <w:ind w:firstLineChars="200" w:firstLine="482"/>
              <w:rPr>
                <w:rFonts w:ascii="宋体" w:hAnsi="宋体"/>
                <w:b/>
                <w:sz w:val="24"/>
                <w:szCs w:val="24"/>
              </w:rPr>
            </w:pPr>
            <w:r>
              <w:rPr>
                <w:rFonts w:ascii="宋体" w:hAnsi="宋体" w:hint="eastAsia"/>
                <w:b/>
                <w:sz w:val="24"/>
                <w:szCs w:val="24"/>
              </w:rPr>
              <w:t>1、公司怎么看待今年主要业务发展的情况？</w:t>
            </w:r>
          </w:p>
          <w:p w:rsidR="000F09C6" w:rsidRDefault="00143644">
            <w:pPr>
              <w:spacing w:line="360" w:lineRule="auto"/>
              <w:ind w:firstLineChars="200" w:firstLine="480"/>
              <w:rPr>
                <w:rFonts w:ascii="宋体" w:hAnsi="宋体"/>
                <w:bCs/>
                <w:sz w:val="24"/>
                <w:szCs w:val="24"/>
              </w:rPr>
            </w:pPr>
            <w:r>
              <w:rPr>
                <w:rFonts w:ascii="宋体" w:hAnsi="宋体" w:hint="eastAsia"/>
                <w:bCs/>
                <w:sz w:val="24"/>
                <w:szCs w:val="24"/>
              </w:rPr>
              <w:t>答：2024年，农泵、家用及工业</w:t>
            </w:r>
            <w:proofErr w:type="gramStart"/>
            <w:r>
              <w:rPr>
                <w:rFonts w:ascii="宋体" w:hAnsi="宋体" w:hint="eastAsia"/>
                <w:bCs/>
                <w:sz w:val="24"/>
                <w:szCs w:val="24"/>
              </w:rPr>
              <w:t>泵业务</w:t>
            </w:r>
            <w:proofErr w:type="gramEnd"/>
            <w:r>
              <w:rPr>
                <w:rFonts w:ascii="宋体" w:hAnsi="宋体" w:hint="eastAsia"/>
                <w:bCs/>
                <w:sz w:val="24"/>
                <w:szCs w:val="24"/>
              </w:rPr>
              <w:t>是公司业务的主要构成。</w:t>
            </w:r>
            <w:proofErr w:type="gramStart"/>
            <w:r>
              <w:rPr>
                <w:rFonts w:ascii="宋体" w:hAnsi="宋体" w:hint="eastAsia"/>
                <w:bCs/>
                <w:sz w:val="24"/>
                <w:szCs w:val="24"/>
              </w:rPr>
              <w:t>分板块</w:t>
            </w:r>
            <w:proofErr w:type="gramEnd"/>
            <w:r>
              <w:rPr>
                <w:rFonts w:ascii="宋体" w:hAnsi="宋体" w:hint="eastAsia"/>
                <w:bCs/>
                <w:sz w:val="24"/>
                <w:szCs w:val="24"/>
              </w:rPr>
              <w:t>看，受益于积极的销售管理，公司农泵一季度较2024年</w:t>
            </w:r>
            <w:r w:rsidR="00620CF1">
              <w:rPr>
                <w:rFonts w:ascii="宋体" w:hAnsi="宋体" w:hint="eastAsia"/>
                <w:bCs/>
                <w:sz w:val="24"/>
                <w:szCs w:val="24"/>
              </w:rPr>
              <w:t>同期</w:t>
            </w:r>
            <w:r>
              <w:rPr>
                <w:rFonts w:ascii="宋体" w:hAnsi="宋体" w:hint="eastAsia"/>
                <w:bCs/>
                <w:sz w:val="24"/>
                <w:szCs w:val="24"/>
              </w:rPr>
              <w:t>实现较大的增长，从目前的市场环境看，公司该板块业务后续有望继续受益于管理效能的提升；家用领域，受益于下游渠道库存的优化及渗透率的逐步提升，以节能型产品为代表的外销业务预计将延续复苏态势；</w:t>
            </w:r>
            <w:r>
              <w:rPr>
                <w:rFonts w:ascii="宋体" w:hAnsi="宋体" w:hint="eastAsia"/>
                <w:sz w:val="24"/>
                <w:szCs w:val="24"/>
              </w:rPr>
              <w:t>工业泵领域，公司的产品业务主要区分为项目及配套，在项目领域，今年将着重去拓展海外业务，在配套领域也将抓住一些有增量的具体细分业务实现业务总体的平稳发展。</w:t>
            </w:r>
          </w:p>
          <w:p w:rsidR="000F09C6" w:rsidRDefault="00143644">
            <w:pPr>
              <w:spacing w:line="360" w:lineRule="auto"/>
              <w:ind w:firstLineChars="202" w:firstLine="487"/>
              <w:rPr>
                <w:rFonts w:ascii="宋体" w:hAnsi="宋体"/>
                <w:b/>
                <w:sz w:val="24"/>
                <w:szCs w:val="24"/>
              </w:rPr>
            </w:pPr>
            <w:r>
              <w:rPr>
                <w:rFonts w:ascii="宋体" w:hAnsi="宋体" w:hint="eastAsia"/>
                <w:b/>
                <w:sz w:val="24"/>
                <w:szCs w:val="24"/>
              </w:rPr>
              <w:t>2、公司接下来战略发展重点在哪？</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答：公司目前的现金流状况良好，账上的自有资金余量充足，足够支撑公司对各个产品线的均衡投入发展，但基于目前各个业务的发展阶段及市场环境，公司将在资本开支方面有一定程度的侧重：</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（1）首先是在技术壁垒较高的工业领域，公司将进一步做产品技术</w:t>
            </w:r>
            <w:r>
              <w:rPr>
                <w:rFonts w:ascii="宋体" w:hAnsi="宋体" w:hint="eastAsia"/>
                <w:sz w:val="24"/>
                <w:szCs w:val="24"/>
              </w:rPr>
              <w:lastRenderedPageBreak/>
              <w:t>的深入研究，并致力于通过挖掘技术、团队或者收并购等方式实现业务的外延性拓展。</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（2）在家用业务方面，目前公司该产品在欧洲市场的</w:t>
            </w:r>
            <w:proofErr w:type="gramStart"/>
            <w:r>
              <w:rPr>
                <w:rFonts w:ascii="宋体" w:hAnsi="宋体" w:hint="eastAsia"/>
                <w:sz w:val="24"/>
                <w:szCs w:val="24"/>
              </w:rPr>
              <w:t>市占率仍</w:t>
            </w:r>
            <w:proofErr w:type="gramEnd"/>
            <w:r>
              <w:rPr>
                <w:rFonts w:ascii="宋体" w:hAnsi="宋体" w:hint="eastAsia"/>
                <w:sz w:val="24"/>
                <w:szCs w:val="24"/>
              </w:rPr>
              <w:t>处于较低水平，下一步将加大投入，进一步提高</w:t>
            </w:r>
            <w:proofErr w:type="gramStart"/>
            <w:r>
              <w:rPr>
                <w:rFonts w:ascii="宋体" w:hAnsi="宋体" w:hint="eastAsia"/>
                <w:sz w:val="24"/>
                <w:szCs w:val="24"/>
              </w:rPr>
              <w:t>市占率水平</w:t>
            </w:r>
            <w:proofErr w:type="gramEnd"/>
            <w:r>
              <w:rPr>
                <w:rFonts w:ascii="宋体" w:hAnsi="宋体" w:hint="eastAsia"/>
                <w:sz w:val="24"/>
                <w:szCs w:val="24"/>
              </w:rPr>
              <w:t>。</w:t>
            </w:r>
          </w:p>
          <w:p w:rsidR="000F09C6" w:rsidRPr="00707C44" w:rsidRDefault="00143644">
            <w:pPr>
              <w:spacing w:line="360" w:lineRule="auto"/>
              <w:ind w:firstLineChars="200" w:firstLine="480"/>
              <w:rPr>
                <w:rFonts w:ascii="宋体" w:hAnsi="宋体"/>
                <w:b/>
                <w:sz w:val="24"/>
                <w:szCs w:val="24"/>
              </w:rPr>
            </w:pPr>
            <w:r>
              <w:rPr>
                <w:rFonts w:ascii="宋体" w:hAnsi="宋体" w:hint="eastAsia"/>
                <w:sz w:val="24"/>
                <w:szCs w:val="24"/>
              </w:rPr>
              <w:t>（3）在液冷温控业务方面，公司将进一步整合各个经营体之间的人才、技术及业务体系，并加大在该领域的研发及市场投入，加速产品的适应性迭代，抓住市场机遇。</w:t>
            </w:r>
          </w:p>
          <w:p w:rsidR="000F09C6" w:rsidRPr="00F151BB" w:rsidRDefault="00143644" w:rsidP="00F151BB">
            <w:pPr>
              <w:spacing w:line="360" w:lineRule="auto"/>
              <w:ind w:firstLineChars="200" w:firstLine="482"/>
              <w:rPr>
                <w:rFonts w:ascii="宋体" w:hAnsi="宋体"/>
                <w:b/>
                <w:bCs/>
                <w:sz w:val="24"/>
                <w:szCs w:val="24"/>
              </w:rPr>
            </w:pPr>
            <w:r w:rsidRPr="00F151BB">
              <w:rPr>
                <w:rFonts w:ascii="宋体" w:hAnsi="宋体" w:hint="eastAsia"/>
                <w:b/>
                <w:bCs/>
                <w:sz w:val="24"/>
                <w:szCs w:val="24"/>
              </w:rPr>
              <w:t>3、公司液冷温控业务今年有什么预期？</w:t>
            </w:r>
          </w:p>
          <w:p w:rsidR="000F09C6" w:rsidRDefault="00143644">
            <w:pPr>
              <w:spacing w:line="360" w:lineRule="auto"/>
              <w:ind w:firstLineChars="200" w:firstLine="480"/>
              <w:rPr>
                <w:rFonts w:ascii="宋体" w:hAnsi="宋体"/>
                <w:sz w:val="24"/>
                <w:szCs w:val="24"/>
              </w:rPr>
            </w:pPr>
            <w:r>
              <w:rPr>
                <w:rFonts w:ascii="宋体" w:hAnsi="宋体" w:hint="eastAsia"/>
                <w:bCs/>
                <w:sz w:val="24"/>
                <w:szCs w:val="24"/>
              </w:rPr>
              <w:t>答：目前公司液冷温控业务主要涵盖新能源汽车、储能风电、</w:t>
            </w:r>
            <w:proofErr w:type="gramStart"/>
            <w:r>
              <w:rPr>
                <w:rFonts w:ascii="宋体" w:hAnsi="宋体" w:hint="eastAsia"/>
                <w:bCs/>
                <w:sz w:val="24"/>
                <w:szCs w:val="24"/>
              </w:rPr>
              <w:t>算力服务</w:t>
            </w:r>
            <w:proofErr w:type="gramEnd"/>
            <w:r>
              <w:rPr>
                <w:rFonts w:ascii="宋体" w:hAnsi="宋体" w:hint="eastAsia"/>
                <w:bCs/>
                <w:sz w:val="24"/>
                <w:szCs w:val="24"/>
              </w:rPr>
              <w:t>三大领域，公司</w:t>
            </w:r>
            <w:r>
              <w:rPr>
                <w:rFonts w:ascii="宋体" w:hAnsi="宋体"/>
                <w:bCs/>
                <w:sz w:val="24"/>
                <w:szCs w:val="24"/>
              </w:rPr>
              <w:t>2025</w:t>
            </w:r>
            <w:r>
              <w:rPr>
                <w:rFonts w:ascii="宋体" w:hAnsi="宋体" w:hint="eastAsia"/>
                <w:bCs/>
                <w:sz w:val="24"/>
                <w:szCs w:val="24"/>
              </w:rPr>
              <w:t>年相关业务将明显受益于</w:t>
            </w:r>
            <w:r>
              <w:rPr>
                <w:rFonts w:ascii="宋体" w:hAnsi="宋体"/>
                <w:bCs/>
                <w:sz w:val="24"/>
                <w:szCs w:val="24"/>
              </w:rPr>
              <w:t>2024</w:t>
            </w:r>
            <w:r>
              <w:rPr>
                <w:rFonts w:ascii="宋体" w:hAnsi="宋体" w:hint="eastAsia"/>
                <w:bCs/>
                <w:sz w:val="24"/>
                <w:szCs w:val="24"/>
              </w:rPr>
              <w:t>年完成的部分重点客户拓展。后续公司将继续加大投入，挖掘其他新兴领域的液冷温控需求，紧跟并抓住科技发展的机遇。</w:t>
            </w:r>
          </w:p>
          <w:p w:rsidR="000F09C6" w:rsidRDefault="00143644">
            <w:pPr>
              <w:spacing w:line="360" w:lineRule="auto"/>
              <w:ind w:firstLineChars="202" w:firstLine="487"/>
              <w:rPr>
                <w:rFonts w:ascii="宋体" w:hAnsi="宋体"/>
                <w:b/>
                <w:sz w:val="24"/>
                <w:szCs w:val="24"/>
              </w:rPr>
            </w:pPr>
            <w:r>
              <w:rPr>
                <w:rFonts w:ascii="宋体" w:hAnsi="宋体"/>
                <w:b/>
                <w:sz w:val="24"/>
                <w:szCs w:val="24"/>
              </w:rPr>
              <w:t>4</w:t>
            </w:r>
            <w:r>
              <w:rPr>
                <w:rFonts w:ascii="宋体" w:hAnsi="宋体" w:hint="eastAsia"/>
                <w:b/>
                <w:sz w:val="24"/>
                <w:szCs w:val="24"/>
              </w:rPr>
              <w:t>、公司</w:t>
            </w:r>
            <w:proofErr w:type="gramStart"/>
            <w:r>
              <w:rPr>
                <w:rFonts w:ascii="宋体" w:hAnsi="宋体" w:hint="eastAsia"/>
                <w:b/>
                <w:sz w:val="24"/>
                <w:szCs w:val="24"/>
              </w:rPr>
              <w:t>用在算力服务</w:t>
            </w:r>
            <w:proofErr w:type="gramEnd"/>
            <w:r>
              <w:rPr>
                <w:rFonts w:ascii="宋体" w:hAnsi="宋体" w:hint="eastAsia"/>
                <w:b/>
                <w:sz w:val="24"/>
                <w:szCs w:val="24"/>
              </w:rPr>
              <w:t>领域的产品主要是应用在哪些领域？对应到的直接客户主要是哪些？</w:t>
            </w:r>
          </w:p>
          <w:p w:rsidR="000F09C6" w:rsidRDefault="00143644">
            <w:pPr>
              <w:spacing w:line="360" w:lineRule="auto"/>
              <w:ind w:firstLineChars="202" w:firstLine="485"/>
              <w:rPr>
                <w:rFonts w:ascii="宋体" w:hAnsi="宋体"/>
                <w:b/>
                <w:sz w:val="24"/>
                <w:szCs w:val="24"/>
              </w:rPr>
            </w:pPr>
            <w:r>
              <w:rPr>
                <w:rFonts w:ascii="宋体" w:hAnsi="宋体" w:hint="eastAsia"/>
                <w:sz w:val="24"/>
                <w:szCs w:val="24"/>
              </w:rPr>
              <w:t>答：公司目前相关产品主要应用在区块链及</w:t>
            </w:r>
            <w:r>
              <w:rPr>
                <w:rFonts w:ascii="宋体" w:hAnsi="宋体"/>
                <w:sz w:val="24"/>
                <w:szCs w:val="24"/>
              </w:rPr>
              <w:t>AIDC</w:t>
            </w:r>
            <w:r>
              <w:rPr>
                <w:rFonts w:ascii="宋体" w:hAnsi="宋体" w:hint="eastAsia"/>
                <w:sz w:val="24"/>
                <w:szCs w:val="24"/>
              </w:rPr>
              <w:t>领域，下游客户主要涉及各类温控厂商及比特大陆，中兴通讯等终端客户。</w:t>
            </w:r>
          </w:p>
          <w:p w:rsidR="000F09C6" w:rsidRDefault="00143644">
            <w:pPr>
              <w:spacing w:line="360" w:lineRule="auto"/>
              <w:ind w:firstLineChars="202" w:firstLine="487"/>
              <w:rPr>
                <w:rFonts w:ascii="宋体" w:hAnsi="宋体"/>
                <w:b/>
                <w:sz w:val="24"/>
                <w:szCs w:val="24"/>
              </w:rPr>
            </w:pPr>
            <w:r>
              <w:rPr>
                <w:rFonts w:ascii="宋体" w:hAnsi="宋体"/>
                <w:b/>
                <w:sz w:val="24"/>
                <w:szCs w:val="24"/>
              </w:rPr>
              <w:t>5</w:t>
            </w:r>
            <w:r>
              <w:rPr>
                <w:rFonts w:ascii="宋体" w:hAnsi="宋体" w:hint="eastAsia"/>
                <w:b/>
                <w:sz w:val="24"/>
                <w:szCs w:val="24"/>
              </w:rPr>
              <w:t>、目</w:t>
            </w:r>
            <w:r w:rsidRPr="008153AF">
              <w:rPr>
                <w:rFonts w:ascii="宋体" w:hAnsi="宋体" w:hint="eastAsia"/>
                <w:b/>
                <w:sz w:val="24"/>
                <w:szCs w:val="24"/>
              </w:rPr>
              <w:t>前整个</w:t>
            </w:r>
            <w:r w:rsidR="008153AF" w:rsidRPr="008153AF">
              <w:rPr>
                <w:rFonts w:ascii="宋体" w:hAnsi="宋体" w:hint="eastAsia"/>
                <w:b/>
                <w:sz w:val="24"/>
                <w:szCs w:val="24"/>
              </w:rPr>
              <w:t>AIDC</w:t>
            </w:r>
            <w:r w:rsidRPr="008153AF">
              <w:rPr>
                <w:rFonts w:ascii="宋体" w:hAnsi="宋体" w:hint="eastAsia"/>
                <w:b/>
                <w:sz w:val="24"/>
                <w:szCs w:val="24"/>
              </w:rPr>
              <w:t>温控行</w:t>
            </w:r>
            <w:r>
              <w:rPr>
                <w:rFonts w:ascii="宋体" w:hAnsi="宋体" w:hint="eastAsia"/>
                <w:b/>
                <w:sz w:val="24"/>
                <w:szCs w:val="24"/>
              </w:rPr>
              <w:t>业趋势如何？公司认为未来国内AIDC的液冷发展重点在哪？</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答：</w:t>
            </w:r>
            <w:r>
              <w:rPr>
                <w:rFonts w:ascii="宋体" w:hAnsi="宋体"/>
                <w:sz w:val="24"/>
                <w:szCs w:val="24"/>
              </w:rPr>
              <w:t>(1)随着AI服务器功耗飙升（</w:t>
            </w:r>
            <w:bookmarkStart w:id="7" w:name="OLE_LINK8"/>
            <w:r>
              <w:rPr>
                <w:rFonts w:ascii="宋体" w:hAnsi="宋体"/>
                <w:sz w:val="24"/>
                <w:szCs w:val="24"/>
              </w:rPr>
              <w:t>单颗GPU达1000W以上</w:t>
            </w:r>
            <w:bookmarkEnd w:id="7"/>
            <w:r>
              <w:rPr>
                <w:rFonts w:ascii="宋体" w:hAnsi="宋体"/>
                <w:sz w:val="24"/>
                <w:szCs w:val="24"/>
              </w:rPr>
              <w:t>），传统风冷已难满足需求</w:t>
            </w:r>
            <w:r>
              <w:rPr>
                <w:rFonts w:ascii="宋体" w:hAnsi="宋体" w:hint="eastAsia"/>
                <w:sz w:val="24"/>
                <w:szCs w:val="24"/>
              </w:rPr>
              <w:t>，</w:t>
            </w:r>
            <w:r>
              <w:rPr>
                <w:rFonts w:ascii="宋体" w:hAnsi="宋体"/>
                <w:sz w:val="24"/>
                <w:szCs w:val="24"/>
              </w:rPr>
              <w:t>液冷技术因高效散热和</w:t>
            </w:r>
            <w:bookmarkStart w:id="8" w:name="OLE_LINK10"/>
            <w:r>
              <w:rPr>
                <w:rFonts w:ascii="宋体" w:hAnsi="宋体"/>
                <w:sz w:val="24"/>
                <w:szCs w:val="24"/>
              </w:rPr>
              <w:t>更低PUE（能源效率）优势</w:t>
            </w:r>
            <w:bookmarkEnd w:id="8"/>
            <w:r>
              <w:rPr>
                <w:rFonts w:ascii="宋体" w:hAnsi="宋体"/>
                <w:sz w:val="24"/>
                <w:szCs w:val="24"/>
              </w:rPr>
              <w:t>，正从“选配”变为“必配”</w:t>
            </w:r>
            <w:r>
              <w:rPr>
                <w:rFonts w:ascii="宋体" w:hAnsi="宋体" w:hint="eastAsia"/>
                <w:sz w:val="24"/>
                <w:szCs w:val="24"/>
              </w:rPr>
              <w:t>，Research Nester预测，全球液冷市场规模将从2024年的不足30亿美元，2030年增至213亿美元，年复合增长率超40%。</w:t>
            </w:r>
            <w:r>
              <w:rPr>
                <w:rFonts w:ascii="宋体" w:hAnsi="宋体"/>
                <w:sz w:val="24"/>
                <w:szCs w:val="24"/>
              </w:rPr>
              <w:t>(2)</w:t>
            </w:r>
            <w:r>
              <w:rPr>
                <w:rFonts w:ascii="宋体" w:hAnsi="宋体" w:hint="eastAsia"/>
                <w:sz w:val="24"/>
                <w:szCs w:val="24"/>
              </w:rPr>
              <w:t>目前国内AIDC的发展受制于先进芯片，未来这一关键点在于华为等国内先进企业的相关芯片研发进度，整个</w:t>
            </w:r>
            <w:proofErr w:type="gramStart"/>
            <w:r>
              <w:rPr>
                <w:rFonts w:ascii="宋体" w:hAnsi="宋体" w:hint="eastAsia"/>
                <w:sz w:val="24"/>
                <w:szCs w:val="24"/>
              </w:rPr>
              <w:t>产业链仍处于</w:t>
            </w:r>
            <w:proofErr w:type="gramEnd"/>
            <w:r>
              <w:rPr>
                <w:rFonts w:ascii="宋体" w:hAnsi="宋体" w:hint="eastAsia"/>
                <w:sz w:val="24"/>
                <w:szCs w:val="24"/>
              </w:rPr>
              <w:t>发展初期，公司也将加大投入，继续推动国内关键核心客户的突破。</w:t>
            </w:r>
          </w:p>
          <w:p w:rsidR="000F09C6" w:rsidRDefault="00143644">
            <w:pPr>
              <w:spacing w:line="360" w:lineRule="auto"/>
              <w:ind w:firstLineChars="202" w:firstLine="487"/>
              <w:rPr>
                <w:rFonts w:ascii="宋体" w:hAnsi="宋体"/>
                <w:b/>
                <w:sz w:val="24"/>
                <w:szCs w:val="24"/>
              </w:rPr>
            </w:pPr>
            <w:r>
              <w:rPr>
                <w:rFonts w:ascii="宋体" w:hAnsi="宋体"/>
                <w:b/>
                <w:sz w:val="24"/>
                <w:szCs w:val="24"/>
              </w:rPr>
              <w:t>6</w:t>
            </w:r>
            <w:r>
              <w:rPr>
                <w:rFonts w:ascii="宋体" w:hAnsi="宋体" w:hint="eastAsia"/>
                <w:b/>
                <w:sz w:val="24"/>
                <w:szCs w:val="24"/>
              </w:rPr>
              <w:t>、液冷泵在</w:t>
            </w:r>
            <w:bookmarkStart w:id="9" w:name="OLE_LINK9"/>
            <w:r>
              <w:rPr>
                <w:rFonts w:ascii="宋体" w:hAnsi="宋体" w:hint="eastAsia"/>
                <w:b/>
                <w:sz w:val="24"/>
                <w:szCs w:val="24"/>
              </w:rPr>
              <w:t>AIDC</w:t>
            </w:r>
            <w:bookmarkEnd w:id="9"/>
            <w:r>
              <w:rPr>
                <w:rFonts w:ascii="宋体" w:hAnsi="宋体" w:hint="eastAsia"/>
                <w:b/>
                <w:sz w:val="24"/>
                <w:szCs w:val="24"/>
              </w:rPr>
              <w:t>领域的应用的话，是在机柜外面还是里面？</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答：这块的话得看具体AIDC采用的相关液冷方案进行确定，根据不同的液冷方案，可能在机房外、机房到机柜、机柜内的CDU等具体位置采用一个或多个液冷泵。</w:t>
            </w:r>
          </w:p>
          <w:p w:rsidR="000F09C6" w:rsidRDefault="00143644">
            <w:pPr>
              <w:spacing w:line="360" w:lineRule="auto"/>
              <w:ind w:firstLineChars="202" w:firstLine="487"/>
              <w:rPr>
                <w:rFonts w:ascii="宋体" w:hAnsi="宋体"/>
                <w:b/>
                <w:sz w:val="24"/>
                <w:szCs w:val="24"/>
              </w:rPr>
            </w:pPr>
            <w:r>
              <w:rPr>
                <w:rFonts w:ascii="宋体" w:hAnsi="宋体"/>
                <w:b/>
                <w:sz w:val="24"/>
                <w:szCs w:val="24"/>
              </w:rPr>
              <w:lastRenderedPageBreak/>
              <w:t>7</w:t>
            </w:r>
            <w:r>
              <w:rPr>
                <w:rFonts w:ascii="宋体" w:hAnsi="宋体" w:hint="eastAsia"/>
                <w:b/>
                <w:sz w:val="24"/>
                <w:szCs w:val="24"/>
              </w:rPr>
              <w:t>、对比农用泵及家用屏蔽泵等相关场景，公司在液冷</w:t>
            </w:r>
            <w:proofErr w:type="gramStart"/>
            <w:r>
              <w:rPr>
                <w:rFonts w:ascii="宋体" w:hAnsi="宋体" w:hint="eastAsia"/>
                <w:b/>
                <w:sz w:val="24"/>
                <w:szCs w:val="24"/>
              </w:rPr>
              <w:t>泵领域</w:t>
            </w:r>
            <w:proofErr w:type="gramEnd"/>
            <w:r>
              <w:rPr>
                <w:rFonts w:ascii="宋体" w:hAnsi="宋体" w:hint="eastAsia"/>
                <w:b/>
                <w:sz w:val="24"/>
                <w:szCs w:val="24"/>
              </w:rPr>
              <w:t>的技术壁垒是否会更高，竞争格局如何？</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答：整体</w:t>
            </w:r>
            <w:r w:rsidR="007A12B0">
              <w:rPr>
                <w:rFonts w:ascii="宋体" w:hAnsi="宋体" w:hint="eastAsia"/>
                <w:sz w:val="24"/>
                <w:szCs w:val="24"/>
              </w:rPr>
              <w:t>上</w:t>
            </w:r>
            <w:r>
              <w:rPr>
                <w:rFonts w:ascii="宋体" w:hAnsi="宋体" w:hint="eastAsia"/>
                <w:sz w:val="24"/>
                <w:szCs w:val="24"/>
              </w:rPr>
              <w:t>从技术难度及应用场景来看，液冷</w:t>
            </w:r>
            <w:proofErr w:type="gramStart"/>
            <w:r>
              <w:rPr>
                <w:rFonts w:ascii="宋体" w:hAnsi="宋体" w:hint="eastAsia"/>
                <w:sz w:val="24"/>
                <w:szCs w:val="24"/>
              </w:rPr>
              <w:t>泵相关</w:t>
            </w:r>
            <w:proofErr w:type="gramEnd"/>
            <w:r>
              <w:rPr>
                <w:rFonts w:ascii="宋体" w:hAnsi="宋体" w:hint="eastAsia"/>
                <w:sz w:val="24"/>
                <w:szCs w:val="24"/>
              </w:rPr>
              <w:t>产品的技术难度及要求会比传统的民用</w:t>
            </w:r>
            <w:proofErr w:type="gramStart"/>
            <w:r>
              <w:rPr>
                <w:rFonts w:ascii="宋体" w:hAnsi="宋体" w:hint="eastAsia"/>
                <w:sz w:val="24"/>
                <w:szCs w:val="24"/>
              </w:rPr>
              <w:t>泵产品</w:t>
            </w:r>
            <w:proofErr w:type="gramEnd"/>
            <w:r>
              <w:rPr>
                <w:rFonts w:ascii="宋体" w:hAnsi="宋体" w:hint="eastAsia"/>
                <w:sz w:val="24"/>
                <w:szCs w:val="24"/>
              </w:rPr>
              <w:t>更高。从竞争格局来看，尤其在                                                                                                           数据中心液冷领域，这块业务的竞争格局与公司的家用屏蔽泵产品有一定的相似性，绿色数据中心趋势下在安全环保等领域对泵的噪音、安全泄露等方面提出了更严格的要求，头部企业具备一定的先发优势。</w:t>
            </w:r>
          </w:p>
          <w:p w:rsidR="000F09C6" w:rsidRDefault="00143644">
            <w:pPr>
              <w:spacing w:line="360" w:lineRule="auto"/>
              <w:ind w:firstLineChars="202" w:firstLine="487"/>
              <w:rPr>
                <w:rFonts w:ascii="宋体" w:hAnsi="宋体"/>
                <w:b/>
                <w:sz w:val="24"/>
                <w:szCs w:val="24"/>
              </w:rPr>
            </w:pPr>
            <w:r>
              <w:rPr>
                <w:rFonts w:ascii="宋体" w:hAnsi="宋体"/>
                <w:b/>
                <w:sz w:val="24"/>
                <w:szCs w:val="24"/>
              </w:rPr>
              <w:t>8</w:t>
            </w:r>
            <w:r>
              <w:rPr>
                <w:rFonts w:ascii="宋体" w:hAnsi="宋体" w:hint="eastAsia"/>
                <w:b/>
                <w:sz w:val="24"/>
                <w:szCs w:val="24"/>
              </w:rPr>
              <w:t>、公司今年有提到将进一步推动液冷温控业务的发展，在这方面的影响下，公司今年在费用方面会不会有所体现？</w:t>
            </w:r>
          </w:p>
          <w:p w:rsidR="000F09C6" w:rsidRDefault="00143644">
            <w:pPr>
              <w:spacing w:line="360" w:lineRule="auto"/>
              <w:ind w:firstLineChars="202" w:firstLine="485"/>
              <w:rPr>
                <w:rFonts w:ascii="宋体" w:hAnsi="宋体"/>
                <w:sz w:val="24"/>
                <w:szCs w:val="24"/>
              </w:rPr>
            </w:pPr>
            <w:r>
              <w:rPr>
                <w:rFonts w:ascii="宋体" w:hAnsi="宋体" w:hint="eastAsia"/>
                <w:sz w:val="24"/>
                <w:szCs w:val="24"/>
              </w:rPr>
              <w:t>答：目前来看，液冷温控领域尤其是数据中心液冷领域的市场发展情况较好，在此背景下，公司将进一步加大投入，把握相关市场机遇，进行前瞻性的技术及市场布局。</w:t>
            </w:r>
          </w:p>
          <w:p w:rsidR="000F09C6" w:rsidRPr="00143644" w:rsidRDefault="00143644" w:rsidP="00143644">
            <w:pPr>
              <w:spacing w:line="360" w:lineRule="auto"/>
              <w:ind w:left="484"/>
              <w:rPr>
                <w:rFonts w:ascii="宋体" w:hAnsi="宋体"/>
                <w:b/>
                <w:sz w:val="24"/>
                <w:szCs w:val="24"/>
              </w:rPr>
            </w:pPr>
            <w:r w:rsidRPr="00143644">
              <w:rPr>
                <w:rFonts w:ascii="宋体" w:hAnsi="宋体" w:hint="eastAsia"/>
                <w:b/>
                <w:sz w:val="24"/>
                <w:szCs w:val="24"/>
              </w:rPr>
              <w:t>9、公司</w:t>
            </w:r>
            <w:r w:rsidRPr="00143644">
              <w:rPr>
                <w:rFonts w:ascii="宋体" w:hAnsi="宋体"/>
                <w:b/>
                <w:sz w:val="24"/>
                <w:szCs w:val="24"/>
              </w:rPr>
              <w:t>2024</w:t>
            </w:r>
            <w:r w:rsidR="00E43690">
              <w:rPr>
                <w:rFonts w:ascii="宋体" w:hAnsi="宋体" w:hint="eastAsia"/>
                <w:b/>
                <w:sz w:val="24"/>
                <w:szCs w:val="24"/>
              </w:rPr>
              <w:t>年年度</w:t>
            </w:r>
            <w:r w:rsidRPr="00143644">
              <w:rPr>
                <w:rFonts w:ascii="宋体" w:hAnsi="宋体" w:hint="eastAsia"/>
                <w:b/>
                <w:sz w:val="24"/>
                <w:szCs w:val="24"/>
              </w:rPr>
              <w:t>分红</w:t>
            </w:r>
            <w:r w:rsidRPr="00143644">
              <w:rPr>
                <w:rFonts w:ascii="宋体" w:hAnsi="宋体"/>
                <w:b/>
                <w:sz w:val="24"/>
                <w:szCs w:val="24"/>
              </w:rPr>
              <w:t>2</w:t>
            </w:r>
            <w:r w:rsidRPr="00143644">
              <w:rPr>
                <w:rFonts w:ascii="宋体" w:hAnsi="宋体" w:hint="eastAsia"/>
                <w:b/>
                <w:sz w:val="24"/>
                <w:szCs w:val="24"/>
              </w:rPr>
              <w:t>毛，未来公司的分红规划是什么？</w:t>
            </w:r>
          </w:p>
          <w:p w:rsidR="000F09C6" w:rsidRDefault="00143644" w:rsidP="00143644">
            <w:pPr>
              <w:pStyle w:val="a7"/>
              <w:spacing w:line="360" w:lineRule="auto"/>
              <w:ind w:firstLineChars="0" w:firstLine="0"/>
              <w:rPr>
                <w:rFonts w:ascii="宋体" w:hAnsi="宋体"/>
                <w:sz w:val="24"/>
                <w:szCs w:val="24"/>
              </w:rPr>
            </w:pPr>
            <w:r>
              <w:rPr>
                <w:rFonts w:ascii="宋体" w:hAnsi="宋体"/>
                <w:sz w:val="24"/>
                <w:szCs w:val="24"/>
              </w:rPr>
              <w:t xml:space="preserve">    </w:t>
            </w:r>
            <w:r>
              <w:rPr>
                <w:rFonts w:ascii="宋体" w:hAnsi="宋体" w:hint="eastAsia"/>
                <w:sz w:val="24"/>
                <w:szCs w:val="24"/>
              </w:rPr>
              <w:t>答：公司</w:t>
            </w:r>
            <w:r>
              <w:rPr>
                <w:rFonts w:ascii="宋体" w:hAnsi="宋体"/>
                <w:sz w:val="24"/>
                <w:szCs w:val="24"/>
              </w:rPr>
              <w:t>2024</w:t>
            </w:r>
            <w:r>
              <w:rPr>
                <w:rFonts w:ascii="宋体" w:hAnsi="宋体" w:hint="eastAsia"/>
                <w:sz w:val="24"/>
                <w:szCs w:val="24"/>
              </w:rPr>
              <w:t>年中期进行了现金分红，同时</w:t>
            </w:r>
            <w:r w:rsidR="006C3F91">
              <w:rPr>
                <w:rFonts w:ascii="宋体" w:hAnsi="宋体" w:hint="eastAsia"/>
                <w:sz w:val="24"/>
                <w:szCs w:val="24"/>
              </w:rPr>
              <w:t>在2024年度</w:t>
            </w:r>
            <w:r>
              <w:rPr>
                <w:rFonts w:ascii="宋体" w:hAnsi="宋体" w:hint="eastAsia"/>
                <w:sz w:val="24"/>
                <w:szCs w:val="24"/>
              </w:rPr>
              <w:t>也有回购注销事项，整体分红比</w:t>
            </w:r>
            <w:bookmarkStart w:id="10" w:name="_GoBack"/>
            <w:bookmarkEnd w:id="10"/>
            <w:r>
              <w:rPr>
                <w:rFonts w:ascii="宋体" w:hAnsi="宋体" w:hint="eastAsia"/>
                <w:sz w:val="24"/>
                <w:szCs w:val="24"/>
              </w:rPr>
              <w:t>例仍处于较高水平。未来公司在加大投入的基础上，仍将秉持稳健持续的分红计划，回馈投资者。</w:t>
            </w:r>
          </w:p>
        </w:tc>
      </w:tr>
      <w:tr w:rsidR="000F09C6">
        <w:trPr>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lastRenderedPageBreak/>
              <w:t>附件清单</w:t>
            </w:r>
          </w:p>
          <w:p w:rsidR="000F09C6" w:rsidRDefault="00143644">
            <w:pPr>
              <w:jc w:val="center"/>
              <w:rPr>
                <w:rFonts w:ascii="宋体" w:hAnsi="宋体"/>
                <w:sz w:val="24"/>
                <w:szCs w:val="24"/>
              </w:rPr>
            </w:pPr>
            <w:r>
              <w:rPr>
                <w:rFonts w:ascii="宋体" w:hAnsi="宋体" w:hint="eastAsia"/>
                <w:sz w:val="24"/>
                <w:szCs w:val="24"/>
              </w:rPr>
              <w:t>（如有）</w:t>
            </w:r>
          </w:p>
        </w:tc>
        <w:tc>
          <w:tcPr>
            <w:tcW w:w="7669" w:type="dxa"/>
            <w:vAlign w:val="center"/>
          </w:tcPr>
          <w:p w:rsidR="000F09C6" w:rsidRDefault="00143644">
            <w:pPr>
              <w:spacing w:line="360" w:lineRule="auto"/>
              <w:jc w:val="left"/>
              <w:rPr>
                <w:rFonts w:ascii="宋体" w:hAnsi="宋体"/>
                <w:sz w:val="24"/>
                <w:szCs w:val="24"/>
              </w:rPr>
            </w:pPr>
            <w:r>
              <w:rPr>
                <w:rFonts w:ascii="宋体" w:hAnsi="宋体"/>
                <w:sz w:val="24"/>
                <w:szCs w:val="24"/>
              </w:rPr>
              <w:t>无</w:t>
            </w:r>
          </w:p>
        </w:tc>
      </w:tr>
      <w:tr w:rsidR="000F09C6">
        <w:trPr>
          <w:trHeight w:val="558"/>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整理日期</w:t>
            </w:r>
          </w:p>
        </w:tc>
        <w:tc>
          <w:tcPr>
            <w:tcW w:w="7669" w:type="dxa"/>
            <w:vAlign w:val="center"/>
          </w:tcPr>
          <w:p w:rsidR="000F09C6" w:rsidRDefault="00143644">
            <w:pPr>
              <w:jc w:val="left"/>
              <w:rPr>
                <w:rFonts w:ascii="宋体" w:hAnsi="宋体"/>
                <w:sz w:val="24"/>
                <w:szCs w:val="24"/>
              </w:rPr>
            </w:pPr>
            <w:r>
              <w:rPr>
                <w:rFonts w:ascii="宋体" w:hAnsi="宋体"/>
                <w:sz w:val="24"/>
                <w:szCs w:val="24"/>
              </w:rPr>
              <w:t>202</w:t>
            </w:r>
            <w:r>
              <w:rPr>
                <w:rFonts w:ascii="宋体" w:hAnsi="宋体" w:hint="eastAsia"/>
                <w:sz w:val="24"/>
                <w:szCs w:val="24"/>
              </w:rPr>
              <w:t>5</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27</w:t>
            </w:r>
            <w:r>
              <w:rPr>
                <w:rFonts w:ascii="宋体" w:hAnsi="宋体"/>
                <w:sz w:val="24"/>
                <w:szCs w:val="24"/>
              </w:rPr>
              <w:t>日</w:t>
            </w:r>
          </w:p>
        </w:tc>
      </w:tr>
    </w:tbl>
    <w:p w:rsidR="000F09C6" w:rsidRDefault="000F09C6">
      <w:pPr>
        <w:spacing w:line="20" w:lineRule="exact"/>
        <w:jc w:val="left"/>
      </w:pPr>
    </w:p>
    <w:sectPr w:rsidR="000F0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4E2CBC"/>
    <w:lvl w:ilvl="0" w:tplc="2982E7A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0000002"/>
    <w:multiLevelType w:val="hybridMultilevel"/>
    <w:tmpl w:val="9C5620EA"/>
    <w:lvl w:ilvl="0" w:tplc="EC66B77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0000003"/>
    <w:multiLevelType w:val="hybridMultilevel"/>
    <w:tmpl w:val="8E673C53"/>
    <w:lvl w:ilvl="0" w:tplc="0409000F">
      <w:start w:val="9"/>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3">
    <w:nsid w:val="51E753E5"/>
    <w:multiLevelType w:val="hybridMultilevel"/>
    <w:tmpl w:val="44224200"/>
    <w:lvl w:ilvl="0" w:tplc="95820550">
      <w:start w:val="9"/>
      <w:numFmt w:val="decimal"/>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4">
    <w:nsid w:val="7FB64827"/>
    <w:multiLevelType w:val="hybridMultilevel"/>
    <w:tmpl w:val="DAF46218"/>
    <w:lvl w:ilvl="0" w:tplc="BDE46832">
      <w:start w:val="1"/>
      <w:numFmt w:val="japaneseCounting"/>
      <w:lvlText w:val="%1、"/>
      <w:lvlJc w:val="left"/>
      <w:pPr>
        <w:ind w:left="510" w:hanging="51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C6"/>
    <w:rsid w:val="00067438"/>
    <w:rsid w:val="0008463D"/>
    <w:rsid w:val="000C73F5"/>
    <w:rsid w:val="000F09C6"/>
    <w:rsid w:val="001021E4"/>
    <w:rsid w:val="00143644"/>
    <w:rsid w:val="00374D72"/>
    <w:rsid w:val="00620CF1"/>
    <w:rsid w:val="006C3F91"/>
    <w:rsid w:val="00707C44"/>
    <w:rsid w:val="007A12B0"/>
    <w:rsid w:val="008153AF"/>
    <w:rsid w:val="009B7B50"/>
    <w:rsid w:val="00E43690"/>
    <w:rsid w:val="00F1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3433-83DC-454B-84F2-1A28F41A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313</Words>
  <Characters>1787</Characters>
  <Application>Microsoft Office Word</Application>
  <DocSecurity>0</DocSecurity>
  <Lines>14</Lines>
  <Paragraphs>4</Paragraphs>
  <ScaleCrop>false</ScaleCrop>
  <Company>微软中国</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dc:creator>
  <cp:lastModifiedBy>w</cp:lastModifiedBy>
  <cp:revision>17</cp:revision>
  <dcterms:created xsi:type="dcterms:W3CDTF">2025-05-28T00:26:00Z</dcterms:created>
  <dcterms:modified xsi:type="dcterms:W3CDTF">2025-05-28T04:18:00Z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6ee8ee420c3b4a1d973cdddfd43ef1e8_23</vt:lpwstr>
  </property>
</Properties>
</file>