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B73D2">
      <w:pPr>
        <w:spacing w:after="156" w:afterLines="50" w:line="400" w:lineRule="exact"/>
        <w:rPr>
          <w:rFonts w:hint="eastAsia"/>
          <w:bCs/>
          <w:iCs/>
          <w:color w:val="000000"/>
          <w:sz w:val="24"/>
        </w:rPr>
      </w:pPr>
    </w:p>
    <w:p w14:paraId="54B2EFC7">
      <w:pPr>
        <w:spacing w:after="156" w:afterLines="50" w:line="400" w:lineRule="exact"/>
        <w:rPr>
          <w:bCs/>
          <w:iCs/>
          <w:color w:val="000000"/>
          <w:sz w:val="24"/>
        </w:rPr>
      </w:pPr>
      <w:r>
        <w:rPr>
          <w:rFonts w:hint="eastAsia"/>
          <w:bCs/>
          <w:iCs/>
          <w:color w:val="000000"/>
          <w:sz w:val="24"/>
        </w:rPr>
        <w:t>证券代码：</w:t>
      </w:r>
      <w:r>
        <w:rPr>
          <w:rFonts w:hint="eastAsia"/>
          <w:b/>
          <w:bCs/>
          <w:iCs/>
          <w:color w:val="000000"/>
          <w:sz w:val="24"/>
        </w:rPr>
        <w:t xml:space="preserve"> </w:t>
      </w:r>
      <w:r>
        <w:rPr>
          <w:rFonts w:hint="eastAsia"/>
          <w:b/>
          <w:bCs/>
          <w:iCs/>
          <w:color w:val="000000"/>
          <w:sz w:val="24"/>
          <w:lang w:val="en-US" w:eastAsia="zh-CN"/>
        </w:rPr>
        <w:t>600623  900909</w:t>
      </w:r>
      <w:r>
        <w:rPr>
          <w:rFonts w:hint="eastAsia"/>
          <w:b/>
          <w:bCs/>
          <w:iCs/>
          <w:color w:val="000000"/>
          <w:sz w:val="24"/>
        </w:rPr>
        <w:t xml:space="preserve">        </w:t>
      </w:r>
      <w:r>
        <w:rPr>
          <w:rFonts w:hint="eastAsia"/>
          <w:b/>
          <w:bCs/>
          <w:iCs/>
          <w:color w:val="000000"/>
          <w:sz w:val="24"/>
          <w:lang w:val="en-US" w:eastAsia="zh-CN"/>
        </w:rPr>
        <w:t xml:space="preserve">      </w:t>
      </w:r>
      <w:r>
        <w:rPr>
          <w:rFonts w:hint="eastAsia"/>
          <w:b/>
          <w:bCs/>
          <w:iCs/>
          <w:color w:val="000000"/>
          <w:sz w:val="24"/>
        </w:rPr>
        <w:t xml:space="preserve">      </w:t>
      </w:r>
      <w:r>
        <w:rPr>
          <w:rFonts w:hint="eastAsia"/>
          <w:bCs/>
          <w:iCs/>
          <w:color w:val="000000"/>
          <w:sz w:val="24"/>
        </w:rPr>
        <w:t>证券简称：</w:t>
      </w:r>
      <w:r>
        <w:rPr>
          <w:rFonts w:hint="eastAsia"/>
          <w:bCs/>
          <w:iCs/>
          <w:color w:val="000000"/>
          <w:sz w:val="24"/>
          <w:lang w:val="en-US" w:eastAsia="zh-CN"/>
        </w:rPr>
        <w:t>华谊集团  华谊B股</w:t>
      </w:r>
      <w:r>
        <w:rPr>
          <w:bCs/>
          <w:iCs/>
          <w:color w:val="000000"/>
          <w:sz w:val="24"/>
        </w:rPr>
        <w:t xml:space="preserve"> </w:t>
      </w:r>
    </w:p>
    <w:p w14:paraId="6FA58AAB">
      <w:pPr>
        <w:spacing w:before="156" w:beforeLines="50" w:after="156" w:afterLines="50" w:line="400" w:lineRule="exact"/>
        <w:ind w:firstLine="720" w:firstLineChars="300"/>
        <w:rPr>
          <w:bCs/>
          <w:iCs/>
          <w:color w:val="000000"/>
          <w:sz w:val="24"/>
        </w:rPr>
      </w:pPr>
    </w:p>
    <w:p w14:paraId="3CC5B91C">
      <w:pPr>
        <w:spacing w:before="156" w:beforeLines="50" w:after="156" w:afterLines="50" w:line="400" w:lineRule="exact"/>
        <w:jc w:val="center"/>
        <w:rPr>
          <w:b/>
          <w:bCs/>
          <w:iCs/>
          <w:color w:val="000000"/>
          <w:sz w:val="32"/>
          <w:szCs w:val="32"/>
        </w:rPr>
      </w:pPr>
      <w:r>
        <w:rPr>
          <w:rFonts w:hint="eastAsia"/>
          <w:b/>
          <w:bCs/>
          <w:iCs/>
          <w:color w:val="000000"/>
          <w:sz w:val="32"/>
          <w:szCs w:val="32"/>
          <w:lang w:val="en-US" w:eastAsia="zh-CN"/>
        </w:rPr>
        <w:t>上海华谊集团</w:t>
      </w:r>
      <w:r>
        <w:rPr>
          <w:rFonts w:hint="eastAsia"/>
          <w:b/>
          <w:bCs/>
          <w:iCs/>
          <w:color w:val="000000"/>
          <w:sz w:val="32"/>
          <w:szCs w:val="32"/>
        </w:rPr>
        <w:t>股份有限公司</w:t>
      </w:r>
    </w:p>
    <w:p w14:paraId="085B2BBC">
      <w:pPr>
        <w:spacing w:before="156" w:beforeLines="50" w:after="156" w:afterLines="50" w:line="400" w:lineRule="exact"/>
        <w:jc w:val="center"/>
        <w:rPr>
          <w:b/>
          <w:bCs/>
          <w:iCs/>
          <w:color w:val="000000"/>
          <w:sz w:val="32"/>
          <w:szCs w:val="32"/>
        </w:rPr>
      </w:pPr>
      <w:r>
        <w:rPr>
          <w:rFonts w:hint="eastAsia"/>
          <w:b/>
          <w:bCs/>
          <w:iCs/>
          <w:color w:val="000000"/>
          <w:sz w:val="32"/>
          <w:szCs w:val="32"/>
        </w:rPr>
        <w:t>投资者关系活动记录表</w:t>
      </w:r>
    </w:p>
    <w:p w14:paraId="670A6492">
      <w:pPr>
        <w:spacing w:line="400" w:lineRule="exact"/>
        <w:jc w:val="right"/>
        <w:rPr>
          <w:rFonts w:hint="default" w:eastAsia="宋体"/>
          <w:bCs/>
          <w:iCs/>
          <w:color w:val="000000"/>
          <w:sz w:val="24"/>
          <w:lang w:val="en-US" w:eastAsia="zh-CN"/>
        </w:rPr>
      </w:pPr>
      <w:r>
        <w:rPr>
          <w:rFonts w:hint="eastAsia"/>
          <w:bCs/>
          <w:iCs/>
          <w:color w:val="000000"/>
          <w:sz w:val="24"/>
        </w:rPr>
        <w:t xml:space="preserve">                                             编号：</w:t>
      </w:r>
      <w:r>
        <w:rPr>
          <w:rFonts w:hint="eastAsia"/>
          <w:bCs/>
          <w:iCs/>
          <w:color w:val="000000"/>
          <w:sz w:val="24"/>
          <w:lang w:val="en-US" w:eastAsia="zh-CN"/>
        </w:rPr>
        <w:t>2025-004</w:t>
      </w:r>
    </w:p>
    <w:tbl>
      <w:tblPr>
        <w:tblStyle w:val="1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513"/>
      </w:tblGrid>
      <w:tr w14:paraId="61D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985" w:type="dxa"/>
            <w:vAlign w:val="center"/>
          </w:tcPr>
          <w:p w14:paraId="7E995647">
            <w:pPr>
              <w:spacing w:line="480" w:lineRule="atLeast"/>
              <w:jc w:val="center"/>
              <w:rPr>
                <w:b/>
                <w:bCs/>
                <w:iCs/>
                <w:color w:val="000000"/>
                <w:kern w:val="0"/>
                <w:sz w:val="24"/>
              </w:rPr>
            </w:pPr>
            <w:r>
              <w:rPr>
                <w:rFonts w:hint="eastAsia"/>
                <w:b/>
                <w:bCs/>
                <w:iCs/>
                <w:color w:val="000000"/>
                <w:kern w:val="0"/>
                <w:sz w:val="24"/>
              </w:rPr>
              <w:t>投资者关系</w:t>
            </w:r>
          </w:p>
          <w:p w14:paraId="5B8FDF12">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pPr>
              <w:spacing w:line="480" w:lineRule="atLeast"/>
              <w:rPr>
                <w:bCs/>
                <w:iCs/>
                <w:color w:val="000000"/>
                <w:kern w:val="0"/>
                <w:sz w:val="24"/>
              </w:rPr>
            </w:pPr>
            <w:r>
              <w:rPr>
                <w:rFonts w:hint="eastAsia" w:ascii="Segoe UI Symbol" w:hAnsi="Segoe UI Symbol" w:cs="Segoe UI Symbol"/>
                <w:bCs/>
                <w:iCs/>
                <w:color w:val="000000"/>
                <w:kern w:val="0"/>
                <w:sz w:val="24"/>
                <w:lang w:eastAsia="zh-CN"/>
              </w:rPr>
              <w:t>☑</w:t>
            </w:r>
            <w:r>
              <w:rPr>
                <w:rFonts w:hint="eastAsia"/>
                <w:bCs/>
                <w:iCs/>
                <w:color w:val="000000"/>
                <w:kern w:val="0"/>
                <w:sz w:val="24"/>
              </w:rPr>
              <w:t xml:space="preserve">特定对象调研        </w:t>
            </w:r>
            <w:r>
              <w:rPr>
                <w:rFonts w:hint="eastAsia"/>
                <w:bCs/>
                <w:iCs/>
                <w:color w:val="000000"/>
                <w:kern w:val="0"/>
                <w:sz w:val="24"/>
                <w:lang w:eastAsia="zh-CN"/>
              </w:rPr>
              <w:t>□</w:t>
            </w:r>
            <w:r>
              <w:rPr>
                <w:rFonts w:hint="eastAsia"/>
                <w:bCs/>
                <w:iCs/>
                <w:color w:val="000000"/>
                <w:kern w:val="0"/>
                <w:sz w:val="24"/>
              </w:rPr>
              <w:t>分析师会议</w:t>
            </w:r>
          </w:p>
          <w:p w14:paraId="3F2D1F5A">
            <w:pPr>
              <w:spacing w:line="480" w:lineRule="atLeas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媒体采访            </w:t>
            </w:r>
            <w:r>
              <w:rPr>
                <w:rFonts w:hint="eastAsia" w:eastAsia="MS Mincho" w:cs="MS Mincho"/>
                <w:bCs/>
                <w:iCs/>
                <w:color w:val="000000"/>
                <w:kern w:val="0"/>
                <w:sz w:val="24"/>
              </w:rPr>
              <w:t>□</w:t>
            </w:r>
            <w:r>
              <w:rPr>
                <w:rFonts w:hint="eastAsia"/>
                <w:bCs/>
                <w:iCs/>
                <w:color w:val="000000"/>
                <w:kern w:val="0"/>
                <w:sz w:val="24"/>
              </w:rPr>
              <w:t>业绩说明会</w:t>
            </w:r>
          </w:p>
          <w:p w14:paraId="4118A5AC">
            <w:pPr>
              <w:spacing w:line="480" w:lineRule="atLeast"/>
              <w:rPr>
                <w:bCs/>
                <w:iCs/>
                <w:color w:val="000000"/>
                <w:kern w:val="0"/>
                <w:sz w:val="24"/>
              </w:rPr>
            </w:pPr>
            <w:r>
              <w:rPr>
                <w:rFonts w:hint="eastAsia"/>
                <w:bCs/>
                <w:iCs/>
                <w:color w:val="000000"/>
                <w:kern w:val="0"/>
                <w:sz w:val="24"/>
              </w:rPr>
              <w:t>□新闻发布会          □路演活动</w:t>
            </w:r>
          </w:p>
          <w:p w14:paraId="6998997D">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pPr>
              <w:tabs>
                <w:tab w:val="left" w:pos="3045"/>
                <w:tab w:val="center" w:pos="3199"/>
              </w:tabs>
              <w:spacing w:line="480" w:lineRule="atLeast"/>
              <w:rPr>
                <w:rFonts w:hint="eastAsia" w:ascii="宋体" w:hAnsi="宋体"/>
                <w:kern w:val="0"/>
                <w:sz w:val="28"/>
                <w:szCs w:val="28"/>
              </w:rPr>
            </w:pPr>
            <w:r>
              <w:rPr>
                <w:rFonts w:hint="eastAsia"/>
                <w:bCs/>
                <w:iCs/>
                <w:color w:val="000000"/>
                <w:kern w:val="0"/>
                <w:sz w:val="24"/>
              </w:rPr>
              <w:t>□其他，请文字说明其他活动内容</w:t>
            </w:r>
          </w:p>
        </w:tc>
      </w:tr>
      <w:tr w14:paraId="574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85" w:type="dxa"/>
            <w:vAlign w:val="center"/>
          </w:tcPr>
          <w:p w14:paraId="2A981053">
            <w:pPr>
              <w:spacing w:line="480" w:lineRule="atLeast"/>
              <w:jc w:val="center"/>
              <w:rPr>
                <w:rFonts w:hint="eastAsia"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62EDACAB">
            <w:pPr>
              <w:spacing w:line="480" w:lineRule="atLeast"/>
              <w:jc w:val="left"/>
              <w:rPr>
                <w:rFonts w:hint="default"/>
                <w:kern w:val="0"/>
                <w:sz w:val="24"/>
                <w:lang w:val="en-US" w:eastAsia="zh-CN"/>
              </w:rPr>
            </w:pPr>
            <w:r>
              <w:rPr>
                <w:rFonts w:hint="eastAsia"/>
                <w:kern w:val="0"/>
                <w:sz w:val="24"/>
                <w:lang w:val="en-US" w:eastAsia="zh-CN"/>
              </w:rPr>
              <w:t>海富通基金、华福证券、国海证券、金鹰基金</w:t>
            </w:r>
          </w:p>
        </w:tc>
      </w:tr>
      <w:tr w14:paraId="0405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85" w:type="dxa"/>
            <w:vAlign w:val="center"/>
          </w:tcPr>
          <w:p w14:paraId="7DC17A2F">
            <w:pPr>
              <w:spacing w:line="480" w:lineRule="atLeast"/>
              <w:jc w:val="center"/>
              <w:rPr>
                <w:rFonts w:hint="eastAsia" w:ascii="宋体" w:hAnsi="宋体"/>
                <w:b/>
                <w:bCs/>
                <w:iCs/>
                <w:color w:val="000000"/>
                <w:kern w:val="0"/>
                <w:sz w:val="24"/>
              </w:rPr>
            </w:pPr>
            <w:r>
              <w:rPr>
                <w:rFonts w:hint="eastAsia"/>
                <w:b/>
                <w:bCs/>
                <w:iCs/>
                <w:color w:val="000000"/>
                <w:kern w:val="0"/>
                <w:sz w:val="24"/>
              </w:rPr>
              <w:t>时间</w:t>
            </w:r>
          </w:p>
        </w:tc>
        <w:tc>
          <w:tcPr>
            <w:tcW w:w="7513" w:type="dxa"/>
            <w:vAlign w:val="center"/>
          </w:tcPr>
          <w:p w14:paraId="027956D6">
            <w:pPr>
              <w:spacing w:line="480" w:lineRule="atLeast"/>
              <w:rPr>
                <w:rFonts w:hint="eastAsia" w:asciiTheme="majorEastAsia" w:hAnsiTheme="majorEastAsia" w:eastAsiaTheme="majorEastAsia"/>
                <w:bCs/>
                <w:iCs/>
                <w:color w:val="000000"/>
                <w:kern w:val="0"/>
                <w:sz w:val="24"/>
              </w:rPr>
            </w:pPr>
            <w:r>
              <w:rPr>
                <w:rFonts w:hint="eastAsia" w:eastAsiaTheme="majorEastAsia"/>
                <w:bCs/>
                <w:iCs/>
                <w:color w:val="000000"/>
                <w:kern w:val="0"/>
                <w:sz w:val="24"/>
                <w:lang w:val="en-US" w:eastAsia="zh-CN"/>
              </w:rPr>
              <w:t>2025</w:t>
            </w:r>
            <w:r>
              <w:rPr>
                <w:rFonts w:hint="eastAsia" w:eastAsiaTheme="majorEastAsia"/>
                <w:bCs/>
                <w:iCs/>
                <w:color w:val="000000"/>
                <w:kern w:val="0"/>
                <w:sz w:val="24"/>
              </w:rPr>
              <w:t>年</w:t>
            </w:r>
            <w:r>
              <w:rPr>
                <w:rFonts w:hint="eastAsia" w:eastAsiaTheme="majorEastAsia"/>
                <w:bCs/>
                <w:iCs/>
                <w:color w:val="000000"/>
                <w:kern w:val="0"/>
                <w:sz w:val="24"/>
                <w:lang w:val="en-US" w:eastAsia="zh-CN"/>
              </w:rPr>
              <w:t>5</w:t>
            </w:r>
            <w:r>
              <w:rPr>
                <w:rFonts w:hint="eastAsia" w:eastAsiaTheme="majorEastAsia"/>
                <w:bCs/>
                <w:iCs/>
                <w:color w:val="000000"/>
                <w:kern w:val="0"/>
                <w:sz w:val="24"/>
              </w:rPr>
              <w:t>月</w:t>
            </w:r>
            <w:r>
              <w:rPr>
                <w:rFonts w:hint="eastAsia" w:eastAsiaTheme="majorEastAsia"/>
                <w:bCs/>
                <w:iCs/>
                <w:color w:val="000000"/>
                <w:kern w:val="0"/>
                <w:sz w:val="24"/>
                <w:lang w:val="en-US" w:eastAsia="zh-CN"/>
              </w:rPr>
              <w:t>29</w:t>
            </w:r>
            <w:r>
              <w:rPr>
                <w:rFonts w:eastAsiaTheme="majorEastAsia"/>
                <w:bCs/>
                <w:iCs/>
                <w:color w:val="000000"/>
                <w:kern w:val="0"/>
                <w:sz w:val="24"/>
              </w:rPr>
              <w:t>日</w:t>
            </w:r>
          </w:p>
        </w:tc>
      </w:tr>
      <w:tr w14:paraId="3B07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vAlign w:val="center"/>
          </w:tcPr>
          <w:p w14:paraId="505081E5">
            <w:pPr>
              <w:spacing w:line="480" w:lineRule="atLeast"/>
              <w:jc w:val="center"/>
              <w:rPr>
                <w:rFonts w:hint="eastAsia" w:ascii="宋体" w:hAnsi="宋体"/>
                <w:b/>
                <w:bCs/>
                <w:iCs/>
                <w:color w:val="000000"/>
                <w:kern w:val="0"/>
                <w:sz w:val="24"/>
              </w:rPr>
            </w:pPr>
            <w:r>
              <w:rPr>
                <w:rFonts w:hint="eastAsia"/>
                <w:b/>
                <w:bCs/>
                <w:iCs/>
                <w:color w:val="000000"/>
                <w:kern w:val="0"/>
                <w:sz w:val="24"/>
              </w:rPr>
              <w:t>地点</w:t>
            </w:r>
          </w:p>
        </w:tc>
        <w:tc>
          <w:tcPr>
            <w:tcW w:w="7513" w:type="dxa"/>
            <w:vAlign w:val="center"/>
          </w:tcPr>
          <w:p w14:paraId="3B94156F">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上海市常德路809号华谊集团大厦</w:t>
            </w:r>
          </w:p>
        </w:tc>
      </w:tr>
      <w:tr w14:paraId="100E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85" w:type="dxa"/>
            <w:vAlign w:val="center"/>
          </w:tcPr>
          <w:p w14:paraId="1A66EC66">
            <w:pPr>
              <w:spacing w:line="480" w:lineRule="atLeast"/>
              <w:jc w:val="center"/>
              <w:rPr>
                <w:b/>
                <w:bCs/>
                <w:iCs/>
                <w:color w:val="000000"/>
                <w:kern w:val="0"/>
                <w:sz w:val="24"/>
              </w:rPr>
            </w:pPr>
            <w:r>
              <w:rPr>
                <w:rFonts w:hint="eastAsia"/>
                <w:b/>
                <w:bCs/>
                <w:iCs/>
                <w:color w:val="000000"/>
                <w:kern w:val="0"/>
                <w:sz w:val="24"/>
              </w:rPr>
              <w:t>上市公司接待</w:t>
            </w:r>
          </w:p>
          <w:p w14:paraId="7987C650">
            <w:pPr>
              <w:spacing w:line="480" w:lineRule="atLeast"/>
              <w:jc w:val="center"/>
              <w:rPr>
                <w:rFonts w:hint="eastAsia"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pPr>
              <w:spacing w:line="480" w:lineRule="atLeast"/>
              <w:rPr>
                <w:rFonts w:hint="eastAsia"/>
                <w:bCs/>
                <w:iCs/>
                <w:color w:val="000000"/>
                <w:kern w:val="0"/>
                <w:sz w:val="24"/>
                <w:lang w:val="en-US" w:eastAsia="zh-CN"/>
              </w:rPr>
            </w:pPr>
            <w:r>
              <w:rPr>
                <w:rFonts w:hint="eastAsia"/>
                <w:bCs/>
                <w:iCs/>
                <w:color w:val="000000"/>
                <w:kern w:val="0"/>
                <w:sz w:val="24"/>
                <w:lang w:val="en-US" w:eastAsia="zh-CN"/>
              </w:rPr>
              <w:t>财务总监、董事会秘书              徐力珩先生</w:t>
            </w:r>
          </w:p>
          <w:p w14:paraId="04E6831E">
            <w:pPr>
              <w:spacing w:line="480" w:lineRule="atLeast"/>
              <w:rPr>
                <w:rFonts w:hint="eastAsia"/>
                <w:bCs/>
                <w:iCs/>
                <w:color w:val="000000"/>
                <w:kern w:val="0"/>
                <w:sz w:val="24"/>
                <w:lang w:val="en-US" w:eastAsia="zh-CN"/>
              </w:rPr>
            </w:pPr>
            <w:r>
              <w:rPr>
                <w:rFonts w:hint="eastAsia"/>
                <w:bCs/>
                <w:iCs/>
                <w:color w:val="000000"/>
                <w:kern w:val="0"/>
                <w:sz w:val="24"/>
                <w:lang w:val="en-US" w:eastAsia="zh-CN"/>
              </w:rPr>
              <w:t>董事会办公室主任、证券事务代表    居培女士</w:t>
            </w:r>
          </w:p>
          <w:p w14:paraId="0C134736">
            <w:pPr>
              <w:spacing w:line="480" w:lineRule="atLeast"/>
              <w:rPr>
                <w:rFonts w:hint="default"/>
                <w:bCs/>
                <w:iCs/>
                <w:color w:val="000000"/>
                <w:kern w:val="0"/>
                <w:sz w:val="24"/>
                <w:lang w:val="en-US" w:eastAsia="zh-CN"/>
              </w:rPr>
            </w:pPr>
            <w:r>
              <w:rPr>
                <w:rFonts w:hint="eastAsia"/>
                <w:bCs/>
                <w:iCs/>
                <w:color w:val="000000"/>
                <w:kern w:val="0"/>
                <w:sz w:val="24"/>
                <w:lang w:val="en-US" w:eastAsia="zh-CN"/>
              </w:rPr>
              <w:t>资本运作                          郑静女士</w:t>
            </w:r>
          </w:p>
        </w:tc>
      </w:tr>
      <w:tr w14:paraId="610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985" w:type="dxa"/>
            <w:vAlign w:val="center"/>
          </w:tcPr>
          <w:p w14:paraId="12D658B0">
            <w:pPr>
              <w:spacing w:line="480" w:lineRule="atLeast"/>
              <w:jc w:val="center"/>
              <w:rPr>
                <w:rFonts w:hint="eastAsia"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5A0D082B">
            <w:pPr>
              <w:spacing w:line="480" w:lineRule="exact"/>
              <w:rPr>
                <w:b/>
                <w:bCs/>
                <w:iCs/>
                <w:kern w:val="0"/>
                <w:sz w:val="24"/>
              </w:rPr>
            </w:pPr>
            <w:r>
              <w:rPr>
                <w:rFonts w:hint="eastAsia"/>
                <w:b/>
                <w:bCs/>
                <w:iCs/>
                <w:kern w:val="0"/>
                <w:sz w:val="24"/>
              </w:rPr>
              <w:t>主要内容如下：</w:t>
            </w:r>
          </w:p>
          <w:p w14:paraId="171E2532">
            <w:pPr>
              <w:spacing w:line="480" w:lineRule="exact"/>
              <w:rPr>
                <w:rFonts w:hint="default"/>
                <w:iCs/>
                <w:kern w:val="0"/>
                <w:sz w:val="24"/>
                <w:lang w:val="en-US" w:eastAsia="zh-CN"/>
              </w:rPr>
            </w:pPr>
            <w:r>
              <w:rPr>
                <w:rFonts w:hint="eastAsia"/>
                <w:iCs/>
                <w:kern w:val="0"/>
                <w:sz w:val="24"/>
                <w:lang w:val="en-US" w:eastAsia="zh-CN"/>
              </w:rPr>
              <w:t>Q：公司各业务板块情况如何，特别是轮胎的情况？</w:t>
            </w:r>
          </w:p>
          <w:p w14:paraId="78551E8E">
            <w:pPr>
              <w:spacing w:line="480" w:lineRule="exact"/>
              <w:rPr>
                <w:rFonts w:hint="eastAsia"/>
                <w:iCs/>
                <w:kern w:val="0"/>
                <w:sz w:val="24"/>
                <w:lang w:val="en-US" w:eastAsia="zh-CN"/>
              </w:rPr>
            </w:pPr>
            <w:r>
              <w:rPr>
                <w:rFonts w:hint="eastAsia"/>
                <w:iCs/>
                <w:kern w:val="0"/>
                <w:sz w:val="24"/>
                <w:lang w:val="en-US" w:eastAsia="zh-CN"/>
              </w:rPr>
              <w:t>A：目前公司经营正常有序，业绩较去年一季报略有增长。轮胎业务竞争压力大，前年开始已全部盈利，正密切关注欧洲市场动向。</w:t>
            </w:r>
          </w:p>
          <w:p w14:paraId="3FCDD0B6">
            <w:pPr>
              <w:spacing w:line="480" w:lineRule="exact"/>
              <w:rPr>
                <w:iCs/>
                <w:kern w:val="0"/>
                <w:sz w:val="24"/>
              </w:rPr>
            </w:pPr>
          </w:p>
          <w:p w14:paraId="300B9756">
            <w:pPr>
              <w:spacing w:line="480" w:lineRule="exact"/>
              <w:rPr>
                <w:rFonts w:hint="default"/>
                <w:iCs/>
                <w:kern w:val="0"/>
                <w:sz w:val="24"/>
                <w:lang w:val="en-US" w:eastAsia="zh-CN"/>
              </w:rPr>
            </w:pPr>
            <w:r>
              <w:rPr>
                <w:rFonts w:hint="eastAsia"/>
                <w:iCs/>
                <w:kern w:val="0"/>
                <w:sz w:val="24"/>
                <w:lang w:val="en-US" w:eastAsia="zh-CN"/>
              </w:rPr>
              <w:t>Q：广西基地主要生产什么产品？后续发展节奏如何？</w:t>
            </w:r>
          </w:p>
          <w:p w14:paraId="7812789F">
            <w:pPr>
              <w:spacing w:line="480" w:lineRule="exact"/>
              <w:rPr>
                <w:rFonts w:hint="default"/>
                <w:iCs/>
                <w:kern w:val="0"/>
                <w:sz w:val="24"/>
                <w:lang w:val="en-US" w:eastAsia="zh-CN"/>
              </w:rPr>
            </w:pPr>
            <w:r>
              <w:rPr>
                <w:rFonts w:hint="eastAsia"/>
                <w:iCs/>
                <w:kern w:val="0"/>
                <w:sz w:val="24"/>
                <w:lang w:val="en-US" w:eastAsia="zh-CN"/>
              </w:rPr>
              <w:t>A：公司持有广西新材料60%的股权，此外还有码头及配套设施由投资公司参股，总体项目盈利情况良好。</w:t>
            </w:r>
          </w:p>
          <w:p w14:paraId="54B12FCC">
            <w:pPr>
              <w:spacing w:line="480" w:lineRule="exact"/>
              <w:rPr>
                <w:rFonts w:hint="eastAsia"/>
                <w:iCs/>
                <w:kern w:val="0"/>
                <w:sz w:val="24"/>
                <w:lang w:val="en-US" w:eastAsia="zh-CN"/>
              </w:rPr>
            </w:pPr>
          </w:p>
          <w:p w14:paraId="2FC82CF5">
            <w:pPr>
              <w:spacing w:line="480" w:lineRule="exact"/>
              <w:rPr>
                <w:rFonts w:hint="eastAsia"/>
                <w:iCs/>
                <w:kern w:val="0"/>
                <w:sz w:val="24"/>
                <w:lang w:val="en-US" w:eastAsia="zh-CN"/>
              </w:rPr>
            </w:pPr>
            <w:r>
              <w:rPr>
                <w:rFonts w:hint="eastAsia"/>
                <w:iCs/>
                <w:kern w:val="0"/>
                <w:sz w:val="24"/>
                <w:lang w:val="en-US" w:eastAsia="zh-CN"/>
              </w:rPr>
              <w:t>Q：后续控股股东是否会给予进一步的支持？</w:t>
            </w:r>
          </w:p>
          <w:p w14:paraId="53622AEF">
            <w:pPr>
              <w:spacing w:line="480" w:lineRule="exact"/>
              <w:rPr>
                <w:rFonts w:hint="eastAsia"/>
                <w:iCs/>
                <w:kern w:val="0"/>
                <w:sz w:val="24"/>
                <w:lang w:val="en-US" w:eastAsia="zh-CN"/>
              </w:rPr>
            </w:pPr>
            <w:r>
              <w:rPr>
                <w:rFonts w:hint="eastAsia"/>
                <w:iCs/>
                <w:kern w:val="0"/>
                <w:sz w:val="24"/>
                <w:lang w:val="en-US" w:eastAsia="zh-CN"/>
              </w:rPr>
              <w:t>A：控股股东在公司发展阶段给予了很大的支持，比如此次收购三爱富，控股股东给予的估值和付款条件比较优渥，后续控股股东仍会视情况给予帮助。</w:t>
            </w:r>
          </w:p>
          <w:p w14:paraId="143DB07E">
            <w:pPr>
              <w:spacing w:line="480" w:lineRule="exact"/>
              <w:rPr>
                <w:rFonts w:hint="eastAsia"/>
                <w:iCs/>
                <w:kern w:val="0"/>
                <w:sz w:val="24"/>
                <w:lang w:val="en-US" w:eastAsia="zh-CN"/>
              </w:rPr>
            </w:pPr>
          </w:p>
          <w:p w14:paraId="732AE67E">
            <w:pPr>
              <w:spacing w:line="480" w:lineRule="exact"/>
              <w:rPr>
                <w:rFonts w:hint="eastAsia"/>
                <w:iCs/>
                <w:kern w:val="0"/>
                <w:sz w:val="24"/>
                <w:lang w:val="en-US" w:eastAsia="zh-CN"/>
              </w:rPr>
            </w:pPr>
            <w:r>
              <w:rPr>
                <w:rFonts w:hint="eastAsia"/>
                <w:iCs/>
                <w:kern w:val="0"/>
                <w:sz w:val="24"/>
                <w:lang w:val="en-US" w:eastAsia="zh-CN"/>
              </w:rPr>
              <w:t>Q：目前账面50亿左右的在建工程还有些什么？</w:t>
            </w:r>
          </w:p>
          <w:p w14:paraId="24EA3460">
            <w:pPr>
              <w:spacing w:line="480" w:lineRule="exact"/>
              <w:rPr>
                <w:rFonts w:hint="eastAsia"/>
                <w:iCs/>
                <w:kern w:val="0"/>
                <w:sz w:val="24"/>
                <w:lang w:val="en-US" w:eastAsia="zh-CN"/>
              </w:rPr>
            </w:pPr>
            <w:r>
              <w:rPr>
                <w:rFonts w:hint="eastAsia"/>
                <w:iCs/>
                <w:kern w:val="0"/>
                <w:sz w:val="24"/>
                <w:lang w:val="en-US" w:eastAsia="zh-CN"/>
              </w:rPr>
              <w:t>A：目前在建工程主要为能化公司位于漕泾化工区的上海华谊工业气体有限公司“合成气供应及配套项目”，投资53亿元；“绿色甲醇项目”投资2.5亿元。</w:t>
            </w:r>
          </w:p>
          <w:p w14:paraId="77D8AC07">
            <w:pPr>
              <w:spacing w:line="480" w:lineRule="exact"/>
              <w:rPr>
                <w:rFonts w:hint="eastAsia"/>
                <w:iCs/>
                <w:kern w:val="0"/>
                <w:sz w:val="24"/>
                <w:lang w:val="en-US" w:eastAsia="zh-CN"/>
              </w:rPr>
            </w:pPr>
          </w:p>
          <w:p w14:paraId="2CA1BB7A">
            <w:pPr>
              <w:spacing w:line="480" w:lineRule="exact"/>
              <w:rPr>
                <w:rFonts w:hint="eastAsia"/>
                <w:iCs/>
                <w:kern w:val="0"/>
                <w:sz w:val="24"/>
                <w:lang w:val="en-US" w:eastAsia="zh-CN"/>
              </w:rPr>
            </w:pPr>
            <w:r>
              <w:rPr>
                <w:rFonts w:hint="eastAsia"/>
                <w:iCs/>
                <w:kern w:val="0"/>
                <w:sz w:val="24"/>
                <w:lang w:val="en-US" w:eastAsia="zh-CN"/>
              </w:rPr>
              <w:t>Q：为何公司的贸易业务量大幅减少？</w:t>
            </w:r>
          </w:p>
          <w:p w14:paraId="4FE2EF71">
            <w:pPr>
              <w:spacing w:line="480" w:lineRule="exact"/>
              <w:rPr>
                <w:rFonts w:hint="eastAsia"/>
                <w:iCs/>
                <w:kern w:val="0"/>
                <w:sz w:val="24"/>
                <w:lang w:val="en-US" w:eastAsia="zh-CN"/>
              </w:rPr>
            </w:pPr>
            <w:r>
              <w:rPr>
                <w:rFonts w:hint="eastAsia"/>
                <w:iCs/>
                <w:kern w:val="0"/>
                <w:sz w:val="24"/>
                <w:lang w:val="en-US" w:eastAsia="zh-CN"/>
              </w:rPr>
              <w:t>A：公司前期贸易额比较大，是为广西一体化基地投产做前期预市场准备。随广西基地投产之后，预市场准备的需求减少，</w:t>
            </w:r>
            <w:bookmarkStart w:id="0" w:name="_GoBack"/>
            <w:bookmarkEnd w:id="0"/>
            <w:r>
              <w:rPr>
                <w:rFonts w:hint="eastAsia"/>
                <w:iCs/>
                <w:kern w:val="0"/>
                <w:sz w:val="24"/>
                <w:lang w:val="en-US" w:eastAsia="zh-CN"/>
              </w:rPr>
              <w:t>并且考虑到贸易的风险较大，逐步减少了贸易占比。目前贸易额中主要是为控股股东代销广西能化的产品。</w:t>
            </w:r>
          </w:p>
          <w:p w14:paraId="26FD868D">
            <w:pPr>
              <w:spacing w:line="480" w:lineRule="exact"/>
              <w:rPr>
                <w:rFonts w:hint="eastAsia"/>
                <w:iCs/>
                <w:kern w:val="0"/>
                <w:sz w:val="24"/>
                <w:lang w:val="en-US" w:eastAsia="zh-CN"/>
              </w:rPr>
            </w:pPr>
          </w:p>
          <w:p w14:paraId="2C58F9BA">
            <w:pPr>
              <w:spacing w:line="480" w:lineRule="exact"/>
              <w:rPr>
                <w:rFonts w:hint="eastAsia"/>
                <w:iCs/>
                <w:kern w:val="0"/>
                <w:sz w:val="24"/>
                <w:lang w:val="en-US" w:eastAsia="zh-CN"/>
              </w:rPr>
            </w:pPr>
            <w:r>
              <w:rPr>
                <w:rFonts w:hint="eastAsia"/>
                <w:iCs/>
                <w:kern w:val="0"/>
                <w:sz w:val="24"/>
                <w:lang w:val="en-US" w:eastAsia="zh-CN"/>
              </w:rPr>
              <w:t>Q：长期借款、短期借款加起来100亿，现金150亿，怎么理解？</w:t>
            </w:r>
          </w:p>
          <w:p w14:paraId="035EAEE3">
            <w:pPr>
              <w:spacing w:line="480" w:lineRule="exact"/>
              <w:rPr>
                <w:rFonts w:hint="eastAsia"/>
                <w:iCs/>
                <w:kern w:val="0"/>
                <w:sz w:val="24"/>
                <w:lang w:val="en-US" w:eastAsia="zh-CN"/>
              </w:rPr>
            </w:pPr>
            <w:r>
              <w:rPr>
                <w:rFonts w:hint="eastAsia"/>
                <w:iCs/>
                <w:kern w:val="0"/>
                <w:sz w:val="24"/>
                <w:lang w:val="en-US" w:eastAsia="zh-CN"/>
              </w:rPr>
              <w:t>A：公司所处化工行业是资本密集型行业，化工项目具有建设规模大、建设周期长等特点，需要大量的资金投入。公司对外融资用于项目建设资金支持。</w:t>
            </w:r>
          </w:p>
          <w:p w14:paraId="3C692B5A">
            <w:pPr>
              <w:spacing w:line="480" w:lineRule="exact"/>
              <w:rPr>
                <w:rFonts w:hint="eastAsia"/>
                <w:iCs/>
                <w:kern w:val="0"/>
                <w:sz w:val="24"/>
                <w:lang w:val="en-US" w:eastAsia="zh-CN"/>
              </w:rPr>
            </w:pPr>
            <w:r>
              <w:rPr>
                <w:rFonts w:hint="eastAsia"/>
                <w:iCs/>
                <w:kern w:val="0"/>
                <w:sz w:val="24"/>
                <w:lang w:val="en-US" w:eastAsia="zh-CN"/>
              </w:rPr>
              <w:t>财务公司服务于大股东及集团内公司，吸收集团成员企业存款。</w:t>
            </w:r>
          </w:p>
          <w:p w14:paraId="1681B361">
            <w:pPr>
              <w:spacing w:line="480" w:lineRule="exact"/>
              <w:rPr>
                <w:rFonts w:hint="eastAsia"/>
                <w:iCs/>
                <w:kern w:val="0"/>
                <w:sz w:val="24"/>
                <w:lang w:val="en-US" w:eastAsia="zh-CN"/>
              </w:rPr>
            </w:pPr>
          </w:p>
          <w:p w14:paraId="13AD733B">
            <w:pPr>
              <w:spacing w:line="480" w:lineRule="exact"/>
              <w:rPr>
                <w:rFonts w:hint="eastAsia"/>
                <w:iCs/>
                <w:kern w:val="0"/>
                <w:sz w:val="24"/>
                <w:lang w:val="en-US" w:eastAsia="zh-CN"/>
              </w:rPr>
            </w:pPr>
            <w:r>
              <w:rPr>
                <w:rFonts w:hint="eastAsia"/>
                <w:iCs/>
                <w:kern w:val="0"/>
                <w:sz w:val="24"/>
                <w:lang w:val="en-US" w:eastAsia="zh-CN"/>
              </w:rPr>
              <w:t>Q：为什么要收购三爱富？</w:t>
            </w:r>
          </w:p>
          <w:p w14:paraId="18AA7DEB">
            <w:pPr>
              <w:spacing w:line="480" w:lineRule="exact"/>
              <w:rPr>
                <w:rFonts w:hint="eastAsia"/>
                <w:iCs/>
                <w:kern w:val="0"/>
                <w:sz w:val="24"/>
                <w:lang w:val="en-US" w:eastAsia="zh-CN"/>
              </w:rPr>
            </w:pPr>
            <w:r>
              <w:rPr>
                <w:rFonts w:hint="eastAsia"/>
                <w:iCs/>
                <w:kern w:val="0"/>
                <w:sz w:val="24"/>
                <w:lang w:val="en-US" w:eastAsia="zh-CN"/>
              </w:rPr>
              <w:t>A：本次收购是围绕华谊集团重点布局“新能源、新材料、新环保、新生物”四新领域的战略性举措。三爱富作为氟化工全产业链企业，其氟化工产品是新能源、半导体等战略新兴产业的核心材料，如PVDF可用于锂电池电极粘结剂，特种氟橡胶可用于航空航天器、半导体设备等密封件。本次收购完成后，公司将更好地服务于锂电池、航空航天等新兴应用领域，并有效增强华谊集团在新能源、新材料、半导体等新兴市场的竞争力。</w:t>
            </w:r>
          </w:p>
          <w:p w14:paraId="7C126153">
            <w:pPr>
              <w:spacing w:line="480" w:lineRule="exact"/>
              <w:rPr>
                <w:rFonts w:hint="eastAsia"/>
                <w:iCs/>
                <w:kern w:val="0"/>
                <w:sz w:val="24"/>
                <w:lang w:val="en-US" w:eastAsia="zh-CN"/>
              </w:rPr>
            </w:pPr>
          </w:p>
          <w:p w14:paraId="223217AB">
            <w:pPr>
              <w:spacing w:line="480" w:lineRule="exact"/>
              <w:rPr>
                <w:rFonts w:hint="eastAsia"/>
                <w:iCs/>
                <w:kern w:val="0"/>
                <w:sz w:val="24"/>
                <w:lang w:val="en-US" w:eastAsia="zh-CN"/>
              </w:rPr>
            </w:pPr>
            <w:r>
              <w:rPr>
                <w:rFonts w:hint="eastAsia"/>
                <w:iCs/>
                <w:kern w:val="0"/>
                <w:sz w:val="24"/>
                <w:lang w:val="en-US" w:eastAsia="zh-CN"/>
              </w:rPr>
              <w:t>Q：非流动资产处置损益是什么，未来会持续吗？</w:t>
            </w:r>
          </w:p>
          <w:p w14:paraId="18A46540">
            <w:pPr>
              <w:spacing w:line="480" w:lineRule="exact"/>
              <w:rPr>
                <w:rFonts w:hint="eastAsia"/>
                <w:iCs/>
                <w:kern w:val="0"/>
                <w:sz w:val="24"/>
                <w:lang w:val="en-US" w:eastAsia="zh-CN"/>
              </w:rPr>
            </w:pPr>
            <w:r>
              <w:rPr>
                <w:rFonts w:hint="eastAsia"/>
                <w:iCs/>
                <w:kern w:val="0"/>
                <w:sz w:val="24"/>
                <w:lang w:val="en-US" w:eastAsia="zh-CN"/>
              </w:rPr>
              <w:t>A：主要为地产处置所得，后续会根据政府规划来配合处置。</w:t>
            </w:r>
          </w:p>
          <w:p w14:paraId="140B2629">
            <w:pPr>
              <w:spacing w:line="480" w:lineRule="exact"/>
              <w:rPr>
                <w:rFonts w:hint="eastAsia"/>
                <w:iCs/>
                <w:kern w:val="0"/>
                <w:sz w:val="24"/>
                <w:lang w:val="en-US" w:eastAsia="zh-CN"/>
              </w:rPr>
            </w:pPr>
          </w:p>
          <w:p w14:paraId="1F8D19A0">
            <w:pPr>
              <w:spacing w:line="480" w:lineRule="exact"/>
              <w:rPr>
                <w:rFonts w:hint="eastAsia"/>
                <w:iCs/>
                <w:kern w:val="0"/>
                <w:sz w:val="24"/>
                <w:lang w:val="en-US" w:eastAsia="zh-CN"/>
              </w:rPr>
            </w:pPr>
            <w:r>
              <w:rPr>
                <w:rFonts w:hint="eastAsia"/>
                <w:iCs/>
                <w:kern w:val="0"/>
                <w:sz w:val="24"/>
                <w:lang w:val="en-US" w:eastAsia="zh-CN"/>
              </w:rPr>
              <w:t>Q：后续是否会考虑拆分公司各板块？</w:t>
            </w:r>
          </w:p>
          <w:p w14:paraId="5D22C550">
            <w:pPr>
              <w:spacing w:line="480" w:lineRule="exact"/>
              <w:rPr>
                <w:rFonts w:hint="eastAsia"/>
                <w:iCs/>
                <w:kern w:val="0"/>
                <w:sz w:val="24"/>
                <w:lang w:val="en-US" w:eastAsia="zh-CN"/>
              </w:rPr>
            </w:pPr>
            <w:r>
              <w:rPr>
                <w:rFonts w:hint="eastAsia"/>
                <w:iCs/>
                <w:kern w:val="0"/>
                <w:sz w:val="24"/>
                <w:lang w:val="en-US" w:eastAsia="zh-CN"/>
              </w:rPr>
              <w:t>A：目前无相关考虑。</w:t>
            </w:r>
          </w:p>
          <w:p w14:paraId="7034D00B">
            <w:pPr>
              <w:spacing w:line="480" w:lineRule="exact"/>
              <w:rPr>
                <w:rFonts w:hint="eastAsia"/>
                <w:iCs/>
                <w:kern w:val="0"/>
                <w:sz w:val="24"/>
                <w:lang w:val="en-US" w:eastAsia="zh-CN"/>
              </w:rPr>
            </w:pPr>
          </w:p>
          <w:p w14:paraId="3F872703">
            <w:pPr>
              <w:spacing w:line="480" w:lineRule="exact"/>
              <w:rPr>
                <w:rFonts w:hint="eastAsia"/>
                <w:iCs/>
                <w:kern w:val="0"/>
                <w:sz w:val="24"/>
                <w:lang w:val="en-US" w:eastAsia="zh-CN"/>
              </w:rPr>
            </w:pPr>
            <w:r>
              <w:rPr>
                <w:rFonts w:hint="eastAsia"/>
                <w:iCs/>
                <w:kern w:val="0"/>
                <w:sz w:val="24"/>
                <w:lang w:val="en-US" w:eastAsia="zh-CN"/>
              </w:rPr>
              <w:t>Q：B股后期如何处理？</w:t>
            </w:r>
          </w:p>
          <w:p w14:paraId="2A9095C3">
            <w:pPr>
              <w:spacing w:line="480" w:lineRule="exact"/>
              <w:rPr>
                <w:rFonts w:hint="eastAsia"/>
                <w:iCs/>
                <w:kern w:val="0"/>
                <w:sz w:val="24"/>
                <w:lang w:val="en-US" w:eastAsia="zh-CN"/>
              </w:rPr>
            </w:pPr>
            <w:r>
              <w:rPr>
                <w:rFonts w:hint="eastAsia"/>
                <w:iCs/>
                <w:kern w:val="0"/>
                <w:sz w:val="24"/>
                <w:lang w:val="en-US" w:eastAsia="zh-CN"/>
              </w:rPr>
              <w:t>A：B股股东比较分散，部分由国外机构代理，目前未考虑处理。</w:t>
            </w:r>
          </w:p>
          <w:p w14:paraId="3C749F0E">
            <w:pPr>
              <w:spacing w:line="480" w:lineRule="exact"/>
              <w:rPr>
                <w:rFonts w:eastAsiaTheme="minorEastAsia"/>
                <w:bCs/>
                <w:iCs/>
                <w:color w:val="000000"/>
                <w:kern w:val="0"/>
                <w:sz w:val="24"/>
              </w:rPr>
            </w:pPr>
          </w:p>
        </w:tc>
      </w:tr>
      <w:tr w14:paraId="591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85" w:type="dxa"/>
            <w:vAlign w:val="center"/>
          </w:tcPr>
          <w:p w14:paraId="59027C54">
            <w:pPr>
              <w:spacing w:line="480" w:lineRule="atLeast"/>
              <w:jc w:val="center"/>
              <w:rPr>
                <w:b/>
                <w:bCs/>
                <w:iCs/>
                <w:color w:val="000000"/>
                <w:kern w:val="0"/>
                <w:sz w:val="24"/>
              </w:rPr>
            </w:pPr>
            <w:r>
              <w:rPr>
                <w:rFonts w:hint="eastAsia"/>
                <w:b/>
                <w:bCs/>
                <w:iCs/>
                <w:color w:val="000000"/>
                <w:kern w:val="0"/>
                <w:sz w:val="24"/>
              </w:rPr>
              <w:t>附件清单</w:t>
            </w:r>
          </w:p>
          <w:p w14:paraId="4F6893A8">
            <w:pPr>
              <w:spacing w:line="480" w:lineRule="atLeast"/>
              <w:jc w:val="center"/>
              <w:rPr>
                <w:rFonts w:hint="eastAsia" w:ascii="宋体" w:hAnsi="宋体"/>
                <w:b/>
                <w:bCs/>
                <w:iCs/>
                <w:color w:val="000000"/>
                <w:kern w:val="0"/>
                <w:sz w:val="24"/>
              </w:rPr>
            </w:pPr>
            <w:r>
              <w:rPr>
                <w:rFonts w:hint="eastAsia"/>
                <w:b/>
                <w:bCs/>
                <w:iCs/>
                <w:color w:val="000000"/>
                <w:kern w:val="0"/>
                <w:sz w:val="24"/>
              </w:rPr>
              <w:t>（如有）</w:t>
            </w:r>
          </w:p>
        </w:tc>
        <w:tc>
          <w:tcPr>
            <w:tcW w:w="7513" w:type="dxa"/>
          </w:tcPr>
          <w:p w14:paraId="79F57882">
            <w:pPr>
              <w:spacing w:line="480" w:lineRule="atLeast"/>
              <w:rPr>
                <w:rFonts w:hint="eastAsia" w:ascii="宋体" w:hAnsi="宋体"/>
                <w:bCs/>
                <w:iCs/>
                <w:color w:val="000000"/>
                <w:kern w:val="0"/>
                <w:sz w:val="24"/>
              </w:rPr>
            </w:pPr>
            <w:r>
              <w:rPr>
                <w:rFonts w:hint="eastAsia"/>
                <w:bCs/>
                <w:iCs/>
                <w:color w:val="000000"/>
                <w:kern w:val="0"/>
                <w:sz w:val="24"/>
              </w:rPr>
              <w:t>无</w:t>
            </w:r>
          </w:p>
        </w:tc>
      </w:tr>
      <w:tr w14:paraId="317F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5" w:type="dxa"/>
            <w:vAlign w:val="center"/>
          </w:tcPr>
          <w:p w14:paraId="49153070">
            <w:pPr>
              <w:spacing w:line="480" w:lineRule="atLeast"/>
              <w:jc w:val="center"/>
              <w:rPr>
                <w:rFonts w:hint="eastAsia" w:asciiTheme="minorEastAsia" w:hAnsiTheme="minorEastAsia" w:eastAsiaTheme="minorEastAsia"/>
                <w:b/>
                <w:bCs/>
                <w:iCs/>
                <w:color w:val="000000"/>
                <w:kern w:val="0"/>
                <w:sz w:val="24"/>
              </w:rPr>
            </w:pPr>
            <w:r>
              <w:rPr>
                <w:rFonts w:hint="eastAsia" w:eastAsiaTheme="minorEastAsia"/>
                <w:b/>
                <w:bCs/>
                <w:iCs/>
                <w:color w:val="000000"/>
                <w:kern w:val="0"/>
                <w:sz w:val="24"/>
              </w:rPr>
              <w:t>日期</w:t>
            </w:r>
          </w:p>
        </w:tc>
        <w:tc>
          <w:tcPr>
            <w:tcW w:w="7513" w:type="dxa"/>
            <w:vAlign w:val="center"/>
          </w:tcPr>
          <w:p w14:paraId="4CF015BF">
            <w:pPr>
              <w:spacing w:line="480" w:lineRule="atLeast"/>
              <w:rPr>
                <w:rFonts w:hint="eastAsia" w:asciiTheme="minorEastAsia" w:hAnsiTheme="minorEastAsia" w:eastAsiaTheme="minorEastAsia"/>
                <w:bCs/>
                <w:iCs/>
                <w:color w:val="000000"/>
                <w:kern w:val="0"/>
                <w:sz w:val="24"/>
              </w:rPr>
            </w:pPr>
            <w:r>
              <w:rPr>
                <w:rFonts w:hint="eastAsia" w:eastAsiaTheme="majorEastAsia"/>
                <w:bCs/>
                <w:iCs/>
                <w:color w:val="000000"/>
                <w:kern w:val="0"/>
                <w:sz w:val="24"/>
                <w:lang w:val="en-US" w:eastAsia="zh-CN"/>
              </w:rPr>
              <w:t>2025</w:t>
            </w:r>
            <w:r>
              <w:rPr>
                <w:rFonts w:hint="eastAsia" w:eastAsiaTheme="majorEastAsia"/>
                <w:bCs/>
                <w:iCs/>
                <w:color w:val="000000"/>
                <w:kern w:val="0"/>
                <w:sz w:val="24"/>
              </w:rPr>
              <w:t>年</w:t>
            </w:r>
            <w:r>
              <w:rPr>
                <w:rFonts w:hint="eastAsia" w:eastAsiaTheme="majorEastAsia"/>
                <w:bCs/>
                <w:iCs/>
                <w:color w:val="000000"/>
                <w:kern w:val="0"/>
                <w:sz w:val="24"/>
                <w:lang w:val="en-US" w:eastAsia="zh-CN"/>
              </w:rPr>
              <w:t>5</w:t>
            </w:r>
            <w:r>
              <w:rPr>
                <w:rFonts w:hint="eastAsia" w:eastAsiaTheme="majorEastAsia"/>
                <w:bCs/>
                <w:iCs/>
                <w:color w:val="000000"/>
                <w:kern w:val="0"/>
                <w:sz w:val="24"/>
              </w:rPr>
              <w:t>月</w:t>
            </w:r>
            <w:r>
              <w:rPr>
                <w:rFonts w:hint="eastAsia" w:eastAsiaTheme="majorEastAsia"/>
                <w:bCs/>
                <w:iCs/>
                <w:color w:val="000000"/>
                <w:kern w:val="0"/>
                <w:sz w:val="24"/>
                <w:lang w:val="en-US" w:eastAsia="zh-CN"/>
              </w:rPr>
              <w:t>29</w:t>
            </w:r>
            <w:r>
              <w:rPr>
                <w:rFonts w:eastAsiaTheme="majorEastAsia"/>
                <w:bCs/>
                <w:iCs/>
                <w:color w:val="000000"/>
                <w:kern w:val="0"/>
                <w:sz w:val="24"/>
              </w:rPr>
              <w:t>日</w:t>
            </w:r>
          </w:p>
        </w:tc>
      </w:tr>
    </w:tbl>
    <w:p w14:paraId="778D8D2A"/>
    <w:sectPr>
      <w:footerReference r:id="rId3" w:type="default"/>
      <w:pgSz w:w="11906" w:h="16838"/>
      <w:pgMar w:top="1418" w:right="1588" w:bottom="1418"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49084"/>
      <w:docPartObj>
        <w:docPartGallery w:val="autotext"/>
      </w:docPartObj>
    </w:sdtPr>
    <w:sdtContent>
      <w:p w14:paraId="052B02CD">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C7D7F"/>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B7541"/>
    <w:rsid w:val="008C38D3"/>
    <w:rsid w:val="008C7CEB"/>
    <w:rsid w:val="008D01AE"/>
    <w:rsid w:val="008D3224"/>
    <w:rsid w:val="008D4572"/>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 w:val="012706E7"/>
    <w:rsid w:val="017509EB"/>
    <w:rsid w:val="01910D44"/>
    <w:rsid w:val="027D2D3A"/>
    <w:rsid w:val="038F6262"/>
    <w:rsid w:val="03A92AE1"/>
    <w:rsid w:val="05772978"/>
    <w:rsid w:val="067508F4"/>
    <w:rsid w:val="06D53145"/>
    <w:rsid w:val="077614EF"/>
    <w:rsid w:val="07C06B1B"/>
    <w:rsid w:val="07F2151D"/>
    <w:rsid w:val="08A661BA"/>
    <w:rsid w:val="099D013D"/>
    <w:rsid w:val="0CEF4D03"/>
    <w:rsid w:val="0DE173BA"/>
    <w:rsid w:val="0DEB76F2"/>
    <w:rsid w:val="0DF06AB6"/>
    <w:rsid w:val="121D23B2"/>
    <w:rsid w:val="12D00680"/>
    <w:rsid w:val="137D68B1"/>
    <w:rsid w:val="143D5890"/>
    <w:rsid w:val="1441502F"/>
    <w:rsid w:val="14D26F15"/>
    <w:rsid w:val="14DA1941"/>
    <w:rsid w:val="154047C7"/>
    <w:rsid w:val="19706118"/>
    <w:rsid w:val="19E33973"/>
    <w:rsid w:val="1A340CCE"/>
    <w:rsid w:val="1B0B0CA4"/>
    <w:rsid w:val="1CDC7E92"/>
    <w:rsid w:val="1D1323BA"/>
    <w:rsid w:val="1DB931D9"/>
    <w:rsid w:val="20D2760E"/>
    <w:rsid w:val="23580F2E"/>
    <w:rsid w:val="23FE1BC6"/>
    <w:rsid w:val="26E30614"/>
    <w:rsid w:val="27BC5F2F"/>
    <w:rsid w:val="289546D1"/>
    <w:rsid w:val="28FE0B15"/>
    <w:rsid w:val="2915709D"/>
    <w:rsid w:val="2982047C"/>
    <w:rsid w:val="29AE7906"/>
    <w:rsid w:val="29C535B3"/>
    <w:rsid w:val="2A48451A"/>
    <w:rsid w:val="2BE161B0"/>
    <w:rsid w:val="2BF8505C"/>
    <w:rsid w:val="2C6E037D"/>
    <w:rsid w:val="2C950AFD"/>
    <w:rsid w:val="2E8B4765"/>
    <w:rsid w:val="2F0922C9"/>
    <w:rsid w:val="31103B08"/>
    <w:rsid w:val="32BD7B30"/>
    <w:rsid w:val="332633D4"/>
    <w:rsid w:val="337D5FD2"/>
    <w:rsid w:val="340D4CA4"/>
    <w:rsid w:val="37C13721"/>
    <w:rsid w:val="3AA50AA5"/>
    <w:rsid w:val="3D825B1E"/>
    <w:rsid w:val="3DB67169"/>
    <w:rsid w:val="3FEF2674"/>
    <w:rsid w:val="401877CC"/>
    <w:rsid w:val="41866FFD"/>
    <w:rsid w:val="42CB3880"/>
    <w:rsid w:val="42CF75AA"/>
    <w:rsid w:val="4535008B"/>
    <w:rsid w:val="46380A1F"/>
    <w:rsid w:val="463E737E"/>
    <w:rsid w:val="467F7057"/>
    <w:rsid w:val="483D5805"/>
    <w:rsid w:val="48FD0855"/>
    <w:rsid w:val="49E3772F"/>
    <w:rsid w:val="4A4554B8"/>
    <w:rsid w:val="4FD277EE"/>
    <w:rsid w:val="509B4084"/>
    <w:rsid w:val="528A5AE8"/>
    <w:rsid w:val="546C782C"/>
    <w:rsid w:val="54DE6C35"/>
    <w:rsid w:val="551157A3"/>
    <w:rsid w:val="55362F9B"/>
    <w:rsid w:val="553E1482"/>
    <w:rsid w:val="564718DC"/>
    <w:rsid w:val="56665134"/>
    <w:rsid w:val="586B6A32"/>
    <w:rsid w:val="5990127D"/>
    <w:rsid w:val="599C0E6D"/>
    <w:rsid w:val="5A026FA5"/>
    <w:rsid w:val="5AA31DBD"/>
    <w:rsid w:val="5ADB7654"/>
    <w:rsid w:val="5BD3501A"/>
    <w:rsid w:val="5C0E22CD"/>
    <w:rsid w:val="5D211242"/>
    <w:rsid w:val="5D9D49F5"/>
    <w:rsid w:val="5DC56BE4"/>
    <w:rsid w:val="5DCE0087"/>
    <w:rsid w:val="5DD13863"/>
    <w:rsid w:val="60006366"/>
    <w:rsid w:val="60352E5F"/>
    <w:rsid w:val="60675D31"/>
    <w:rsid w:val="61720E31"/>
    <w:rsid w:val="622C2433"/>
    <w:rsid w:val="64810C65"/>
    <w:rsid w:val="65DB42D5"/>
    <w:rsid w:val="66AA4BC9"/>
    <w:rsid w:val="676B256B"/>
    <w:rsid w:val="691427CE"/>
    <w:rsid w:val="6AA55F17"/>
    <w:rsid w:val="6AC41729"/>
    <w:rsid w:val="6AE92FB5"/>
    <w:rsid w:val="6CC50E50"/>
    <w:rsid w:val="6D3B6567"/>
    <w:rsid w:val="6D77332B"/>
    <w:rsid w:val="6D9A53F6"/>
    <w:rsid w:val="6DB71AA0"/>
    <w:rsid w:val="6E966200"/>
    <w:rsid w:val="6F8974A8"/>
    <w:rsid w:val="6FB037CE"/>
    <w:rsid w:val="70BC291B"/>
    <w:rsid w:val="71502FC1"/>
    <w:rsid w:val="721101F2"/>
    <w:rsid w:val="722815B7"/>
    <w:rsid w:val="72A52697"/>
    <w:rsid w:val="73E26085"/>
    <w:rsid w:val="75AC36CA"/>
    <w:rsid w:val="763C5112"/>
    <w:rsid w:val="76962183"/>
    <w:rsid w:val="77636B63"/>
    <w:rsid w:val="798716FB"/>
    <w:rsid w:val="7B40302C"/>
    <w:rsid w:val="7C8A4650"/>
    <w:rsid w:val="7D2850B0"/>
    <w:rsid w:val="7DEA3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ind w:firstLine="200" w:firstLineChars="200"/>
      <w:outlineLvl w:val="0"/>
    </w:pPr>
    <w:rPr>
      <w:rFonts w:ascii="Calibri" w:hAnsi="Calibri"/>
      <w:b/>
      <w:bCs/>
      <w:kern w:val="44"/>
      <w:sz w:val="44"/>
      <w:szCs w:val="44"/>
    </w:rPr>
  </w:style>
  <w:style w:type="paragraph" w:styleId="3">
    <w:name w:val="heading 2"/>
    <w:basedOn w:val="1"/>
    <w:next w:val="1"/>
    <w:link w:val="24"/>
    <w:qFormat/>
    <w:uiPriority w:val="99"/>
    <w:pPr>
      <w:keepNext/>
      <w:keepLines/>
      <w:spacing w:before="260" w:after="260" w:line="416" w:lineRule="auto"/>
      <w:ind w:firstLine="200" w:firstLineChars="200"/>
      <w:outlineLvl w:val="1"/>
    </w:pPr>
    <w:rPr>
      <w:rFonts w:ascii="Cambria" w:hAnsi="Cambria" w:cstheme="majorBidi"/>
      <w:b/>
      <w:bCs/>
      <w:sz w:val="32"/>
      <w:szCs w:val="32"/>
    </w:rPr>
  </w:style>
  <w:style w:type="paragraph" w:styleId="4">
    <w:name w:val="heading 3"/>
    <w:basedOn w:val="1"/>
    <w:next w:val="1"/>
    <w:link w:val="25"/>
    <w:qFormat/>
    <w:uiPriority w:val="99"/>
    <w:pPr>
      <w:keepNext/>
      <w:keepLines/>
      <w:spacing w:before="260" w:after="260" w:line="416" w:lineRule="auto"/>
      <w:ind w:firstLine="200" w:firstLineChars="200"/>
      <w:outlineLvl w:val="2"/>
    </w:pPr>
    <w:rPr>
      <w:rFonts w:ascii="Calibri" w:hAnsi="Calibri"/>
      <w:b/>
      <w:bCs/>
      <w:sz w:val="32"/>
      <w:szCs w:val="32"/>
    </w:rPr>
  </w:style>
  <w:style w:type="paragraph" w:styleId="5">
    <w:name w:val="heading 4"/>
    <w:basedOn w:val="1"/>
    <w:next w:val="1"/>
    <w:link w:val="26"/>
    <w:qFormat/>
    <w:uiPriority w:val="99"/>
    <w:pPr>
      <w:keepNext/>
      <w:keepLines/>
      <w:spacing w:before="280" w:after="290" w:line="376" w:lineRule="auto"/>
      <w:ind w:firstLine="200" w:firstLineChars="200"/>
      <w:outlineLvl w:val="3"/>
    </w:pPr>
    <w:rPr>
      <w:rFonts w:ascii="Cambria" w:hAnsi="Cambria" w:cstheme="majorBidi"/>
      <w:b/>
      <w:bCs/>
      <w:sz w:val="28"/>
      <w:szCs w:val="28"/>
    </w:rPr>
  </w:style>
  <w:style w:type="paragraph" w:styleId="6">
    <w:name w:val="heading 5"/>
    <w:basedOn w:val="1"/>
    <w:next w:val="1"/>
    <w:link w:val="27"/>
    <w:qFormat/>
    <w:uiPriority w:val="99"/>
    <w:pPr>
      <w:keepNext/>
      <w:keepLines/>
      <w:spacing w:before="280" w:after="290" w:line="376" w:lineRule="auto"/>
      <w:ind w:firstLine="200" w:firstLineChars="200"/>
      <w:outlineLvl w:val="4"/>
    </w:pPr>
    <w:rPr>
      <w:rFonts w:ascii="Calibri" w:hAnsi="Calibri"/>
      <w:b/>
      <w:bCs/>
      <w:sz w:val="28"/>
      <w:szCs w:val="28"/>
    </w:rPr>
  </w:style>
  <w:style w:type="paragraph" w:styleId="7">
    <w:name w:val="heading 6"/>
    <w:basedOn w:val="1"/>
    <w:next w:val="1"/>
    <w:link w:val="28"/>
    <w:qFormat/>
    <w:uiPriority w:val="99"/>
    <w:pPr>
      <w:keepNext/>
      <w:keepLines/>
      <w:spacing w:before="240" w:after="64" w:line="320" w:lineRule="auto"/>
      <w:ind w:firstLine="200" w:firstLineChars="200"/>
      <w:outlineLvl w:val="5"/>
    </w:pPr>
    <w:rPr>
      <w:rFonts w:ascii="Cambria" w:hAnsi="Cambria" w:cstheme="majorBidi"/>
      <w:b/>
      <w:bCs/>
      <w:sz w:val="24"/>
    </w:rPr>
  </w:style>
  <w:style w:type="paragraph" w:styleId="8">
    <w:name w:val="heading 7"/>
    <w:basedOn w:val="1"/>
    <w:next w:val="1"/>
    <w:link w:val="29"/>
    <w:qFormat/>
    <w:uiPriority w:val="99"/>
    <w:pPr>
      <w:keepNext/>
      <w:keepLines/>
      <w:spacing w:before="240" w:after="64" w:line="320" w:lineRule="auto"/>
      <w:ind w:firstLine="200" w:firstLineChars="200"/>
      <w:outlineLvl w:val="6"/>
    </w:pPr>
    <w:rPr>
      <w:rFonts w:ascii="Calibri" w:hAnsi="Calibri"/>
      <w:b/>
      <w:bCs/>
      <w:sz w:val="24"/>
    </w:rPr>
  </w:style>
  <w:style w:type="paragraph" w:styleId="9">
    <w:name w:val="heading 8"/>
    <w:basedOn w:val="1"/>
    <w:next w:val="1"/>
    <w:link w:val="30"/>
    <w:qFormat/>
    <w:uiPriority w:val="99"/>
    <w:pPr>
      <w:keepNext/>
      <w:keepLines/>
      <w:spacing w:before="240" w:after="64" w:line="320" w:lineRule="auto"/>
      <w:ind w:firstLine="200" w:firstLineChars="200"/>
      <w:outlineLvl w:val="7"/>
    </w:pPr>
    <w:rPr>
      <w:rFonts w:ascii="Cambria" w:hAnsi="Cambria" w:cstheme="majorBidi"/>
      <w:sz w:val="24"/>
    </w:rPr>
  </w:style>
  <w:style w:type="paragraph" w:styleId="10">
    <w:name w:val="heading 9"/>
    <w:basedOn w:val="1"/>
    <w:next w:val="1"/>
    <w:link w:val="31"/>
    <w:qFormat/>
    <w:uiPriority w:val="99"/>
    <w:pPr>
      <w:keepNext/>
      <w:keepLines/>
      <w:spacing w:before="240" w:after="64" w:line="320" w:lineRule="auto"/>
      <w:ind w:firstLine="200" w:firstLineChars="200"/>
      <w:outlineLvl w:val="8"/>
    </w:pPr>
    <w:rPr>
      <w:rFonts w:ascii="Cambria" w:hAnsi="Cambria" w:cstheme="majorBidi"/>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theme="majorBidi"/>
      <w:sz w:val="20"/>
      <w:szCs w:val="20"/>
    </w:rPr>
  </w:style>
  <w:style w:type="paragraph" w:styleId="12">
    <w:name w:val="Balloon Text"/>
    <w:basedOn w:val="1"/>
    <w:link w:val="49"/>
    <w:semiHidden/>
    <w:unhideWhenUsed/>
    <w:qFormat/>
    <w:uiPriority w:val="99"/>
    <w:rPr>
      <w:sz w:val="18"/>
      <w:szCs w:val="18"/>
    </w:rPr>
  </w:style>
  <w:style w:type="paragraph" w:styleId="13">
    <w:name w:val="footer"/>
    <w:basedOn w:val="1"/>
    <w:link w:val="48"/>
    <w:unhideWhenUsed/>
    <w:qFormat/>
    <w:uiPriority w:val="99"/>
    <w:pPr>
      <w:tabs>
        <w:tab w:val="center" w:pos="4153"/>
        <w:tab w:val="right" w:pos="8306"/>
      </w:tabs>
      <w:snapToGrid w:val="0"/>
      <w:jc w:val="left"/>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99"/>
    <w:pPr>
      <w:spacing w:before="240" w:after="60" w:line="312" w:lineRule="auto"/>
      <w:ind w:firstLine="200" w:firstLineChars="200"/>
      <w:jc w:val="center"/>
      <w:outlineLvl w:val="1"/>
    </w:pPr>
    <w:rPr>
      <w:rFonts w:ascii="Cambria" w:hAnsi="Cambria" w:cstheme="majorBidi"/>
      <w:b/>
      <w:bCs/>
      <w:kern w:val="28"/>
      <w:sz w:val="32"/>
      <w:szCs w:val="32"/>
    </w:rPr>
  </w:style>
  <w:style w:type="paragraph" w:styleId="16">
    <w:name w:val="HTML Preformatted"/>
    <w:basedOn w:val="1"/>
    <w:link w:val="50"/>
    <w:semiHidden/>
    <w:unhideWhenUsed/>
    <w:qFormat/>
    <w:uiPriority w:val="99"/>
    <w:rPr>
      <w:rFonts w:ascii="Courier New" w:hAnsi="Courier New" w:cs="Courier New"/>
      <w:sz w:val="20"/>
      <w:szCs w:val="20"/>
    </w:rPr>
  </w:style>
  <w:style w:type="paragraph" w:styleId="17">
    <w:name w:val="Title"/>
    <w:basedOn w:val="1"/>
    <w:next w:val="1"/>
    <w:link w:val="32"/>
    <w:qFormat/>
    <w:uiPriority w:val="99"/>
    <w:pPr>
      <w:spacing w:before="240" w:after="60" w:line="360" w:lineRule="auto"/>
      <w:ind w:firstLine="200" w:firstLineChars="200"/>
      <w:jc w:val="center"/>
      <w:outlineLvl w:val="0"/>
    </w:pPr>
    <w:rPr>
      <w:rFonts w:ascii="Cambria" w:hAnsi="Cambria" w:cstheme="majorBidi"/>
      <w:b/>
      <w:bCs/>
      <w:sz w:val="32"/>
      <w:szCs w:val="32"/>
    </w:rPr>
  </w:style>
  <w:style w:type="table" w:styleId="19">
    <w:name w:val="Table Grid"/>
    <w:basedOn w:val="18"/>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Emphasis"/>
    <w:basedOn w:val="20"/>
    <w:qFormat/>
    <w:uiPriority w:val="99"/>
    <w:rPr>
      <w:rFonts w:cs="Times New Roman"/>
      <w:i/>
    </w:rPr>
  </w:style>
  <w:style w:type="character" w:customStyle="1" w:styleId="23">
    <w:name w:val="标题 1 字符"/>
    <w:basedOn w:val="20"/>
    <w:link w:val="2"/>
    <w:qFormat/>
    <w:uiPriority w:val="99"/>
    <w:rPr>
      <w:rFonts w:cs="Times New Roman"/>
      <w:b/>
      <w:bCs/>
      <w:kern w:val="44"/>
      <w:sz w:val="44"/>
      <w:szCs w:val="44"/>
    </w:rPr>
  </w:style>
  <w:style w:type="character" w:customStyle="1" w:styleId="24">
    <w:name w:val="标题 2 字符"/>
    <w:basedOn w:val="20"/>
    <w:link w:val="3"/>
    <w:qFormat/>
    <w:uiPriority w:val="99"/>
    <w:rPr>
      <w:rFonts w:ascii="Cambria" w:hAnsi="Cambria" w:cstheme="majorBidi"/>
      <w:b/>
      <w:bCs/>
      <w:sz w:val="32"/>
      <w:szCs w:val="32"/>
    </w:rPr>
  </w:style>
  <w:style w:type="character" w:customStyle="1" w:styleId="25">
    <w:name w:val="标题 3 字符"/>
    <w:basedOn w:val="20"/>
    <w:link w:val="4"/>
    <w:qFormat/>
    <w:uiPriority w:val="99"/>
    <w:rPr>
      <w:rFonts w:cs="Times New Roman"/>
      <w:b/>
      <w:bCs/>
      <w:sz w:val="32"/>
      <w:szCs w:val="32"/>
    </w:rPr>
  </w:style>
  <w:style w:type="character" w:customStyle="1" w:styleId="26">
    <w:name w:val="标题 4 字符"/>
    <w:basedOn w:val="20"/>
    <w:link w:val="5"/>
    <w:qFormat/>
    <w:uiPriority w:val="99"/>
    <w:rPr>
      <w:rFonts w:ascii="Cambria" w:hAnsi="Cambria" w:cstheme="majorBidi"/>
      <w:b/>
      <w:bCs/>
      <w:sz w:val="28"/>
      <w:szCs w:val="28"/>
    </w:rPr>
  </w:style>
  <w:style w:type="character" w:customStyle="1" w:styleId="27">
    <w:name w:val="标题 5 字符"/>
    <w:basedOn w:val="20"/>
    <w:link w:val="6"/>
    <w:qFormat/>
    <w:uiPriority w:val="99"/>
    <w:rPr>
      <w:rFonts w:cs="Times New Roman"/>
      <w:b/>
      <w:bCs/>
      <w:sz w:val="28"/>
      <w:szCs w:val="28"/>
    </w:rPr>
  </w:style>
  <w:style w:type="character" w:customStyle="1" w:styleId="28">
    <w:name w:val="标题 6 字符"/>
    <w:basedOn w:val="20"/>
    <w:link w:val="7"/>
    <w:qFormat/>
    <w:uiPriority w:val="99"/>
    <w:rPr>
      <w:rFonts w:ascii="Cambria" w:hAnsi="Cambria" w:cstheme="majorBidi"/>
      <w:b/>
      <w:bCs/>
      <w:sz w:val="24"/>
      <w:szCs w:val="24"/>
    </w:rPr>
  </w:style>
  <w:style w:type="character" w:customStyle="1" w:styleId="29">
    <w:name w:val="标题 7 字符"/>
    <w:basedOn w:val="20"/>
    <w:link w:val="8"/>
    <w:qFormat/>
    <w:uiPriority w:val="99"/>
    <w:rPr>
      <w:rFonts w:cs="Times New Roman"/>
      <w:b/>
      <w:bCs/>
      <w:sz w:val="24"/>
      <w:szCs w:val="24"/>
    </w:rPr>
  </w:style>
  <w:style w:type="character" w:customStyle="1" w:styleId="30">
    <w:name w:val="标题 8 字符"/>
    <w:basedOn w:val="20"/>
    <w:link w:val="9"/>
    <w:qFormat/>
    <w:uiPriority w:val="99"/>
    <w:rPr>
      <w:rFonts w:ascii="Cambria" w:hAnsi="Cambria" w:cstheme="majorBidi"/>
      <w:sz w:val="24"/>
      <w:szCs w:val="24"/>
    </w:rPr>
  </w:style>
  <w:style w:type="character" w:customStyle="1" w:styleId="31">
    <w:name w:val="标题 9 字符"/>
    <w:basedOn w:val="20"/>
    <w:link w:val="10"/>
    <w:qFormat/>
    <w:uiPriority w:val="99"/>
    <w:rPr>
      <w:rFonts w:ascii="Cambria" w:hAnsi="Cambria" w:cstheme="majorBidi"/>
      <w:szCs w:val="21"/>
    </w:rPr>
  </w:style>
  <w:style w:type="character" w:customStyle="1" w:styleId="32">
    <w:name w:val="标题 字符"/>
    <w:basedOn w:val="20"/>
    <w:link w:val="17"/>
    <w:qFormat/>
    <w:uiPriority w:val="99"/>
    <w:rPr>
      <w:rFonts w:ascii="Cambria" w:hAnsi="Cambria" w:cstheme="majorBidi"/>
      <w:b/>
      <w:bCs/>
      <w:sz w:val="32"/>
      <w:szCs w:val="32"/>
    </w:rPr>
  </w:style>
  <w:style w:type="character" w:customStyle="1" w:styleId="33">
    <w:name w:val="副标题 字符"/>
    <w:basedOn w:val="20"/>
    <w:link w:val="15"/>
    <w:qFormat/>
    <w:uiPriority w:val="99"/>
    <w:rPr>
      <w:rFonts w:ascii="Cambria" w:hAnsi="Cambria" w:cstheme="majorBidi"/>
      <w:b/>
      <w:bCs/>
      <w:kern w:val="28"/>
      <w:sz w:val="32"/>
      <w:szCs w:val="32"/>
    </w:rPr>
  </w:style>
  <w:style w:type="paragraph" w:styleId="34">
    <w:name w:val="No Spacing"/>
    <w:basedOn w:val="1"/>
    <w:link w:val="35"/>
    <w:qFormat/>
    <w:uiPriority w:val="99"/>
    <w:pPr>
      <w:ind w:firstLine="200" w:firstLineChars="200"/>
    </w:pPr>
    <w:rPr>
      <w:rFonts w:ascii="Calibri" w:hAnsi="Calibri"/>
      <w:szCs w:val="22"/>
    </w:rPr>
  </w:style>
  <w:style w:type="character" w:customStyle="1" w:styleId="35">
    <w:name w:val="无间隔 字符"/>
    <w:basedOn w:val="20"/>
    <w:link w:val="34"/>
    <w:qFormat/>
    <w:uiPriority w:val="99"/>
    <w:rPr>
      <w:rFonts w:cs="Times New Roman"/>
    </w:rPr>
  </w:style>
  <w:style w:type="paragraph" w:styleId="36">
    <w:name w:val="List Paragraph"/>
    <w:basedOn w:val="1"/>
    <w:qFormat/>
    <w:uiPriority w:val="99"/>
    <w:pPr>
      <w:spacing w:line="360" w:lineRule="auto"/>
      <w:ind w:firstLine="420" w:firstLineChars="200"/>
    </w:pPr>
    <w:rPr>
      <w:rFonts w:ascii="Calibri" w:hAnsi="Calibri"/>
      <w:szCs w:val="22"/>
    </w:rPr>
  </w:style>
  <w:style w:type="paragraph" w:styleId="37">
    <w:name w:val="Quote"/>
    <w:basedOn w:val="1"/>
    <w:next w:val="1"/>
    <w:link w:val="38"/>
    <w:qFormat/>
    <w:uiPriority w:val="99"/>
    <w:pPr>
      <w:spacing w:line="360" w:lineRule="auto"/>
      <w:ind w:firstLine="200" w:firstLineChars="200"/>
    </w:pPr>
    <w:rPr>
      <w:rFonts w:ascii="Calibri" w:hAnsi="Calibri"/>
      <w:i/>
      <w:iCs/>
      <w:color w:val="000000"/>
      <w:szCs w:val="22"/>
    </w:rPr>
  </w:style>
  <w:style w:type="character" w:customStyle="1" w:styleId="38">
    <w:name w:val="引用 字符"/>
    <w:basedOn w:val="20"/>
    <w:link w:val="37"/>
    <w:qFormat/>
    <w:uiPriority w:val="99"/>
    <w:rPr>
      <w:rFonts w:cs="Times New Roman"/>
      <w:i/>
      <w:iCs/>
      <w:color w:val="000000"/>
    </w:rPr>
  </w:style>
  <w:style w:type="paragraph" w:styleId="39">
    <w:name w:val="Intense Quote"/>
    <w:basedOn w:val="1"/>
    <w:next w:val="1"/>
    <w:link w:val="40"/>
    <w:qFormat/>
    <w:uiPriority w:val="99"/>
    <w:pPr>
      <w:pBdr>
        <w:bottom w:val="single" w:color="4F81BD" w:sz="4" w:space="4"/>
      </w:pBdr>
      <w:spacing w:before="200" w:after="280" w:line="360" w:lineRule="auto"/>
      <w:ind w:left="936" w:right="936" w:firstLine="200" w:firstLineChars="200"/>
    </w:pPr>
    <w:rPr>
      <w:rFonts w:ascii="Calibri" w:hAnsi="Calibri"/>
      <w:b/>
      <w:bCs/>
      <w:i/>
      <w:iCs/>
      <w:color w:val="4F81BD"/>
      <w:szCs w:val="22"/>
    </w:rPr>
  </w:style>
  <w:style w:type="character" w:customStyle="1" w:styleId="40">
    <w:name w:val="明显引用 字符"/>
    <w:basedOn w:val="20"/>
    <w:link w:val="39"/>
    <w:qFormat/>
    <w:uiPriority w:val="99"/>
    <w:rPr>
      <w:rFonts w:cs="Times New Roman"/>
      <w:b/>
      <w:bCs/>
      <w:i/>
      <w:iCs/>
      <w:color w:val="4F81BD"/>
    </w:rPr>
  </w:style>
  <w:style w:type="character" w:customStyle="1" w:styleId="41">
    <w:name w:val="Subtle Emphasis"/>
    <w:basedOn w:val="20"/>
    <w:qFormat/>
    <w:uiPriority w:val="99"/>
    <w:rPr>
      <w:i/>
      <w:color w:val="808080"/>
    </w:rPr>
  </w:style>
  <w:style w:type="character" w:customStyle="1" w:styleId="42">
    <w:name w:val="Intense Emphasis"/>
    <w:basedOn w:val="20"/>
    <w:qFormat/>
    <w:uiPriority w:val="99"/>
    <w:rPr>
      <w:b/>
      <w:i/>
      <w:color w:val="4F81BD"/>
    </w:rPr>
  </w:style>
  <w:style w:type="character" w:customStyle="1" w:styleId="43">
    <w:name w:val="Subtle Reference"/>
    <w:basedOn w:val="20"/>
    <w:qFormat/>
    <w:uiPriority w:val="99"/>
    <w:rPr>
      <w:smallCaps/>
      <w:color w:val="C0504D"/>
      <w:u w:val="single"/>
    </w:rPr>
  </w:style>
  <w:style w:type="character" w:customStyle="1" w:styleId="44">
    <w:name w:val="Intense Reference"/>
    <w:basedOn w:val="20"/>
    <w:qFormat/>
    <w:uiPriority w:val="99"/>
    <w:rPr>
      <w:b/>
      <w:smallCaps/>
      <w:color w:val="C0504D"/>
      <w:spacing w:val="5"/>
      <w:u w:val="single"/>
    </w:rPr>
  </w:style>
  <w:style w:type="character" w:customStyle="1" w:styleId="45">
    <w:name w:val="Book Title"/>
    <w:basedOn w:val="20"/>
    <w:qFormat/>
    <w:uiPriority w:val="99"/>
    <w:rPr>
      <w:b/>
      <w:smallCaps/>
      <w:spacing w:val="5"/>
    </w:rPr>
  </w:style>
  <w:style w:type="paragraph" w:customStyle="1" w:styleId="46">
    <w:name w:val="TOC Heading"/>
    <w:basedOn w:val="2"/>
    <w:next w:val="1"/>
    <w:qFormat/>
    <w:uiPriority w:val="99"/>
    <w:pPr>
      <w:outlineLvl w:val="9"/>
    </w:pPr>
  </w:style>
  <w:style w:type="character" w:customStyle="1" w:styleId="47">
    <w:name w:val="页眉 字符"/>
    <w:basedOn w:val="20"/>
    <w:link w:val="14"/>
    <w:qFormat/>
    <w:uiPriority w:val="99"/>
    <w:rPr>
      <w:rFonts w:ascii="Times New Roman" w:hAnsi="Times New Roman"/>
      <w:sz w:val="18"/>
      <w:szCs w:val="18"/>
    </w:rPr>
  </w:style>
  <w:style w:type="character" w:customStyle="1" w:styleId="48">
    <w:name w:val="页脚 字符"/>
    <w:basedOn w:val="20"/>
    <w:link w:val="13"/>
    <w:qFormat/>
    <w:uiPriority w:val="99"/>
    <w:rPr>
      <w:rFonts w:ascii="Times New Roman" w:hAnsi="Times New Roman"/>
      <w:sz w:val="18"/>
      <w:szCs w:val="18"/>
    </w:rPr>
  </w:style>
  <w:style w:type="character" w:customStyle="1" w:styleId="49">
    <w:name w:val="批注框文本 字符"/>
    <w:basedOn w:val="20"/>
    <w:link w:val="12"/>
    <w:semiHidden/>
    <w:qFormat/>
    <w:uiPriority w:val="99"/>
    <w:rPr>
      <w:rFonts w:ascii="Times New Roman" w:hAnsi="Times New Roman"/>
      <w:sz w:val="18"/>
      <w:szCs w:val="18"/>
    </w:rPr>
  </w:style>
  <w:style w:type="character" w:customStyle="1" w:styleId="50">
    <w:name w:val="HTML 预设格式 字符"/>
    <w:basedOn w:val="20"/>
    <w:link w:val="16"/>
    <w:semiHidden/>
    <w:qFormat/>
    <w:uiPriority w:val="99"/>
    <w:rPr>
      <w:rFonts w:ascii="Courier New" w:hAnsi="Courier New" w:cs="Courier New"/>
      <w:sz w:val="20"/>
      <w:szCs w:val="20"/>
    </w:rPr>
  </w:style>
  <w:style w:type="paragraph" w:customStyle="1" w:styleId="51">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5FE493A2-4240-45FE-9256-696657608082}">
  <ds:schemaRefs/>
</ds:datastoreItem>
</file>

<file path=customXml/itemProps2.xml><?xml version="1.0" encoding="utf-8"?>
<ds:datastoreItem xmlns:ds="http://schemas.openxmlformats.org/officeDocument/2006/customXml" ds:itemID="{644FD9AB-FAA4-42EC-9B93-0CCF02161E0D}">
  <ds:schemaRefs/>
</ds:datastoreItem>
</file>

<file path=docProps/app.xml><?xml version="1.0" encoding="utf-8"?>
<Properties xmlns="http://schemas.openxmlformats.org/officeDocument/2006/extended-properties" xmlns:vt="http://schemas.openxmlformats.org/officeDocument/2006/docPropsVTypes">
  <Template>Normal</Template>
  <Company>yw</Company>
  <Pages>3</Pages>
  <Words>1133</Words>
  <Characters>1173</Characters>
  <Lines>2</Lines>
  <Paragraphs>1</Paragraphs>
  <TotalTime>32</TotalTime>
  <ScaleCrop>false</ScaleCrop>
  <LinksUpToDate>false</LinksUpToDate>
  <CharactersWithSpaces>1319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2024-12-02T07:13:00Z</dcterms:created>
  <dc:creator>cw</dc:creator>
  <cp:lastModifiedBy>huang huang</cp:lastModifiedBy>
  <cp:lastPrinted>2025-05-30T05:13:00Z</cp:lastPrinted>
  <dcterms:modified xsi:type="dcterms:W3CDTF">2025-05-30T06:00:03Z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eyJoZGlkIjoiNDA4NDM3MTVmMmE5NWFlMjAwOGJiMjg0OWNiODg5MjEiLCJ1c2VySWQiOiIzNDA5MTk4NzYifQ==</vt:lpwstr>
  </property>
  <property fmtid="{D5CDD505-2E9C-101B-9397-08002B2CF9AE}" pid="4" name="KSOProductBuildVer">
    <vt:lpwstr>2052-12.1.0.19770</vt:lpwstr>
  </property>
  <property fmtid="{D5CDD505-2E9C-101B-9397-08002B2CF9AE}" pid="5" name="ICV">
    <vt:lpwstr>268F0E21DE7F42BD8CBC91B60F72B2E4_12</vt:lpwstr>
  </property>
</Properties>
</file>