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F3EC">
      <w:pPr>
        <w:spacing w:before="156" w:beforeLines="50" w:after="156" w:afterLines="50" w:line="400" w:lineRule="exact"/>
        <w:rPr>
          <w:bCs/>
          <w:iCs/>
          <w:color w:val="000000"/>
          <w:sz w:val="24"/>
        </w:rPr>
      </w:pPr>
      <w:r>
        <w:rPr>
          <w:rFonts w:hAnsi="宋体"/>
          <w:bCs/>
          <w:iCs/>
          <w:color w:val="000000"/>
          <w:sz w:val="24"/>
        </w:rPr>
        <w:t>证券代码：</w:t>
      </w:r>
      <w:r>
        <w:rPr>
          <w:color w:val="000000"/>
          <w:sz w:val="24"/>
        </w:rPr>
        <w:t xml:space="preserve">600110                                   </w:t>
      </w:r>
      <w:r>
        <w:rPr>
          <w:rFonts w:hAnsi="宋体"/>
          <w:bCs/>
          <w:iCs/>
          <w:color w:val="000000"/>
          <w:sz w:val="24"/>
        </w:rPr>
        <w:t>证券简称：</w:t>
      </w:r>
      <w:r>
        <w:rPr>
          <w:color w:val="000000"/>
          <w:sz w:val="24"/>
        </w:rPr>
        <w:t>诺德股份</w:t>
      </w:r>
    </w:p>
    <w:p w14:paraId="0CF68A38">
      <w:pPr>
        <w:spacing w:before="156" w:beforeLines="50" w:after="156" w:afterLines="50" w:line="400" w:lineRule="exact"/>
        <w:jc w:val="center"/>
        <w:rPr>
          <w:rFonts w:ascii="宋体" w:hAnsi="宋体"/>
          <w:b/>
          <w:bCs/>
          <w:iCs/>
          <w:color w:val="FF0000"/>
          <w:sz w:val="32"/>
          <w:szCs w:val="32"/>
        </w:rPr>
      </w:pPr>
      <w:r>
        <w:rPr>
          <w:rFonts w:ascii="宋体" w:hAnsi="宋体"/>
          <w:b/>
          <w:bCs/>
          <w:iCs/>
          <w:color w:val="FF0000"/>
          <w:sz w:val="32"/>
          <w:szCs w:val="32"/>
        </w:rPr>
        <w:t>诺德新材料股份有限公司</w:t>
      </w:r>
    </w:p>
    <w:p w14:paraId="239EDABF">
      <w:pPr>
        <w:spacing w:before="156" w:beforeLines="50" w:after="156" w:afterLines="50" w:line="400" w:lineRule="exact"/>
        <w:jc w:val="center"/>
        <w:rPr>
          <w:rFonts w:ascii="宋体" w:hAnsi="宋体"/>
          <w:b/>
          <w:bCs/>
          <w:iCs/>
          <w:color w:val="FF0000"/>
          <w:sz w:val="32"/>
          <w:szCs w:val="32"/>
        </w:rPr>
      </w:pPr>
      <w:r>
        <w:rPr>
          <w:rFonts w:hint="eastAsia" w:ascii="宋体" w:hAnsi="宋体"/>
          <w:b/>
          <w:bCs/>
          <w:iCs/>
          <w:color w:val="FF0000"/>
          <w:sz w:val="32"/>
          <w:szCs w:val="32"/>
        </w:rPr>
        <w:t>2024年度暨2025年第一季度业绩说明会记录表</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DE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2D69B779">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tcPr>
          <w:p w14:paraId="19497DD4">
            <w:pPr>
              <w:spacing w:before="156" w:beforeLines="50" w:after="156" w:afterLines="50" w:line="360" w:lineRule="auto"/>
              <w:rPr>
                <w:rFonts w:ascii="楷体" w:hAnsi="楷体" w:eastAsia="楷体"/>
                <w:bCs/>
                <w:iCs/>
                <w:color w:val="000000"/>
                <w:sz w:val="24"/>
              </w:rPr>
            </w:pPr>
            <w:r>
              <w:rPr>
                <w:rFonts w:ascii="楷体" w:hAnsi="楷体" w:eastAsia="楷体"/>
                <w:bCs/>
                <w:iCs/>
                <w:color w:val="000000"/>
                <w:kern w:val="0"/>
                <w:sz w:val="24"/>
              </w:rPr>
              <w:t xml:space="preserve">□ </w:t>
            </w:r>
            <w:r>
              <w:rPr>
                <w:rFonts w:ascii="楷体" w:hAnsi="楷体" w:eastAsia="楷体"/>
                <w:kern w:val="0"/>
                <w:sz w:val="24"/>
              </w:rPr>
              <w:t xml:space="preserve">特定对象调研       </w:t>
            </w:r>
            <w:r>
              <w:rPr>
                <w:rFonts w:hint="eastAsia" w:ascii="楷体" w:hAnsi="楷体" w:eastAsia="楷体"/>
                <w:kern w:val="0"/>
                <w:sz w:val="24"/>
              </w:rPr>
              <w:t xml:space="preserve"> </w:t>
            </w:r>
            <w:r>
              <w:rPr>
                <w:rFonts w:ascii="楷体" w:hAnsi="楷体" w:eastAsia="楷体"/>
                <w:bCs/>
                <w:iCs/>
                <w:color w:val="000000"/>
                <w:kern w:val="0"/>
                <w:sz w:val="24"/>
              </w:rPr>
              <w:t>□</w:t>
            </w:r>
            <w:r>
              <w:rPr>
                <w:rFonts w:hint="eastAsia" w:ascii="楷体" w:hAnsi="楷体" w:eastAsia="楷体"/>
                <w:bCs/>
                <w:iCs/>
                <w:color w:val="000000"/>
                <w:kern w:val="0"/>
                <w:sz w:val="24"/>
              </w:rPr>
              <w:t xml:space="preserve"> </w:t>
            </w:r>
            <w:r>
              <w:rPr>
                <w:rFonts w:ascii="楷体" w:hAnsi="楷体" w:eastAsia="楷体"/>
                <w:kern w:val="0"/>
                <w:sz w:val="24"/>
              </w:rPr>
              <w:t>分析师会议</w:t>
            </w:r>
          </w:p>
          <w:p w14:paraId="4332E227">
            <w:pPr>
              <w:spacing w:before="156" w:beforeLines="50" w:after="156" w:afterLines="50" w:line="360" w:lineRule="auto"/>
              <w:rPr>
                <w:rFonts w:ascii="楷体" w:hAnsi="楷体" w:eastAsia="楷体"/>
                <w:bCs/>
                <w:iCs/>
                <w:color w:val="000000"/>
                <w:kern w:val="0"/>
                <w:sz w:val="24"/>
              </w:rPr>
            </w:pPr>
            <w:r>
              <w:rPr>
                <w:rFonts w:ascii="楷体" w:hAnsi="楷体" w:eastAsia="楷体"/>
                <w:bCs/>
                <w:iCs/>
                <w:color w:val="000000"/>
                <w:kern w:val="0"/>
                <w:sz w:val="24"/>
              </w:rPr>
              <w:t>□</w:t>
            </w:r>
            <w:r>
              <w:rPr>
                <w:rFonts w:hint="eastAsia" w:ascii="楷体" w:hAnsi="楷体" w:eastAsia="楷体"/>
                <w:bCs/>
                <w:iCs/>
                <w:color w:val="000000"/>
                <w:kern w:val="0"/>
                <w:sz w:val="24"/>
              </w:rPr>
              <w:t xml:space="preserve"> </w:t>
            </w:r>
            <w:r>
              <w:rPr>
                <w:rFonts w:ascii="楷体" w:hAnsi="楷体" w:eastAsia="楷体"/>
                <w:kern w:val="0"/>
                <w:sz w:val="24"/>
              </w:rPr>
              <w:t xml:space="preserve">媒体采访            </w:t>
            </w:r>
            <w:r>
              <w:rPr>
                <w:rFonts w:ascii="楷体" w:hAnsi="楷体" w:eastAsia="楷体"/>
                <w:bCs/>
                <w:iCs/>
                <w:color w:val="000000"/>
                <w:kern w:val="0"/>
                <w:sz w:val="24"/>
              </w:rPr>
              <w:t>√</w:t>
            </w:r>
            <w:r>
              <w:rPr>
                <w:rFonts w:hint="eastAsia" w:ascii="楷体" w:hAnsi="楷体" w:eastAsia="楷体"/>
                <w:bCs/>
                <w:iCs/>
                <w:color w:val="000000"/>
                <w:kern w:val="0"/>
                <w:sz w:val="24"/>
              </w:rPr>
              <w:t xml:space="preserve"> </w:t>
            </w:r>
            <w:r>
              <w:rPr>
                <w:rFonts w:ascii="楷体" w:hAnsi="楷体" w:eastAsia="楷体"/>
                <w:kern w:val="0"/>
                <w:sz w:val="24"/>
              </w:rPr>
              <w:t>业绩说明会</w:t>
            </w:r>
          </w:p>
          <w:p w14:paraId="1BB598DC">
            <w:pPr>
              <w:spacing w:before="156" w:beforeLines="50" w:after="156" w:afterLines="50" w:line="360" w:lineRule="auto"/>
              <w:rPr>
                <w:rFonts w:ascii="楷体" w:hAnsi="楷体" w:eastAsia="楷体"/>
                <w:kern w:val="0"/>
                <w:sz w:val="24"/>
              </w:rPr>
            </w:pPr>
            <w:r>
              <w:rPr>
                <w:rFonts w:ascii="楷体" w:hAnsi="楷体" w:eastAsia="楷体"/>
                <w:bCs/>
                <w:iCs/>
                <w:color w:val="000000"/>
                <w:kern w:val="0"/>
                <w:sz w:val="24"/>
              </w:rPr>
              <w:t>□</w:t>
            </w:r>
            <w:r>
              <w:rPr>
                <w:rFonts w:hint="eastAsia" w:ascii="楷体" w:hAnsi="楷体" w:eastAsia="楷体"/>
                <w:bCs/>
                <w:iCs/>
                <w:color w:val="000000"/>
                <w:kern w:val="0"/>
                <w:sz w:val="24"/>
              </w:rPr>
              <w:t xml:space="preserve"> </w:t>
            </w:r>
            <w:r>
              <w:rPr>
                <w:rFonts w:ascii="楷体" w:hAnsi="楷体" w:eastAsia="楷体"/>
                <w:kern w:val="0"/>
                <w:sz w:val="24"/>
              </w:rPr>
              <w:t xml:space="preserve">新闻发布会          </w:t>
            </w:r>
            <w:r>
              <w:rPr>
                <w:rFonts w:ascii="楷体" w:hAnsi="楷体" w:eastAsia="楷体"/>
                <w:bCs/>
                <w:iCs/>
                <w:color w:val="000000"/>
                <w:kern w:val="0"/>
                <w:sz w:val="24"/>
              </w:rPr>
              <w:t>□</w:t>
            </w:r>
            <w:r>
              <w:rPr>
                <w:rFonts w:hint="eastAsia" w:ascii="楷体" w:hAnsi="楷体" w:eastAsia="楷体"/>
                <w:bCs/>
                <w:iCs/>
                <w:color w:val="000000"/>
                <w:kern w:val="0"/>
                <w:sz w:val="24"/>
              </w:rPr>
              <w:t xml:space="preserve"> </w:t>
            </w:r>
            <w:r>
              <w:rPr>
                <w:rFonts w:ascii="楷体" w:hAnsi="楷体" w:eastAsia="楷体"/>
                <w:kern w:val="0"/>
                <w:sz w:val="24"/>
              </w:rPr>
              <w:t>路演活动</w:t>
            </w:r>
          </w:p>
          <w:p w14:paraId="4DA850C7">
            <w:pPr>
              <w:spacing w:before="156" w:beforeLines="50" w:after="156" w:afterLines="50" w:line="360" w:lineRule="auto"/>
              <w:rPr>
                <w:rFonts w:ascii="楷体" w:hAnsi="楷体" w:eastAsia="楷体"/>
                <w:bCs/>
                <w:iCs/>
                <w:color w:val="000000"/>
                <w:kern w:val="0"/>
                <w:sz w:val="24"/>
              </w:rPr>
            </w:pPr>
            <w:r>
              <w:rPr>
                <w:rFonts w:ascii="楷体" w:hAnsi="楷体" w:eastAsia="楷体"/>
                <w:bCs/>
                <w:iCs/>
                <w:color w:val="000000"/>
                <w:kern w:val="0"/>
                <w:sz w:val="24"/>
              </w:rPr>
              <w:t>□</w:t>
            </w:r>
            <w:r>
              <w:rPr>
                <w:rFonts w:hint="eastAsia" w:ascii="楷体" w:hAnsi="楷体" w:eastAsia="楷体"/>
                <w:bCs/>
                <w:iCs/>
                <w:color w:val="000000"/>
                <w:kern w:val="0"/>
                <w:sz w:val="24"/>
              </w:rPr>
              <w:t xml:space="preserve"> 现场参观</w:t>
            </w:r>
            <w:r>
              <w:rPr>
                <w:rFonts w:ascii="楷体" w:hAnsi="楷体" w:eastAsia="楷体"/>
                <w:kern w:val="0"/>
                <w:sz w:val="24"/>
              </w:rPr>
              <w:t xml:space="preserve">            </w:t>
            </w:r>
            <w:r>
              <w:rPr>
                <w:rFonts w:ascii="楷体" w:hAnsi="楷体" w:eastAsia="楷体"/>
                <w:bCs/>
                <w:iCs/>
                <w:color w:val="000000"/>
                <w:kern w:val="0"/>
                <w:sz w:val="24"/>
              </w:rPr>
              <w:t>□</w:t>
            </w:r>
            <w:r>
              <w:rPr>
                <w:rFonts w:hint="eastAsia" w:ascii="楷体" w:hAnsi="楷体" w:eastAsia="楷体"/>
                <w:bCs/>
                <w:iCs/>
                <w:color w:val="000000"/>
                <w:kern w:val="0"/>
                <w:sz w:val="24"/>
              </w:rPr>
              <w:t xml:space="preserve"> 其他</w:t>
            </w:r>
          </w:p>
        </w:tc>
      </w:tr>
      <w:tr w14:paraId="6118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CA37B2E">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75EB0E9E">
            <w:pPr>
              <w:spacing w:before="156" w:beforeLines="50" w:after="156" w:afterLines="50" w:line="360" w:lineRule="auto"/>
              <w:rPr>
                <w:rFonts w:ascii="楷体" w:hAnsi="楷体" w:eastAsia="楷体"/>
                <w:bCs/>
                <w:iCs/>
                <w:color w:val="000000"/>
                <w:sz w:val="24"/>
                <w:lang w:val="en-GB"/>
              </w:rPr>
            </w:pPr>
            <w:r>
              <w:rPr>
                <w:rFonts w:hint="eastAsia" w:ascii="楷体" w:hAnsi="楷体" w:eastAsia="楷体"/>
                <w:bCs/>
                <w:iCs/>
                <w:color w:val="000000"/>
                <w:sz w:val="24"/>
                <w:lang w:val="en-GB"/>
              </w:rPr>
              <w:t>参与公司202</w:t>
            </w:r>
            <w:r>
              <w:rPr>
                <w:rFonts w:ascii="楷体" w:hAnsi="楷体" w:eastAsia="楷体"/>
                <w:bCs/>
                <w:iCs/>
                <w:color w:val="000000"/>
                <w:sz w:val="24"/>
                <w:lang w:val="en-GB"/>
              </w:rPr>
              <w:t>4</w:t>
            </w:r>
            <w:r>
              <w:rPr>
                <w:rFonts w:hint="eastAsia" w:ascii="楷体" w:hAnsi="楷体" w:eastAsia="楷体"/>
                <w:bCs/>
                <w:iCs/>
                <w:color w:val="000000"/>
                <w:sz w:val="24"/>
                <w:lang w:val="en-GB"/>
              </w:rPr>
              <w:t>年度暨</w:t>
            </w:r>
            <w:r>
              <w:rPr>
                <w:rFonts w:ascii="楷体" w:hAnsi="楷体" w:eastAsia="楷体"/>
                <w:bCs/>
                <w:iCs/>
                <w:color w:val="000000"/>
                <w:sz w:val="24"/>
                <w:lang w:val="en-GB"/>
              </w:rPr>
              <w:t>2025</w:t>
            </w:r>
            <w:r>
              <w:rPr>
                <w:rFonts w:hint="eastAsia" w:ascii="楷体" w:hAnsi="楷体" w:eastAsia="楷体"/>
                <w:bCs/>
                <w:iCs/>
                <w:color w:val="000000"/>
                <w:sz w:val="24"/>
                <w:lang w:val="en-GB"/>
              </w:rPr>
              <w:t>年第一季度业绩说明会投资者</w:t>
            </w:r>
          </w:p>
        </w:tc>
      </w:tr>
      <w:tr w14:paraId="117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52BA40E8">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112DB594">
            <w:pPr>
              <w:spacing w:before="156" w:beforeLines="50" w:after="156" w:afterLines="50" w:line="360" w:lineRule="auto"/>
              <w:rPr>
                <w:rFonts w:ascii="楷体" w:hAnsi="楷体" w:eastAsia="楷体"/>
                <w:bCs/>
                <w:iCs/>
                <w:color w:val="000000"/>
                <w:sz w:val="24"/>
              </w:rPr>
            </w:pPr>
            <w:r>
              <w:rPr>
                <w:rFonts w:hint="eastAsia" w:ascii="楷体" w:hAnsi="楷体" w:eastAsia="楷体"/>
                <w:bCs/>
                <w:iCs/>
                <w:color w:val="000000"/>
                <w:sz w:val="24"/>
              </w:rPr>
              <w:t>202</w:t>
            </w:r>
            <w:r>
              <w:rPr>
                <w:rFonts w:ascii="楷体" w:hAnsi="楷体" w:eastAsia="楷体"/>
                <w:bCs/>
                <w:iCs/>
                <w:color w:val="000000"/>
                <w:sz w:val="24"/>
              </w:rPr>
              <w:t>5</w:t>
            </w:r>
            <w:r>
              <w:rPr>
                <w:rFonts w:hint="eastAsia" w:ascii="楷体" w:hAnsi="楷体" w:eastAsia="楷体"/>
                <w:bCs/>
                <w:iCs/>
                <w:color w:val="000000"/>
                <w:sz w:val="24"/>
              </w:rPr>
              <w:t>年</w:t>
            </w:r>
            <w:r>
              <w:rPr>
                <w:rFonts w:ascii="楷体" w:hAnsi="楷体" w:eastAsia="楷体"/>
                <w:bCs/>
                <w:iCs/>
                <w:color w:val="000000"/>
                <w:sz w:val="24"/>
              </w:rPr>
              <w:t>6</w:t>
            </w:r>
            <w:r>
              <w:rPr>
                <w:rFonts w:hint="eastAsia" w:ascii="楷体" w:hAnsi="楷体" w:eastAsia="楷体"/>
                <w:bCs/>
                <w:iCs/>
                <w:color w:val="000000"/>
                <w:sz w:val="24"/>
              </w:rPr>
              <w:t>月</w:t>
            </w:r>
            <w:r>
              <w:rPr>
                <w:rFonts w:ascii="楷体" w:hAnsi="楷体" w:eastAsia="楷体"/>
                <w:bCs/>
                <w:iCs/>
                <w:color w:val="000000"/>
                <w:sz w:val="24"/>
              </w:rPr>
              <w:t>3</w:t>
            </w:r>
            <w:r>
              <w:rPr>
                <w:rFonts w:hint="eastAsia" w:ascii="楷体" w:hAnsi="楷体" w:eastAsia="楷体"/>
                <w:bCs/>
                <w:iCs/>
                <w:color w:val="000000"/>
                <w:sz w:val="24"/>
              </w:rPr>
              <w:t>日 上午1</w:t>
            </w:r>
            <w:r>
              <w:rPr>
                <w:rFonts w:ascii="楷体" w:hAnsi="楷体" w:eastAsia="楷体"/>
                <w:bCs/>
                <w:iCs/>
                <w:color w:val="000000"/>
                <w:sz w:val="24"/>
              </w:rPr>
              <w:t>1</w:t>
            </w:r>
            <w:r>
              <w:rPr>
                <w:rFonts w:hint="eastAsia" w:ascii="楷体" w:hAnsi="楷体" w:eastAsia="楷体"/>
                <w:bCs/>
                <w:iCs/>
                <w:color w:val="000000"/>
                <w:sz w:val="24"/>
              </w:rPr>
              <w:t>:00-1</w:t>
            </w:r>
            <w:r>
              <w:rPr>
                <w:rFonts w:ascii="楷体" w:hAnsi="楷体" w:eastAsia="楷体"/>
                <w:bCs/>
                <w:iCs/>
                <w:color w:val="000000"/>
                <w:sz w:val="24"/>
              </w:rPr>
              <w:t>2</w:t>
            </w:r>
            <w:r>
              <w:rPr>
                <w:rFonts w:hint="eastAsia" w:ascii="楷体" w:hAnsi="楷体" w:eastAsia="楷体"/>
                <w:bCs/>
                <w:iCs/>
                <w:color w:val="000000"/>
                <w:sz w:val="24"/>
              </w:rPr>
              <w:t>:</w:t>
            </w:r>
            <w:r>
              <w:rPr>
                <w:rFonts w:ascii="楷体" w:hAnsi="楷体" w:eastAsia="楷体"/>
                <w:bCs/>
                <w:iCs/>
                <w:color w:val="000000"/>
                <w:sz w:val="24"/>
              </w:rPr>
              <w:t>00</w:t>
            </w:r>
          </w:p>
        </w:tc>
      </w:tr>
      <w:tr w14:paraId="4468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5D28D831">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119D2B25">
            <w:pPr>
              <w:spacing w:before="156" w:beforeLines="50" w:after="156" w:afterLines="50" w:line="360" w:lineRule="auto"/>
              <w:rPr>
                <w:rFonts w:ascii="楷体" w:hAnsi="楷体" w:eastAsia="楷体"/>
                <w:sz w:val="24"/>
              </w:rPr>
            </w:pPr>
            <w:r>
              <w:rPr>
                <w:rFonts w:hint="eastAsia" w:ascii="楷体" w:hAnsi="楷体" w:eastAsia="楷体"/>
                <w:sz w:val="24"/>
              </w:rPr>
              <w:t>上海证券交易所上证路演中心网络互动</w:t>
            </w:r>
          </w:p>
        </w:tc>
      </w:tr>
      <w:tr w14:paraId="3082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78682347">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349F2F1B">
            <w:pPr>
              <w:spacing w:before="156" w:beforeLines="50" w:after="156" w:afterLines="50" w:line="360" w:lineRule="auto"/>
              <w:rPr>
                <w:rFonts w:hint="eastAsia" w:ascii="楷体" w:hAnsi="楷体" w:eastAsia="楷体"/>
                <w:bCs/>
                <w:sz w:val="24"/>
              </w:rPr>
            </w:pPr>
            <w:r>
              <w:rPr>
                <w:rFonts w:hint="eastAsia" w:ascii="楷体" w:hAnsi="楷体" w:eastAsia="楷体"/>
                <w:bCs/>
                <w:sz w:val="24"/>
              </w:rPr>
              <w:t>陈立志（董事长）</w:t>
            </w:r>
          </w:p>
          <w:p w14:paraId="3E776316">
            <w:pPr>
              <w:spacing w:before="156" w:beforeLines="50" w:after="156" w:afterLines="50" w:line="360" w:lineRule="auto"/>
              <w:rPr>
                <w:rFonts w:hint="eastAsia" w:ascii="楷体" w:hAnsi="楷体" w:eastAsia="楷体"/>
                <w:bCs/>
                <w:sz w:val="24"/>
              </w:rPr>
            </w:pPr>
            <w:r>
              <w:rPr>
                <w:rFonts w:hint="eastAsia" w:ascii="楷体" w:hAnsi="楷体" w:eastAsia="楷体"/>
                <w:bCs/>
                <w:sz w:val="24"/>
              </w:rPr>
              <w:t>陈郁弼（总经理）</w:t>
            </w:r>
          </w:p>
          <w:p w14:paraId="0AB1C7ED">
            <w:pPr>
              <w:spacing w:before="156" w:beforeLines="50" w:after="156" w:afterLines="50" w:line="360" w:lineRule="auto"/>
              <w:rPr>
                <w:rFonts w:hint="eastAsia" w:ascii="楷体" w:hAnsi="楷体" w:eastAsia="楷体"/>
                <w:bCs/>
                <w:sz w:val="24"/>
              </w:rPr>
            </w:pPr>
            <w:r>
              <w:rPr>
                <w:rFonts w:hint="eastAsia" w:ascii="楷体" w:hAnsi="楷体" w:eastAsia="楷体"/>
                <w:bCs/>
                <w:sz w:val="24"/>
              </w:rPr>
              <w:t>王寒朵（副总经理兼董事会秘书）</w:t>
            </w:r>
          </w:p>
          <w:p w14:paraId="0B65DB17">
            <w:pPr>
              <w:spacing w:before="156" w:beforeLines="50" w:after="156" w:afterLines="50" w:line="360" w:lineRule="auto"/>
              <w:rPr>
                <w:rFonts w:hint="eastAsia" w:ascii="楷体" w:hAnsi="楷体" w:eastAsia="楷体"/>
                <w:bCs/>
                <w:sz w:val="24"/>
              </w:rPr>
            </w:pPr>
            <w:r>
              <w:rPr>
                <w:rFonts w:hint="eastAsia" w:ascii="楷体" w:hAnsi="楷体" w:eastAsia="楷体"/>
                <w:bCs/>
                <w:sz w:val="24"/>
              </w:rPr>
              <w:t>王丽雯（财务总监）</w:t>
            </w:r>
          </w:p>
          <w:p w14:paraId="080BD9D3">
            <w:pPr>
              <w:spacing w:before="156" w:beforeLines="50" w:after="156" w:afterLines="50" w:line="360" w:lineRule="auto"/>
              <w:rPr>
                <w:rFonts w:hint="eastAsia" w:ascii="楷体" w:hAnsi="楷体" w:eastAsia="楷体"/>
                <w:bCs/>
                <w:sz w:val="24"/>
              </w:rPr>
            </w:pPr>
            <w:r>
              <w:rPr>
                <w:rFonts w:hint="eastAsia" w:ascii="楷体" w:hAnsi="楷体" w:eastAsia="楷体"/>
                <w:bCs/>
                <w:sz w:val="24"/>
              </w:rPr>
              <w:t>蔡明星（独立董事）</w:t>
            </w:r>
          </w:p>
          <w:p w14:paraId="00FD84F9">
            <w:pPr>
              <w:spacing w:before="156" w:beforeLines="50" w:after="156" w:afterLines="50" w:line="360" w:lineRule="auto"/>
              <w:rPr>
                <w:rFonts w:hint="eastAsia" w:ascii="楷体" w:hAnsi="楷体" w:eastAsia="楷体"/>
                <w:bCs/>
                <w:sz w:val="24"/>
                <w:lang w:val="en-US" w:eastAsia="zh-CN"/>
              </w:rPr>
            </w:pPr>
            <w:r>
              <w:rPr>
                <w:rFonts w:hint="eastAsia" w:ascii="楷体" w:hAnsi="楷体" w:eastAsia="楷体"/>
                <w:bCs/>
                <w:sz w:val="24"/>
                <w:lang w:val="en-US" w:eastAsia="zh-CN"/>
              </w:rPr>
              <w:t>李  炬（独立董事）</w:t>
            </w:r>
          </w:p>
          <w:p w14:paraId="7BE29668">
            <w:pPr>
              <w:spacing w:before="156" w:beforeLines="50" w:after="156" w:afterLines="50" w:line="360" w:lineRule="auto"/>
              <w:rPr>
                <w:rFonts w:ascii="楷体" w:hAnsi="楷体" w:eastAsia="楷体"/>
                <w:bCs/>
                <w:sz w:val="24"/>
              </w:rPr>
            </w:pPr>
            <w:r>
              <w:rPr>
                <w:rFonts w:hint="eastAsia" w:ascii="楷体" w:hAnsi="楷体" w:eastAsia="楷体"/>
                <w:bCs/>
                <w:sz w:val="24"/>
              </w:rPr>
              <w:t>程楚楚（证券事务代表）</w:t>
            </w:r>
          </w:p>
        </w:tc>
      </w:tr>
      <w:tr w14:paraId="21C6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263FB1D9">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投资者关系活动主要内容介绍</w:t>
            </w:r>
          </w:p>
          <w:p w14:paraId="1E6B6C18">
            <w:pPr>
              <w:spacing w:line="420" w:lineRule="exact"/>
              <w:jc w:val="center"/>
              <w:rPr>
                <w:rFonts w:ascii="楷体" w:hAnsi="楷体" w:eastAsia="楷体"/>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54709998">
            <w:pPr>
              <w:spacing w:before="156" w:beforeLines="50" w:after="156" w:afterLines="50" w:line="360" w:lineRule="auto"/>
              <w:ind w:firstLine="480" w:firstLineChars="200"/>
              <w:rPr>
                <w:rFonts w:ascii="楷体" w:hAnsi="楷体" w:eastAsia="楷体"/>
                <w:bCs/>
                <w:iCs/>
                <w:color w:val="000000"/>
                <w:sz w:val="24"/>
              </w:rPr>
            </w:pPr>
            <w:r>
              <w:rPr>
                <w:rFonts w:hint="eastAsia" w:ascii="楷体" w:hAnsi="楷体" w:eastAsia="楷体"/>
                <w:sz w:val="24"/>
              </w:rPr>
              <w:t>公司于202</w:t>
            </w:r>
            <w:r>
              <w:rPr>
                <w:rFonts w:ascii="楷体" w:hAnsi="楷体" w:eastAsia="楷体"/>
                <w:sz w:val="24"/>
              </w:rPr>
              <w:t>5</w:t>
            </w:r>
            <w:r>
              <w:rPr>
                <w:rFonts w:hint="eastAsia" w:ascii="楷体" w:hAnsi="楷体" w:eastAsia="楷体"/>
                <w:sz w:val="24"/>
              </w:rPr>
              <w:t>年</w:t>
            </w:r>
            <w:r>
              <w:rPr>
                <w:rFonts w:ascii="楷体" w:hAnsi="楷体" w:eastAsia="楷体"/>
                <w:sz w:val="24"/>
              </w:rPr>
              <w:t>6</w:t>
            </w:r>
            <w:r>
              <w:rPr>
                <w:rFonts w:hint="eastAsia" w:ascii="楷体" w:hAnsi="楷体" w:eastAsia="楷体"/>
                <w:sz w:val="24"/>
              </w:rPr>
              <w:t>月</w:t>
            </w:r>
            <w:r>
              <w:rPr>
                <w:rFonts w:ascii="楷体" w:hAnsi="楷体" w:eastAsia="楷体"/>
                <w:sz w:val="24"/>
              </w:rPr>
              <w:t>3</w:t>
            </w:r>
            <w:r>
              <w:rPr>
                <w:rFonts w:hint="eastAsia" w:ascii="楷体" w:hAnsi="楷体" w:eastAsia="楷体"/>
                <w:sz w:val="24"/>
              </w:rPr>
              <w:t>日</w:t>
            </w:r>
            <w:r>
              <w:rPr>
                <w:rFonts w:hint="eastAsia" w:ascii="楷体" w:hAnsi="楷体" w:eastAsia="楷体"/>
                <w:bCs/>
                <w:iCs/>
                <w:color w:val="000000"/>
                <w:sz w:val="24"/>
              </w:rPr>
              <w:t>在上海证券交易所上证路演中心召开了</w:t>
            </w:r>
            <w:r>
              <w:rPr>
                <w:rFonts w:ascii="楷体" w:hAnsi="楷体" w:eastAsia="楷体"/>
                <w:bCs/>
                <w:iCs/>
                <w:color w:val="000000"/>
                <w:sz w:val="24"/>
              </w:rPr>
              <w:t>2024</w:t>
            </w:r>
            <w:r>
              <w:rPr>
                <w:rFonts w:hint="eastAsia" w:ascii="楷体" w:hAnsi="楷体" w:eastAsia="楷体"/>
                <w:bCs/>
                <w:iCs/>
                <w:color w:val="000000"/>
                <w:sz w:val="24"/>
              </w:rPr>
              <w:t>年度暨</w:t>
            </w:r>
            <w:r>
              <w:rPr>
                <w:rFonts w:ascii="楷体" w:hAnsi="楷体" w:eastAsia="楷体"/>
                <w:bCs/>
                <w:iCs/>
                <w:color w:val="000000"/>
                <w:sz w:val="24"/>
              </w:rPr>
              <w:t>2025</w:t>
            </w:r>
            <w:r>
              <w:rPr>
                <w:rFonts w:hint="eastAsia" w:ascii="楷体" w:hAnsi="楷体" w:eastAsia="楷体"/>
                <w:bCs/>
                <w:iCs/>
                <w:color w:val="000000"/>
                <w:sz w:val="24"/>
              </w:rPr>
              <w:t>年第一季度业绩说明会，通过网络互动的方式与投资者进行了交流，具体问题如下：</w:t>
            </w:r>
          </w:p>
          <w:p w14:paraId="072FA33C">
            <w:pPr>
              <w:spacing w:before="156" w:beforeLines="50" w:after="156" w:afterLines="50" w:line="360" w:lineRule="auto"/>
              <w:ind w:firstLine="482" w:firstLineChars="200"/>
              <w:rPr>
                <w:rFonts w:ascii="楷体" w:hAnsi="楷体" w:eastAsia="楷体"/>
                <w:bCs/>
                <w:iCs/>
                <w:color w:val="000000"/>
                <w:sz w:val="24"/>
              </w:rPr>
            </w:pPr>
            <w:r>
              <w:rPr>
                <w:rFonts w:ascii="楷体" w:hAnsi="楷体" w:eastAsia="楷体"/>
                <w:b/>
                <w:sz w:val="24"/>
              </w:rPr>
              <w:t>1、</w:t>
            </w:r>
            <w:r>
              <w:rPr>
                <w:rFonts w:hint="eastAsia" w:ascii="楷体" w:hAnsi="楷体" w:eastAsia="楷体"/>
                <w:b/>
                <w:sz w:val="24"/>
              </w:rPr>
              <w:t>公司战略是否发生新变化，能否分享下未来的业务规划及研发重点是什么？</w:t>
            </w:r>
          </w:p>
          <w:p w14:paraId="61E9197A">
            <w:pPr>
              <w:pStyle w:val="7"/>
              <w:spacing w:before="50" w:after="156" w:afterLines="50" w:line="360" w:lineRule="auto"/>
              <w:ind w:left="-2" w:leftChars="-1" w:firstLine="480"/>
              <w:rPr>
                <w:rFonts w:ascii="楷体" w:hAnsi="楷体" w:eastAsia="楷体"/>
                <w:sz w:val="24"/>
                <w:szCs w:val="24"/>
              </w:rPr>
            </w:pPr>
            <w:r>
              <w:rPr>
                <w:rFonts w:hint="eastAsia" w:ascii="楷体" w:hAnsi="楷体" w:eastAsia="楷体"/>
                <w:sz w:val="24"/>
                <w:szCs w:val="24"/>
              </w:rPr>
              <w:t>答：尊敬的投资者，您好，公司以铜箔为核心业务，持续深耕主业，稳健经营，同时积极布局新能源、新材料及先进制造领域，寻找优质投资机会，实现产业链延伸与协同效应，推动主业与新兴领域的融合发展。通过不断提升公司核心竞争力和内在价值，致力于为股东创造更大的长期回报。此外，公司高度重视研发创新，持续加大研发投入，专注于开发更薄、更高抗拉强度和延伸率的锂电铜箔产品，专注于4.5微米及以下的极薄锂电铜箔、固态电池用多孔铜箔、耐高温铜箔、抗腐蚀铜箔以及AI智能应用所需的RTF和HVLP等高端电子电路用铜箔产品的开发。目前，3微米锂电铜箔已成功实现批量生产，而RTF和HVLP-4等新产品也已通过部分下游客户的认证以满足市场对高性能材料的需求。感谢您的关注。</w:t>
            </w:r>
          </w:p>
          <w:p w14:paraId="7ECD8D32">
            <w:pPr>
              <w:pStyle w:val="7"/>
              <w:spacing w:before="50" w:after="156" w:afterLines="50" w:line="360" w:lineRule="auto"/>
              <w:ind w:firstLineChars="0"/>
              <w:rPr>
                <w:rFonts w:ascii="楷体" w:hAnsi="楷体" w:eastAsia="楷体"/>
                <w:b/>
                <w:sz w:val="24"/>
                <w:szCs w:val="24"/>
              </w:rPr>
            </w:pPr>
            <w:r>
              <w:rPr>
                <w:rFonts w:ascii="楷体" w:hAnsi="楷体" w:eastAsia="楷体"/>
                <w:b/>
                <w:sz w:val="24"/>
                <w:szCs w:val="24"/>
              </w:rPr>
              <w:t>2、</w:t>
            </w:r>
            <w:r>
              <w:rPr>
                <w:rFonts w:hint="eastAsia" w:ascii="楷体" w:hAnsi="楷体" w:eastAsia="楷体"/>
                <w:b/>
                <w:sz w:val="24"/>
                <w:szCs w:val="24"/>
              </w:rPr>
              <w:t>公司本期盈利水平如何？</w:t>
            </w:r>
          </w:p>
          <w:p w14:paraId="0DCFD781">
            <w:pPr>
              <w:pStyle w:val="7"/>
              <w:spacing w:before="50" w:after="156" w:afterLines="50" w:line="360" w:lineRule="auto"/>
              <w:ind w:firstLineChars="0"/>
              <w:rPr>
                <w:rFonts w:ascii="楷体" w:hAnsi="楷体" w:eastAsia="楷体"/>
                <w:sz w:val="24"/>
                <w:szCs w:val="24"/>
              </w:rPr>
            </w:pPr>
            <w:r>
              <w:rPr>
                <w:rFonts w:hint="eastAsia" w:ascii="楷体" w:hAnsi="楷体" w:eastAsia="楷体"/>
                <w:sz w:val="24"/>
                <w:szCs w:val="24"/>
              </w:rPr>
              <w:t>答：尊敬的投资者您好，公司2024年度营业收入527,731.64万元，同比增加15.44%；归属于上市公司股东的净利润-35,168.60万元，同比减少1387.59%。公司2025年一季度营业收入140,935.77万元，同比增加34.29%；归属于上市公司股东的净利润-3,767.23万元，同比增加60.09%。感谢您的关注。</w:t>
            </w:r>
          </w:p>
          <w:p w14:paraId="3F3B274A">
            <w:pPr>
              <w:pStyle w:val="7"/>
              <w:spacing w:before="50" w:after="156" w:afterLines="50" w:line="360" w:lineRule="auto"/>
              <w:ind w:firstLineChars="0"/>
              <w:rPr>
                <w:rFonts w:ascii="楷体" w:hAnsi="楷体" w:eastAsia="楷体"/>
                <w:sz w:val="24"/>
                <w:szCs w:val="24"/>
              </w:rPr>
            </w:pPr>
            <w:r>
              <w:rPr>
                <w:rFonts w:ascii="楷体" w:hAnsi="楷体" w:eastAsia="楷体"/>
                <w:b/>
                <w:sz w:val="24"/>
                <w:szCs w:val="24"/>
              </w:rPr>
              <w:t>3、</w:t>
            </w:r>
            <w:r>
              <w:rPr>
                <w:rFonts w:hint="eastAsia" w:ascii="楷体" w:hAnsi="楷体" w:eastAsia="楷体"/>
                <w:b/>
                <w:sz w:val="24"/>
                <w:szCs w:val="24"/>
              </w:rPr>
              <w:t>2025一季度加工费是否有回升或销售结构变化或降本增效？</w:t>
            </w:r>
          </w:p>
          <w:p w14:paraId="5B0E7B5B">
            <w:pPr>
              <w:pStyle w:val="7"/>
              <w:spacing w:before="50" w:after="156" w:afterLines="50" w:line="360" w:lineRule="auto"/>
              <w:ind w:firstLineChars="0"/>
              <w:rPr>
                <w:rFonts w:ascii="楷体" w:hAnsi="楷体" w:eastAsia="楷体"/>
                <w:sz w:val="24"/>
                <w:szCs w:val="24"/>
              </w:rPr>
            </w:pPr>
            <w:r>
              <w:rPr>
                <w:rFonts w:hint="eastAsia" w:ascii="楷体" w:hAnsi="楷体" w:eastAsia="楷体"/>
                <w:sz w:val="24"/>
                <w:szCs w:val="24"/>
              </w:rPr>
              <w:t>答：尊敬的投资者您好，2025年一季度加工费较2024年四季度未有回升。公司2025年一季度的高附加值产品占比进一步提升，使得公司的平均接单价格较四季度有所提升。</w:t>
            </w:r>
          </w:p>
          <w:p w14:paraId="7D6763F9">
            <w:pPr>
              <w:pStyle w:val="7"/>
              <w:spacing w:before="50" w:after="156" w:afterLines="50" w:line="360" w:lineRule="auto"/>
              <w:ind w:left="-2" w:leftChars="-1" w:firstLine="482"/>
              <w:rPr>
                <w:rFonts w:ascii="楷体" w:hAnsi="楷体" w:eastAsia="楷体"/>
                <w:b/>
                <w:sz w:val="24"/>
                <w:szCs w:val="24"/>
              </w:rPr>
            </w:pPr>
            <w:r>
              <w:rPr>
                <w:rFonts w:ascii="楷体" w:hAnsi="楷体" w:eastAsia="楷体"/>
                <w:b/>
                <w:sz w:val="24"/>
                <w:szCs w:val="24"/>
              </w:rPr>
              <w:t>4、</w:t>
            </w:r>
            <w:r>
              <w:rPr>
                <w:rFonts w:hint="eastAsia" w:ascii="楷体" w:hAnsi="楷体" w:eastAsia="楷体"/>
                <w:b/>
                <w:sz w:val="24"/>
                <w:szCs w:val="24"/>
              </w:rPr>
              <w:t>公司之后的盈利有什么增长点？</w:t>
            </w:r>
          </w:p>
          <w:p w14:paraId="252A428C">
            <w:pPr>
              <w:pStyle w:val="7"/>
              <w:spacing w:before="50" w:after="156" w:afterLines="50" w:line="360" w:lineRule="auto"/>
              <w:ind w:left="-2" w:leftChars="-1" w:firstLine="480"/>
              <w:rPr>
                <w:rFonts w:ascii="楷体" w:hAnsi="楷体" w:eastAsia="楷体"/>
                <w:sz w:val="24"/>
                <w:szCs w:val="24"/>
              </w:rPr>
            </w:pPr>
            <w:r>
              <w:rPr>
                <w:rFonts w:hint="eastAsia" w:ascii="楷体" w:hAnsi="楷体" w:eastAsia="楷体"/>
                <w:sz w:val="24"/>
                <w:szCs w:val="24"/>
              </w:rPr>
              <w:t>答：尊敬的投资者您好！公司高度重视研发创新，专注于根据客户需求开发更薄、更高抗拉强度和延伸率的锂电铜箔产品，公司近年来专注于4.5微米及以下的极薄锂电铜箔、固态电池用多孔铜箔、耐高温铜箔、抗腐蚀铜箔以及AI智能应用所需的RTF和HVLP等高端电子电路用铜箔产品的开发。上述产品均为技术壁垒较高的高附加值产品。目前，公司的4.5微米锂电铜箔产品在客户实现快速的批量导入，4微米锂电铜箔产品在无人机等产品上也得到了批量使用，3微米锂电铜箔已成功实现稳定的批量生产，耐高温铜箔已成功在固态电池中运用，并搭载于头部厂商发布的eVTOL。而RTF和HVLP等新产品也已逐步通过部分下游客户的认证正在逐步放量。未来，随着公司高附加值产品出货量的增加，将为公司带来更多的盈利增长点。</w:t>
            </w:r>
          </w:p>
          <w:p w14:paraId="2CAAF3F6">
            <w:pPr>
              <w:pStyle w:val="7"/>
              <w:spacing w:before="50" w:after="156" w:afterLines="50" w:line="360" w:lineRule="auto"/>
              <w:ind w:left="-2" w:leftChars="-1" w:firstLine="482"/>
              <w:rPr>
                <w:rFonts w:ascii="楷体" w:hAnsi="楷体" w:eastAsia="楷体"/>
                <w:b/>
                <w:sz w:val="24"/>
                <w:szCs w:val="24"/>
              </w:rPr>
            </w:pPr>
            <w:r>
              <w:rPr>
                <w:rFonts w:ascii="楷体" w:hAnsi="楷体" w:eastAsia="楷体"/>
                <w:b/>
                <w:sz w:val="24"/>
                <w:szCs w:val="24"/>
              </w:rPr>
              <w:t>5</w:t>
            </w:r>
            <w:r>
              <w:rPr>
                <w:rFonts w:hint="eastAsia" w:ascii="楷体" w:hAnsi="楷体" w:eastAsia="楷体"/>
                <w:b/>
                <w:sz w:val="24"/>
                <w:szCs w:val="24"/>
              </w:rPr>
              <w:t>、贵司近期发布的股权激励行权价格这么高，能否起到激励的效果？</w:t>
            </w:r>
          </w:p>
          <w:p w14:paraId="1482A591">
            <w:pPr>
              <w:pStyle w:val="7"/>
              <w:spacing w:before="50" w:after="156" w:afterLines="50" w:line="360" w:lineRule="auto"/>
              <w:ind w:left="-2" w:leftChars="-1" w:firstLine="480"/>
              <w:rPr>
                <w:rFonts w:ascii="楷体" w:hAnsi="楷体" w:eastAsia="楷体"/>
                <w:sz w:val="24"/>
                <w:szCs w:val="24"/>
              </w:rPr>
            </w:pPr>
            <w:r>
              <w:rPr>
                <w:rFonts w:hint="eastAsia" w:ascii="楷体" w:hAnsi="楷体" w:eastAsia="楷体"/>
                <w:sz w:val="24"/>
                <w:szCs w:val="24"/>
              </w:rPr>
              <w:t>答：尊敬的投资者，您好。公司拟实施股权激励计划是为了进一步建立、健全公司长效激励机制，吸引和留住优秀人才，充分调动公司员工的积极性，更紧密地将股东利益、公司利益和员工利益结合在一起，保障公司长期战略及经营目标的实现，更好地实现公司价值，回报股东。公司本次股票期权的行权价格依据相关法律法规的要求，并按照以下定价方式：本激励计划首次及预留授予的股票期权的行权价格不低于公司股票的票面金额，且不低于下列价格的较高者：（1）本激励计划草案公告前1个交易日公司股票交易均价3.49元/股（前1个交易日公司股票交易总额/前1个交易日公司股票交易总量）的80%，为每股2.79元；（2）本激励计划草案公告前120个交易日公司股票交易均价4.27元/股（前120个交易日公司股票交易总额/前120个交易日公司股票交易总量）的80%，为每股3.41元。公司管理层及全体员工将持续把握行业发展机会，提升核心竞争力，聚焦主业保持可持续健康发展，为股东持续创造价值和提升股东回报。感谢您的关注！</w:t>
            </w:r>
          </w:p>
          <w:p w14:paraId="5BBBB1A6">
            <w:pPr>
              <w:pStyle w:val="7"/>
              <w:spacing w:before="50" w:after="156" w:afterLines="50" w:line="360" w:lineRule="auto"/>
              <w:ind w:left="-2" w:leftChars="-1" w:firstLine="482"/>
              <w:rPr>
                <w:rFonts w:ascii="楷体" w:hAnsi="楷体" w:eastAsia="楷体"/>
                <w:b/>
                <w:sz w:val="24"/>
                <w:szCs w:val="24"/>
              </w:rPr>
            </w:pPr>
            <w:r>
              <w:rPr>
                <w:rFonts w:ascii="楷体" w:hAnsi="楷体" w:eastAsia="楷体"/>
                <w:b/>
                <w:sz w:val="24"/>
                <w:szCs w:val="24"/>
              </w:rPr>
              <w:t>6、</w:t>
            </w:r>
            <w:r>
              <w:rPr>
                <w:rFonts w:hint="eastAsia" w:ascii="楷体" w:hAnsi="楷体" w:eastAsia="楷体"/>
                <w:b/>
                <w:sz w:val="24"/>
                <w:szCs w:val="24"/>
              </w:rPr>
              <w:t>你们行业本期整体业绩怎么样？你们跟其他公司比如何？</w:t>
            </w:r>
          </w:p>
          <w:p w14:paraId="25E42CF7">
            <w:pPr>
              <w:pStyle w:val="7"/>
              <w:spacing w:before="50" w:after="156" w:afterLines="50" w:line="360" w:lineRule="auto"/>
              <w:ind w:left="-2" w:leftChars="-1" w:firstLine="480"/>
              <w:rPr>
                <w:rFonts w:ascii="楷体" w:hAnsi="楷体" w:eastAsia="楷体"/>
                <w:sz w:val="24"/>
                <w:szCs w:val="24"/>
              </w:rPr>
            </w:pPr>
            <w:r>
              <w:rPr>
                <w:rFonts w:hint="eastAsia" w:ascii="楷体" w:hAnsi="楷体" w:eastAsia="楷体"/>
                <w:sz w:val="24"/>
                <w:szCs w:val="24"/>
              </w:rPr>
              <w:t>答：尊敬的投资者您好，根据同行业2025年一季度报告公告情况，大部分实现了扭亏为盈，公司一季度业绩相对于同行业其他上市公司的盈利水平略低，主要是公司根据市场需求情况，调整产品结构，聚焦于高附加值铜箔产品的进一步研发和批量生产，随着公司生产嫁动率的进一步提升，后续会进一步增加公司的盈利水平。感谢您的关注。</w:t>
            </w:r>
          </w:p>
          <w:p w14:paraId="3A4E5D97">
            <w:pPr>
              <w:pStyle w:val="7"/>
              <w:spacing w:before="50" w:after="156" w:afterLines="50" w:line="360" w:lineRule="auto"/>
              <w:ind w:left="-2" w:leftChars="-1" w:firstLine="482"/>
              <w:rPr>
                <w:rFonts w:ascii="楷体" w:hAnsi="楷体" w:eastAsia="楷体"/>
                <w:b/>
                <w:sz w:val="24"/>
                <w:szCs w:val="24"/>
              </w:rPr>
            </w:pPr>
            <w:r>
              <w:rPr>
                <w:rFonts w:hint="eastAsia" w:ascii="楷体" w:hAnsi="楷体" w:eastAsia="楷体"/>
                <w:b/>
                <w:sz w:val="24"/>
                <w:szCs w:val="24"/>
              </w:rPr>
              <w:t>7、行业以后的发展前景怎样？</w:t>
            </w:r>
          </w:p>
          <w:p w14:paraId="5CEE4280">
            <w:pPr>
              <w:pStyle w:val="7"/>
              <w:spacing w:before="50" w:after="156" w:afterLines="50" w:line="360" w:lineRule="auto"/>
              <w:ind w:left="-2" w:leftChars="-1" w:firstLine="480"/>
              <w:rPr>
                <w:rFonts w:ascii="楷体" w:hAnsi="楷体" w:eastAsia="楷体"/>
                <w:sz w:val="24"/>
                <w:szCs w:val="24"/>
              </w:rPr>
            </w:pPr>
            <w:r>
              <w:rPr>
                <w:rFonts w:hint="eastAsia" w:ascii="楷体" w:hAnsi="楷体" w:eastAsia="楷体"/>
                <w:sz w:val="24"/>
                <w:szCs w:val="24"/>
              </w:rPr>
              <w:t>答：尊敬的投资者您好！公司主要以电化学技术实现铜晶体生长的精准控制从而实现各种性能的箔材制造，属于铜金属加工领域中的高端新材料。公司生产的电解铜箔产品已成为电力和电子信息行业广泛运用的基础工业金属材料。随着新能源行业和电子信息行业技术的不断革新，对于铜箔这种工业金属材料的精度要求也在不断的迭代。同时，随着锂电池产业应用场景的不断增加以及AI时代带来的高频高速信息传输需求的暴增，对于铜箔这种基础工业金属材料需求的总量也在不断增长。公司对行业未来的发展前景充满信心！感谢您的关注！</w:t>
            </w:r>
          </w:p>
          <w:p w14:paraId="253988EF">
            <w:pPr>
              <w:pStyle w:val="7"/>
              <w:spacing w:before="50" w:after="156" w:afterLines="50" w:line="360" w:lineRule="auto"/>
              <w:ind w:left="-2" w:leftChars="-1" w:firstLine="482"/>
              <w:rPr>
                <w:rFonts w:ascii="楷体" w:hAnsi="楷体" w:eastAsia="楷体"/>
                <w:b/>
                <w:sz w:val="24"/>
                <w:szCs w:val="24"/>
              </w:rPr>
            </w:pPr>
            <w:r>
              <w:rPr>
                <w:rFonts w:hint="eastAsia" w:ascii="楷体" w:hAnsi="楷体" w:eastAsia="楷体"/>
                <w:b/>
                <w:sz w:val="24"/>
                <w:szCs w:val="24"/>
              </w:rPr>
              <w:t>8、诺德股份的股权激励业绩考核目标设置依据是哪些，是否有信心达成？</w:t>
            </w:r>
          </w:p>
          <w:p w14:paraId="65E79183">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答：尊敬的投资者，您好。</w:t>
            </w:r>
          </w:p>
          <w:p w14:paraId="5C5BCE3F">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（1）新能源汽车、储能等铜箔终端应用领域持续快速发展，锂电铜箔未来市场空间广阔</w:t>
            </w:r>
          </w:p>
          <w:p w14:paraId="3025D7CB">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2024年中国新能源汽车销量为1,286.60万辆，占全球总销量的70.50%，同比提升约5.7个百分点。根据EVTank预计，2025年全球新能源汽车销量将达2,239.7万辆，中国占比进一步提升至73.6%（销量1,649.7万辆）。到2030年，全球销量有望突破4,405.0万辆。中国在动力电池、充电设施等产业链的领先地位持续巩固，出口和本土市场双轮驱动增长。</w:t>
            </w:r>
          </w:p>
          <w:p w14:paraId="20800311">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锂电储能方面，根据研究机构EVTank联合伊维经济研究院发布的《中国锂离子电池行业发展皮书（2025年）》数据，2024年全球锂电池出货量为1,545.1GWh，同比增长28.5%，EVTank预计，2025年全球锂电池出货量将达1,899.3GWh，2030年突破5,127.3GWh，2024-2030年复合增长率约22.4%。其中储能电池增速最快，预计2030年出货量达1,550.0GWh，储能领域未来仍具有巨大的增长空间。</w:t>
            </w:r>
          </w:p>
          <w:p w14:paraId="683FC93D">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随着新能源汽车市场规模不断扩大，未来对锂电铜箔的需求会持续增长。</w:t>
            </w:r>
          </w:p>
          <w:p w14:paraId="44563425">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（2）AI相关终端将带动高端PCB铜箔需求快速增长</w:t>
            </w:r>
          </w:p>
          <w:p w14:paraId="4C1096A7">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随着AI技术进步，消费电子及服务器需求的增长，PCB铜箔的需求有望持续提升，高端PCB铜箔更加紧俏，预计至2030年全球高端PCB铜箔的需求CAGR有望达到10%。AI服务器中GPU板组和相关芯片分别需要性能优异的高频高速PCB铜箔和载体铜箔，预计2024-2026年AI服务器PCB市场空间CAGR达69%，这将推动高端PCB铜箔的需求增长。预计2030年高端PCB铜箔的需求量有望达到20.6万吨。而目前国内能满足AI市场需求的PCB铜箔产能不足5万吨，具有一定的市场空间。由于高端PCB铜箔技术壁垒高，对设备的生产要求及精度提出了更高的要求，因此我司在湖北黄石提前布局高端标箔生产线，是稳固现有标箔业务的同时，也为后续高端产品的量产做准备。</w:t>
            </w:r>
          </w:p>
          <w:p w14:paraId="2AA14A46">
            <w:pPr>
              <w:pStyle w:val="7"/>
              <w:spacing w:before="50" w:after="156" w:afterLines="50" w:line="360" w:lineRule="auto"/>
              <w:ind w:left="-2" w:leftChars="-1" w:firstLine="480"/>
              <w:rPr>
                <w:rFonts w:hint="eastAsia" w:ascii="楷体" w:hAnsi="楷体" w:eastAsia="楷体"/>
                <w:sz w:val="24"/>
                <w:szCs w:val="24"/>
              </w:rPr>
            </w:pPr>
            <w:r>
              <w:rPr>
                <w:rFonts w:hint="eastAsia" w:ascii="楷体" w:hAnsi="楷体" w:eastAsia="楷体"/>
                <w:sz w:val="24"/>
                <w:szCs w:val="24"/>
              </w:rPr>
              <w:t>公司管理层及全体员工将持续把握行业发展机会，提升核心竞争力，聚焦主业保持可持续健康发展，为股东持续创造价值和提升股东回报。感谢您的关注！</w:t>
            </w:r>
          </w:p>
          <w:p w14:paraId="74DEC106">
            <w:pPr>
              <w:pStyle w:val="7"/>
              <w:spacing w:before="50" w:after="156" w:afterLines="50" w:line="360" w:lineRule="auto"/>
              <w:ind w:left="-2" w:leftChars="-1" w:firstLine="480"/>
              <w:rPr>
                <w:rFonts w:hint="eastAsia" w:ascii="楷体" w:hAnsi="楷体" w:eastAsia="楷体"/>
                <w:sz w:val="24"/>
                <w:szCs w:val="24"/>
              </w:rPr>
            </w:pPr>
            <w:bookmarkStart w:id="0" w:name="_GoBack"/>
            <w:bookmarkEnd w:id="0"/>
          </w:p>
        </w:tc>
      </w:tr>
      <w:tr w14:paraId="0296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30D9501">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附件清单</w:t>
            </w:r>
          </w:p>
          <w:p w14:paraId="1B2804E9">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（如有）</w:t>
            </w:r>
          </w:p>
        </w:tc>
        <w:tc>
          <w:tcPr>
            <w:tcW w:w="6847" w:type="dxa"/>
            <w:tcBorders>
              <w:top w:val="single" w:color="auto" w:sz="4" w:space="0"/>
              <w:left w:val="single" w:color="auto" w:sz="4" w:space="0"/>
              <w:bottom w:val="single" w:color="auto" w:sz="4" w:space="0"/>
              <w:right w:val="single" w:color="auto" w:sz="4" w:space="0"/>
            </w:tcBorders>
          </w:tcPr>
          <w:p w14:paraId="5181B744">
            <w:pPr>
              <w:spacing w:before="156" w:beforeLines="50" w:after="156" w:afterLines="50" w:line="360" w:lineRule="auto"/>
              <w:rPr>
                <w:rFonts w:ascii="楷体" w:hAnsi="楷体" w:eastAsia="楷体"/>
                <w:bCs/>
                <w:iCs/>
                <w:color w:val="000000"/>
                <w:sz w:val="24"/>
              </w:rPr>
            </w:pPr>
            <w:r>
              <w:rPr>
                <w:rFonts w:hint="eastAsia" w:ascii="楷体" w:hAnsi="楷体" w:eastAsia="楷体"/>
                <w:bCs/>
                <w:iCs/>
                <w:color w:val="000000"/>
                <w:sz w:val="24"/>
              </w:rPr>
              <w:t>无</w:t>
            </w:r>
          </w:p>
        </w:tc>
      </w:tr>
      <w:tr w14:paraId="7D7A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1C1AB2F5">
            <w:pPr>
              <w:spacing w:line="420" w:lineRule="exact"/>
              <w:jc w:val="center"/>
              <w:rPr>
                <w:rFonts w:ascii="楷体" w:hAnsi="楷体" w:eastAsia="楷体"/>
                <w:bCs/>
                <w:iCs/>
                <w:color w:val="000000"/>
                <w:kern w:val="0"/>
                <w:sz w:val="24"/>
              </w:rPr>
            </w:pPr>
            <w:r>
              <w:rPr>
                <w:rFonts w:ascii="楷体" w:hAnsi="楷体" w:eastAsia="楷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2D25211F">
            <w:pPr>
              <w:spacing w:before="156" w:beforeLines="50" w:after="156" w:afterLines="50" w:line="360" w:lineRule="auto"/>
              <w:rPr>
                <w:rFonts w:ascii="楷体" w:hAnsi="楷体" w:eastAsia="楷体"/>
                <w:bCs/>
                <w:iCs/>
                <w:color w:val="000000"/>
                <w:sz w:val="24"/>
              </w:rPr>
            </w:pPr>
            <w:r>
              <w:rPr>
                <w:rFonts w:hint="eastAsia" w:ascii="楷体" w:hAnsi="楷体" w:eastAsia="楷体"/>
                <w:bCs/>
                <w:iCs/>
                <w:color w:val="000000"/>
                <w:sz w:val="24"/>
              </w:rPr>
              <w:t>202</w:t>
            </w:r>
            <w:r>
              <w:rPr>
                <w:rFonts w:ascii="楷体" w:hAnsi="楷体" w:eastAsia="楷体"/>
                <w:bCs/>
                <w:iCs/>
                <w:color w:val="000000"/>
                <w:sz w:val="24"/>
              </w:rPr>
              <w:t>5</w:t>
            </w:r>
            <w:r>
              <w:rPr>
                <w:rFonts w:hint="eastAsia" w:ascii="楷体" w:hAnsi="楷体" w:eastAsia="楷体"/>
                <w:bCs/>
                <w:iCs/>
                <w:color w:val="000000"/>
                <w:sz w:val="24"/>
              </w:rPr>
              <w:t>年</w:t>
            </w:r>
            <w:r>
              <w:rPr>
                <w:rFonts w:ascii="楷体" w:hAnsi="楷体" w:eastAsia="楷体"/>
                <w:bCs/>
                <w:iCs/>
                <w:color w:val="000000"/>
                <w:sz w:val="24"/>
              </w:rPr>
              <w:t>6</w:t>
            </w:r>
            <w:r>
              <w:rPr>
                <w:rFonts w:hint="eastAsia" w:ascii="楷体" w:hAnsi="楷体" w:eastAsia="楷体"/>
                <w:bCs/>
                <w:iCs/>
                <w:color w:val="000000"/>
                <w:sz w:val="24"/>
              </w:rPr>
              <w:t>月</w:t>
            </w:r>
            <w:r>
              <w:rPr>
                <w:rFonts w:ascii="楷体" w:hAnsi="楷体" w:eastAsia="楷体"/>
                <w:bCs/>
                <w:iCs/>
                <w:color w:val="000000"/>
                <w:sz w:val="24"/>
              </w:rPr>
              <w:t>3</w:t>
            </w:r>
            <w:r>
              <w:rPr>
                <w:rFonts w:hint="eastAsia" w:ascii="楷体" w:hAnsi="楷体" w:eastAsia="楷体"/>
                <w:bCs/>
                <w:iCs/>
                <w:color w:val="000000"/>
                <w:sz w:val="24"/>
              </w:rPr>
              <w:t>日</w:t>
            </w:r>
          </w:p>
        </w:tc>
      </w:tr>
    </w:tbl>
    <w:p w14:paraId="1ABD91E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28FF">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7C9E">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25D4"/>
    <w:rsid w:val="000268C0"/>
    <w:rsid w:val="000363B5"/>
    <w:rsid w:val="000375D7"/>
    <w:rsid w:val="00043015"/>
    <w:rsid w:val="00046DDE"/>
    <w:rsid w:val="00047EB9"/>
    <w:rsid w:val="00060A74"/>
    <w:rsid w:val="00067110"/>
    <w:rsid w:val="000702C0"/>
    <w:rsid w:val="00076028"/>
    <w:rsid w:val="00087377"/>
    <w:rsid w:val="0009298A"/>
    <w:rsid w:val="000A2808"/>
    <w:rsid w:val="000A3BAC"/>
    <w:rsid w:val="000C26FD"/>
    <w:rsid w:val="000C2D85"/>
    <w:rsid w:val="000E5700"/>
    <w:rsid w:val="000F0C4B"/>
    <w:rsid w:val="000F0E22"/>
    <w:rsid w:val="00105A04"/>
    <w:rsid w:val="0010717A"/>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2C8F"/>
    <w:rsid w:val="001E3145"/>
    <w:rsid w:val="001E6509"/>
    <w:rsid w:val="001E7968"/>
    <w:rsid w:val="0022180A"/>
    <w:rsid w:val="00223ABC"/>
    <w:rsid w:val="002241B9"/>
    <w:rsid w:val="002274D9"/>
    <w:rsid w:val="002344AD"/>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06A9C"/>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3633"/>
    <w:rsid w:val="003D18F1"/>
    <w:rsid w:val="003E001E"/>
    <w:rsid w:val="003F7C4D"/>
    <w:rsid w:val="0040075F"/>
    <w:rsid w:val="00403300"/>
    <w:rsid w:val="004118C0"/>
    <w:rsid w:val="004168DE"/>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2F5"/>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45FC"/>
    <w:rsid w:val="006C6BC5"/>
    <w:rsid w:val="006D61A2"/>
    <w:rsid w:val="006E1DB4"/>
    <w:rsid w:val="00753DB6"/>
    <w:rsid w:val="00763847"/>
    <w:rsid w:val="00771FE3"/>
    <w:rsid w:val="00776BDE"/>
    <w:rsid w:val="00785D9C"/>
    <w:rsid w:val="00786870"/>
    <w:rsid w:val="00792237"/>
    <w:rsid w:val="0079272A"/>
    <w:rsid w:val="007A1DA9"/>
    <w:rsid w:val="007A2028"/>
    <w:rsid w:val="007B2252"/>
    <w:rsid w:val="007B79D9"/>
    <w:rsid w:val="007C67B1"/>
    <w:rsid w:val="007E354A"/>
    <w:rsid w:val="007E69C8"/>
    <w:rsid w:val="0080525B"/>
    <w:rsid w:val="008062C5"/>
    <w:rsid w:val="0080741A"/>
    <w:rsid w:val="00814B5B"/>
    <w:rsid w:val="00822230"/>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42AF"/>
    <w:rsid w:val="00962626"/>
    <w:rsid w:val="009767DD"/>
    <w:rsid w:val="00977AF2"/>
    <w:rsid w:val="00985FC5"/>
    <w:rsid w:val="00993BDD"/>
    <w:rsid w:val="009A6DFB"/>
    <w:rsid w:val="009B1A14"/>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94381"/>
    <w:rsid w:val="00AA5998"/>
    <w:rsid w:val="00AB07E7"/>
    <w:rsid w:val="00AB486D"/>
    <w:rsid w:val="00AD1BA8"/>
    <w:rsid w:val="00AF02EA"/>
    <w:rsid w:val="00B02A29"/>
    <w:rsid w:val="00B03522"/>
    <w:rsid w:val="00B04AD6"/>
    <w:rsid w:val="00B14CAA"/>
    <w:rsid w:val="00B257CE"/>
    <w:rsid w:val="00B4746C"/>
    <w:rsid w:val="00B65354"/>
    <w:rsid w:val="00B71A0E"/>
    <w:rsid w:val="00B81765"/>
    <w:rsid w:val="00B832F5"/>
    <w:rsid w:val="00BA2FAB"/>
    <w:rsid w:val="00BB5E28"/>
    <w:rsid w:val="00BC2743"/>
    <w:rsid w:val="00BD15F3"/>
    <w:rsid w:val="00BD7986"/>
    <w:rsid w:val="00BD79D3"/>
    <w:rsid w:val="00C04F82"/>
    <w:rsid w:val="00C15AC0"/>
    <w:rsid w:val="00C26030"/>
    <w:rsid w:val="00C41091"/>
    <w:rsid w:val="00C4574F"/>
    <w:rsid w:val="00C63056"/>
    <w:rsid w:val="00C661D1"/>
    <w:rsid w:val="00C7087C"/>
    <w:rsid w:val="00C775BA"/>
    <w:rsid w:val="00C85331"/>
    <w:rsid w:val="00C85A50"/>
    <w:rsid w:val="00C94D46"/>
    <w:rsid w:val="00CA443A"/>
    <w:rsid w:val="00CB2461"/>
    <w:rsid w:val="00CB37FD"/>
    <w:rsid w:val="00CC4D65"/>
    <w:rsid w:val="00CC61E7"/>
    <w:rsid w:val="00CD25AD"/>
    <w:rsid w:val="00CD3FFC"/>
    <w:rsid w:val="00CF0D8D"/>
    <w:rsid w:val="00CF565C"/>
    <w:rsid w:val="00D016A3"/>
    <w:rsid w:val="00D021D7"/>
    <w:rsid w:val="00D14893"/>
    <w:rsid w:val="00D512E3"/>
    <w:rsid w:val="00D602C9"/>
    <w:rsid w:val="00D82432"/>
    <w:rsid w:val="00DA26A9"/>
    <w:rsid w:val="00DB01FF"/>
    <w:rsid w:val="00DC7778"/>
    <w:rsid w:val="00DE7391"/>
    <w:rsid w:val="00DF2DB5"/>
    <w:rsid w:val="00DF6560"/>
    <w:rsid w:val="00E04CC0"/>
    <w:rsid w:val="00E136FF"/>
    <w:rsid w:val="00E32528"/>
    <w:rsid w:val="00E35F26"/>
    <w:rsid w:val="00E5305B"/>
    <w:rsid w:val="00E53165"/>
    <w:rsid w:val="00E61EF7"/>
    <w:rsid w:val="00E663B4"/>
    <w:rsid w:val="00E80CEB"/>
    <w:rsid w:val="00EA5103"/>
    <w:rsid w:val="00EA6FB9"/>
    <w:rsid w:val="00EB5E6A"/>
    <w:rsid w:val="00EC0A0B"/>
    <w:rsid w:val="00EC2AD7"/>
    <w:rsid w:val="00ED7DE0"/>
    <w:rsid w:val="00EE5D2F"/>
    <w:rsid w:val="00EE7891"/>
    <w:rsid w:val="00EF1156"/>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C7942"/>
    <w:rsid w:val="00FE62F3"/>
    <w:rsid w:val="00FF0C8A"/>
    <w:rsid w:val="00FF53C8"/>
    <w:rsid w:val="00FF71D2"/>
    <w:rsid w:val="06A8705D"/>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2841</Words>
  <Characters>3199</Characters>
  <Lines>23</Lines>
  <Paragraphs>6</Paragraphs>
  <TotalTime>1</TotalTime>
  <ScaleCrop>false</ScaleCrop>
  <LinksUpToDate>false</LinksUpToDate>
  <CharactersWithSpaces>3285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2025-06-03T06:53:00Z</dcterms:created>
  <dc:creator>微软用户</dc:creator>
  <cp:lastModifiedBy>☁</cp:lastModifiedBy>
  <cp:lastPrinted>2014-02-21T05:34:00Z</cp:lastPrinted>
  <dcterms:modified xsi:type="dcterms:W3CDTF">2025-06-03T09:51:55Z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3378DF92D5494EA79182626F58817F75</vt:lpwstr>
  </property>
  <property fmtid="{D5CDD505-2E9C-101B-9397-08002B2CF9AE}" pid="4" name="KSOTemplateDocerSaveRecord">
    <vt:lpwstr>eyJoZGlkIjoiOGRkZjNlMzdhNjYyOWM3YzViOWUzMjczMGU2ZGNmNGIiLCJ1c2VySWQiOiIzMDM3Njc1MzAifQ==</vt:lpwstr>
  </property>
</Properties>
</file>