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E33D">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28F34A71">
      <w:pPr>
        <w:widowControl/>
        <w:jc w:val="center"/>
        <w:rPr>
          <w:rFonts w:hint="eastAsia" w:ascii="宋体" w:hAnsi="宋体"/>
          <w:bCs/>
          <w:iCs/>
          <w:color w:val="000000"/>
          <w:sz w:val="24"/>
        </w:rPr>
      </w:pPr>
    </w:p>
    <w:p w14:paraId="187B9C22">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592177FA">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7404916D">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rPr>
        <w:t>5</w:t>
      </w:r>
      <w:r>
        <w:rPr>
          <w:rFonts w:ascii="宋体" w:hAnsi="宋体"/>
          <w:bCs/>
          <w:iCs/>
          <w:color w:val="000000"/>
          <w:szCs w:val="21"/>
        </w:rPr>
        <w:t>-0</w:t>
      </w:r>
      <w:r>
        <w:rPr>
          <w:rFonts w:hint="eastAsia" w:ascii="宋体" w:hAnsi="宋体"/>
          <w:bCs/>
          <w:iCs/>
          <w:color w:val="000000"/>
          <w:szCs w:val="21"/>
        </w:rPr>
        <w:t>6</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DA1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E4BFA1B">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73C6D338">
            <w:pPr>
              <w:spacing w:line="360" w:lineRule="auto"/>
              <w:jc w:val="left"/>
              <w:rPr>
                <w:rFonts w:hint="eastAsia" w:ascii="宋体" w:hAnsi="宋体"/>
                <w:bCs/>
                <w:iCs/>
                <w:color w:val="000000"/>
                <w:szCs w:val="21"/>
              </w:rPr>
            </w:pPr>
            <w:r>
              <w:rPr>
                <w:rFonts w:ascii="宋体" w:hAnsi="宋体"/>
                <w:bCs/>
                <w:iCs/>
                <w:color w:val="000000"/>
                <w:szCs w:val="21"/>
              </w:rPr>
              <w:sym w:font="Wingdings 2" w:char="0052"/>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69F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3A8563EC">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2A571639">
            <w:pPr>
              <w:spacing w:line="276" w:lineRule="auto"/>
              <w:rPr>
                <w:rFonts w:hint="default" w:ascii="等线" w:hAnsi="等线" w:eastAsia="宋体"/>
                <w:color w:val="000000"/>
                <w:kern w:val="0"/>
                <w:sz w:val="22"/>
                <w:szCs w:val="22"/>
                <w:lang w:val="en-US" w:eastAsia="zh-CN"/>
              </w:rPr>
            </w:pPr>
            <w:r>
              <w:rPr>
                <w:rFonts w:hint="eastAsia" w:ascii="宋体" w:hAnsi="宋体"/>
                <w:bCs/>
                <w:iCs/>
                <w:color w:val="000000"/>
                <w:szCs w:val="21"/>
                <w:lang w:val="en-US" w:eastAsia="zh-CN"/>
              </w:rPr>
              <w:t>华创证券、长江证券、</w:t>
            </w:r>
            <w:r>
              <w:rPr>
                <w:rFonts w:hint="eastAsia" w:ascii="宋体" w:hAnsi="宋体"/>
                <w:bCs/>
                <w:iCs/>
                <w:color w:val="000000"/>
                <w:szCs w:val="21"/>
              </w:rPr>
              <w:t>招商基金、易方达基金、长城基金、振兴嘉杰基金、胤胜资产、华厦基金、国泰基金、浦银安盛、前海人寿、诚旸投资、华泰资产、永安国富、长城证券、乾图投资、中金资管、财通资管</w:t>
            </w:r>
            <w:r>
              <w:rPr>
                <w:rFonts w:hint="eastAsia" w:ascii="宋体" w:hAnsi="宋体"/>
                <w:bCs/>
                <w:iCs/>
                <w:color w:val="000000"/>
                <w:szCs w:val="21"/>
                <w:lang w:eastAsia="zh-CN"/>
              </w:rPr>
              <w:t>、</w:t>
            </w:r>
            <w:r>
              <w:rPr>
                <w:rFonts w:hint="eastAsia" w:ascii="宋体" w:hAnsi="宋体"/>
                <w:bCs/>
                <w:iCs/>
                <w:color w:val="000000"/>
                <w:szCs w:val="21"/>
                <w:lang w:val="en-US" w:eastAsia="zh-CN"/>
              </w:rPr>
              <w:t>泉果基金、中银资管、永赢基金、兴全基金、中意资产</w:t>
            </w:r>
          </w:p>
        </w:tc>
      </w:tr>
      <w:tr w14:paraId="3EE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10F336D4">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5D8B2A92">
            <w:pPr>
              <w:spacing w:line="276" w:lineRule="auto"/>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5年6月4日、2025年6月6日</w:t>
            </w:r>
          </w:p>
        </w:tc>
      </w:tr>
      <w:tr w14:paraId="440F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75D1681">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39351267">
            <w:pPr>
              <w:spacing w:line="276" w:lineRule="auto"/>
              <w:rPr>
                <w:rFonts w:hint="eastAsia" w:ascii="宋体" w:hAnsi="宋体"/>
                <w:bCs/>
                <w:iCs/>
                <w:color w:val="000000"/>
                <w:szCs w:val="21"/>
              </w:rPr>
            </w:pPr>
            <w:r>
              <w:rPr>
                <w:rFonts w:hint="eastAsia" w:ascii="宋体" w:hAnsi="宋体"/>
                <w:bCs/>
                <w:iCs/>
                <w:color w:val="000000"/>
                <w:szCs w:val="21"/>
              </w:rPr>
              <w:t>赣州步莱铽新资源有限公司</w:t>
            </w:r>
            <w:r>
              <w:rPr>
                <w:rFonts w:hint="eastAsia" w:ascii="宋体" w:hAnsi="宋体"/>
                <w:bCs/>
                <w:iCs/>
                <w:color w:val="000000"/>
                <w:szCs w:val="21"/>
                <w:lang w:val="en-US" w:eastAsia="zh-CN"/>
              </w:rPr>
              <w:t>会议室</w:t>
            </w:r>
            <w:r>
              <w:rPr>
                <w:rFonts w:hint="eastAsia" w:ascii="宋体" w:hAnsi="宋体"/>
                <w:bCs/>
                <w:iCs/>
                <w:color w:val="000000"/>
                <w:szCs w:val="21"/>
              </w:rPr>
              <w:t>、公司</w:t>
            </w:r>
            <w:r>
              <w:rPr>
                <w:rFonts w:hint="eastAsia" w:ascii="宋体" w:hAnsi="宋体"/>
                <w:bCs/>
                <w:iCs/>
                <w:color w:val="000000"/>
                <w:szCs w:val="21"/>
                <w:lang w:val="en-US" w:eastAsia="zh-CN"/>
              </w:rPr>
              <w:t>总部</w:t>
            </w:r>
            <w:r>
              <w:rPr>
                <w:rFonts w:hint="eastAsia" w:ascii="宋体" w:hAnsi="宋体"/>
                <w:bCs/>
                <w:iCs/>
                <w:color w:val="000000"/>
                <w:szCs w:val="21"/>
              </w:rPr>
              <w:t>会议室</w:t>
            </w:r>
          </w:p>
        </w:tc>
      </w:tr>
      <w:tr w14:paraId="73B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E565A95">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7F9F059E">
            <w:pPr>
              <w:spacing w:line="276" w:lineRule="auto"/>
              <w:rPr>
                <w:rFonts w:ascii="宋体" w:hAnsi="宋体" w:cs="宋体"/>
                <w:color w:val="000000"/>
                <w:kern w:val="0"/>
                <w:szCs w:val="21"/>
              </w:rPr>
            </w:pPr>
            <w:r>
              <w:rPr>
                <w:rFonts w:hint="eastAsia" w:ascii="宋体" w:hAnsi="宋体" w:cs="宋体"/>
                <w:color w:val="000000"/>
                <w:kern w:val="0"/>
                <w:szCs w:val="21"/>
              </w:rPr>
              <w:t>董事、副总经理、董事会秘书：郭晓雷</w:t>
            </w:r>
          </w:p>
          <w:p w14:paraId="41DDC3F2">
            <w:pPr>
              <w:spacing w:line="276" w:lineRule="auto"/>
              <w:rPr>
                <w:rFonts w:hint="eastAsia" w:ascii="宋体" w:hAnsi="宋体" w:cs="宋体"/>
                <w:color w:val="000000"/>
                <w:kern w:val="0"/>
                <w:szCs w:val="21"/>
              </w:rPr>
            </w:pPr>
            <w:r>
              <w:rPr>
                <w:rFonts w:hint="eastAsia" w:ascii="宋体" w:hAnsi="宋体" w:cs="宋体"/>
                <w:color w:val="000000"/>
                <w:kern w:val="0"/>
                <w:szCs w:val="21"/>
              </w:rPr>
              <w:t>投资者关系总监：孙宇翔</w:t>
            </w:r>
          </w:p>
        </w:tc>
      </w:tr>
      <w:tr w14:paraId="2D4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28CCB7C">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5E672FAF">
            <w:pPr>
              <w:spacing w:before="156" w:beforeLines="50"/>
              <w:ind w:firstLine="420" w:firstLineChars="200"/>
              <w:rPr>
                <w:rFonts w:hint="eastAsia" w:ascii="宋体" w:hAnsi="宋体"/>
              </w:rPr>
            </w:pPr>
          </w:p>
        </w:tc>
        <w:tc>
          <w:tcPr>
            <w:tcW w:w="7088" w:type="dxa"/>
          </w:tcPr>
          <w:p w14:paraId="708D2856">
            <w:pPr>
              <w:pStyle w:val="21"/>
              <w:numPr>
                <w:ilvl w:val="0"/>
                <w:numId w:val="0"/>
              </w:numPr>
              <w:spacing w:before="156" w:beforeLines="50"/>
              <w:rPr>
                <w:rFonts w:hint="eastAsia"/>
                <w:lang w:val="en-US" w:eastAsia="zh-CN"/>
              </w:rPr>
            </w:pPr>
            <w:r>
              <w:rPr>
                <w:rFonts w:hint="eastAsia"/>
                <w:lang w:val="en-US" w:eastAsia="zh-CN"/>
              </w:rPr>
              <w:t>1、公司稀土废料回收业务的布局情况？</w:t>
            </w:r>
          </w:p>
          <w:p w14:paraId="7F7D47BD">
            <w:pPr>
              <w:pStyle w:val="21"/>
              <w:numPr>
                <w:ilvl w:val="0"/>
                <w:numId w:val="0"/>
              </w:numPr>
              <w:spacing w:before="156" w:beforeLines="50"/>
              <w:ind w:firstLine="420" w:firstLineChars="200"/>
              <w:rPr>
                <w:rFonts w:hint="eastAsia"/>
                <w:lang w:val="en-US" w:eastAsia="zh-CN"/>
              </w:rPr>
            </w:pPr>
            <w:r>
              <w:rPr>
                <w:rFonts w:hint="eastAsia"/>
                <w:lang w:val="en-US" w:eastAsia="zh-CN"/>
              </w:rPr>
              <w:t>答：公司稀土废料回收业务主要由公司江西板块内部的赣州步莱铽新资源有限公司及盛和（全南）新材料有限公司具体开展。根据公司此前发布的《2023-2025年发展规划》，至2025年，公司稀土废料回收利用能力达10000吨/年。伴随着低碳绿色生产实践的深入推进，预计再生资源回收利用将在稀土行业的生产环节中扮演愈发重</w:t>
            </w:r>
            <w:bookmarkStart w:id="2" w:name="_GoBack"/>
            <w:bookmarkEnd w:id="2"/>
            <w:r>
              <w:rPr>
                <w:rFonts w:hint="eastAsia"/>
                <w:lang w:val="en-US" w:eastAsia="zh-CN"/>
              </w:rPr>
              <w:t>要的角色，叠加市场总体规模的稳步增长，公司看好本细分领域的行业前景。</w:t>
            </w:r>
          </w:p>
          <w:p w14:paraId="7E6ADE99">
            <w:pPr>
              <w:pStyle w:val="21"/>
              <w:numPr>
                <w:ilvl w:val="0"/>
                <w:numId w:val="0"/>
              </w:numPr>
              <w:spacing w:before="156" w:beforeLines="50"/>
              <w:rPr>
                <w:rFonts w:hint="default"/>
                <w:lang w:val="en-US" w:eastAsia="zh-CN"/>
              </w:rPr>
            </w:pPr>
          </w:p>
          <w:p w14:paraId="0CA8BDA4">
            <w:pPr>
              <w:pStyle w:val="21"/>
              <w:numPr>
                <w:ilvl w:val="0"/>
                <w:numId w:val="0"/>
              </w:numPr>
              <w:spacing w:before="156" w:beforeLines="50"/>
              <w:rPr>
                <w:rFonts w:hint="eastAsia"/>
                <w:lang w:val="en-US" w:eastAsia="zh-CN"/>
              </w:rPr>
            </w:pPr>
            <w:r>
              <w:rPr>
                <w:rFonts w:hint="eastAsia"/>
                <w:lang w:val="en-US" w:eastAsia="zh-CN"/>
              </w:rPr>
              <w:t>2、公司稀土原料的来源主要有哪些？</w:t>
            </w:r>
          </w:p>
          <w:p w14:paraId="2F539FD1">
            <w:pPr>
              <w:pStyle w:val="21"/>
              <w:numPr>
                <w:ilvl w:val="0"/>
                <w:numId w:val="0"/>
              </w:numPr>
              <w:spacing w:before="156" w:beforeLines="50"/>
              <w:ind w:firstLine="420" w:firstLineChars="200"/>
              <w:rPr>
                <w:rFonts w:hint="default"/>
                <w:lang w:val="en-US" w:eastAsia="zh-CN"/>
              </w:rPr>
            </w:pPr>
            <w:r>
              <w:rPr>
                <w:rFonts w:hint="eastAsia"/>
                <w:lang w:val="en-US" w:eastAsia="zh-CN"/>
              </w:rPr>
              <w:t>答：公司与国内主要稀土精矿供应主体维持着紧密良好的市场合作关系。此外，公司与四川和地矿业、美国MP公司、Peak稀土公司等签署了稀土精矿长期供应协议，构建了多元化的稀土精矿供应渠道，为公司的稀土冶炼分离等下游业务提供了充足的原料保障。</w:t>
            </w:r>
            <w:r>
              <w:rPr>
                <w:rFonts w:hint="eastAsia"/>
                <w:lang w:val="en-US" w:eastAsia="zh-CN"/>
              </w:rPr>
              <w:t>由于海滨砂矿中伴生着丰富的稀土资源，公司的锆钛矿选矿业务也为公司的稀土原料提供了进一步的保障。</w:t>
            </w:r>
          </w:p>
          <w:p w14:paraId="528219C2">
            <w:pPr>
              <w:pStyle w:val="21"/>
              <w:numPr>
                <w:ilvl w:val="0"/>
                <w:numId w:val="0"/>
              </w:numPr>
              <w:spacing w:before="156" w:beforeLines="50"/>
              <w:rPr>
                <w:rFonts w:hint="eastAsia"/>
                <w:lang w:val="en-US" w:eastAsia="zh-CN"/>
              </w:rPr>
            </w:pPr>
          </w:p>
          <w:p w14:paraId="35A96989">
            <w:pPr>
              <w:pStyle w:val="21"/>
              <w:numPr>
                <w:ilvl w:val="0"/>
                <w:numId w:val="0"/>
              </w:numPr>
              <w:spacing w:before="156" w:beforeLines="50"/>
              <w:rPr>
                <w:rFonts w:hint="eastAsia"/>
                <w:lang w:val="en-US" w:eastAsia="zh-CN"/>
              </w:rPr>
            </w:pPr>
            <w:r>
              <w:rPr>
                <w:rFonts w:hint="eastAsia"/>
                <w:lang w:val="en-US" w:eastAsia="zh-CN"/>
              </w:rPr>
              <w:t>3、公司收购的江阴加华和淄博加华两家公司目前生产情况如何？</w:t>
            </w:r>
          </w:p>
          <w:p w14:paraId="113121C7">
            <w:pPr>
              <w:pStyle w:val="21"/>
              <w:numPr>
                <w:ilvl w:val="0"/>
                <w:numId w:val="0"/>
              </w:numPr>
              <w:spacing w:before="156" w:beforeLines="50"/>
              <w:ind w:firstLine="420" w:firstLineChars="200"/>
              <w:rPr>
                <w:rFonts w:hint="eastAsia"/>
                <w:lang w:val="en-US" w:eastAsia="zh-CN"/>
              </w:rPr>
            </w:pPr>
            <w:r>
              <w:rPr>
                <w:rFonts w:hint="eastAsia"/>
                <w:lang w:val="en-US" w:eastAsia="zh-CN"/>
              </w:rPr>
              <w:t>答：为一步提升公司的稀土冶炼分离能力，强化公司的核心竞争力，公司全资子公司晨光稀土收购江阴加华和淄博加华两家公司控股权并于2025年3月完成股权过户手续，收购完成后晨光稀土持有江阴加华86%股权、持有淄博加华90%股权。江阴加华是一家重稀土分离企业，主要生产高纯单一稀土氧化物及稀土共沉物产品，</w:t>
            </w:r>
            <w:r>
              <w:rPr>
                <w:rFonts w:hint="eastAsia"/>
                <w:lang w:val="en-US" w:eastAsia="zh-CN"/>
              </w:rPr>
              <w:t>经核准的稀土分离能力为3800吨</w:t>
            </w:r>
            <w:r>
              <w:rPr>
                <w:rFonts w:hint="eastAsia"/>
                <w:lang w:val="en-US" w:eastAsia="zh-CN"/>
              </w:rPr>
              <w:t>REO/年，目前处于正常生产</w:t>
            </w:r>
            <w:r>
              <w:rPr>
                <w:rFonts w:hint="eastAsia"/>
                <w:lang w:val="en-US" w:eastAsia="zh-CN"/>
              </w:rPr>
              <w:t>状态；淄博加华是一家轻稀土分离企业，</w:t>
            </w:r>
            <w:r>
              <w:rPr>
                <w:rFonts w:hint="eastAsia"/>
                <w:lang w:val="en-US" w:eastAsia="zh-CN"/>
              </w:rPr>
              <w:t>经核准的稀土分离能力为5500吨REO/年，目前处于停产待搬迁状态，公司正积极推动淄博加华的工厂搬迁事宜。</w:t>
            </w:r>
          </w:p>
          <w:p w14:paraId="38BD1C3F">
            <w:pPr>
              <w:pStyle w:val="21"/>
              <w:numPr>
                <w:ilvl w:val="0"/>
                <w:numId w:val="0"/>
              </w:numPr>
              <w:spacing w:before="156" w:beforeLines="50"/>
              <w:rPr>
                <w:rFonts w:hint="eastAsia"/>
                <w:lang w:val="en-US" w:eastAsia="zh-CN"/>
              </w:rPr>
            </w:pPr>
          </w:p>
          <w:p w14:paraId="3B1B1BCC">
            <w:pPr>
              <w:pStyle w:val="21"/>
              <w:numPr>
                <w:ilvl w:val="0"/>
                <w:numId w:val="0"/>
              </w:numPr>
              <w:spacing w:before="156" w:beforeLines="50"/>
              <w:rPr>
                <w:rFonts w:hint="eastAsia"/>
                <w:lang w:val="en-US" w:eastAsia="zh-CN"/>
              </w:rPr>
            </w:pPr>
            <w:r>
              <w:rPr>
                <w:rFonts w:hint="eastAsia"/>
                <w:lang w:val="en-US" w:eastAsia="zh-CN"/>
              </w:rPr>
              <w:t>4、公司海外锆钛矿业务进展如何？</w:t>
            </w:r>
          </w:p>
          <w:p w14:paraId="463F1045">
            <w:pPr>
              <w:pStyle w:val="21"/>
              <w:numPr>
                <w:ilvl w:val="0"/>
                <w:numId w:val="0"/>
              </w:numPr>
              <w:spacing w:before="156" w:beforeLines="50"/>
              <w:ind w:firstLine="420" w:firstLineChars="200"/>
              <w:rPr>
                <w:rFonts w:hint="eastAsia"/>
                <w:lang w:val="en-US" w:eastAsia="zh-CN"/>
              </w:rPr>
            </w:pPr>
            <w:r>
              <w:rPr>
                <w:rFonts w:hint="eastAsia"/>
                <w:lang w:val="en-US" w:eastAsia="zh-CN"/>
              </w:rPr>
              <w:t>答：公司位于坦桑尼亚的Fungoni项目一号生产线已于2024年年底正式投产，至2025年9月将形成10万吨重矿物/年的选矿能力；与此同时，公司正在推进坦桑尼亚Tajiri项目的建设工作及马达加斯加重矿砂项目的前期工作。</w:t>
            </w:r>
          </w:p>
          <w:p w14:paraId="7A836B22">
            <w:pPr>
              <w:pStyle w:val="21"/>
              <w:numPr>
                <w:ilvl w:val="0"/>
                <w:numId w:val="0"/>
              </w:numPr>
              <w:spacing w:before="156" w:beforeLines="50"/>
              <w:rPr>
                <w:rFonts w:hint="default"/>
                <w:lang w:val="en-US" w:eastAsia="zh-CN"/>
              </w:rPr>
            </w:pPr>
          </w:p>
          <w:p w14:paraId="7B98BEAA">
            <w:pPr>
              <w:pStyle w:val="21"/>
              <w:numPr>
                <w:ilvl w:val="0"/>
                <w:numId w:val="0"/>
              </w:numPr>
              <w:spacing w:before="156" w:beforeLines="50"/>
              <w:rPr>
                <w:rFonts w:hint="eastAsia"/>
                <w:lang w:val="en-US" w:eastAsia="zh-CN"/>
              </w:rPr>
            </w:pPr>
            <w:r>
              <w:rPr>
                <w:rFonts w:hint="eastAsia"/>
                <w:lang w:val="en-US" w:eastAsia="zh-CN"/>
              </w:rPr>
              <w:t>5、目前缅甸稀土矿进口情况如何？</w:t>
            </w:r>
          </w:p>
          <w:p w14:paraId="4FEC09D0">
            <w:pPr>
              <w:pStyle w:val="21"/>
              <w:numPr>
                <w:ilvl w:val="0"/>
                <w:numId w:val="0"/>
              </w:numPr>
              <w:spacing w:before="156" w:beforeLines="50"/>
              <w:ind w:firstLine="420" w:firstLineChars="200"/>
              <w:rPr>
                <w:rFonts w:hint="eastAsia"/>
              </w:rPr>
            </w:pPr>
            <w:r>
              <w:rPr>
                <w:rFonts w:hint="eastAsia"/>
                <w:lang w:val="en-US" w:eastAsia="zh-CN"/>
              </w:rPr>
              <w:t>答：缅甸矿</w:t>
            </w:r>
            <w:r>
              <w:rPr>
                <w:rFonts w:hint="eastAsia"/>
                <w:lang w:val="en-US" w:eastAsia="zh-CN"/>
              </w:rPr>
              <w:t>进口数量在很大程度受</w:t>
            </w:r>
            <w:r>
              <w:rPr>
                <w:rFonts w:hint="eastAsia"/>
                <w:lang w:val="en-US" w:eastAsia="zh-CN"/>
              </w:rPr>
              <w:t>到当地局势影响而呈现出波动特征，公司</w:t>
            </w:r>
            <w:r>
              <w:rPr>
                <w:rFonts w:hint="eastAsia"/>
                <w:lang w:val="en-US" w:eastAsia="zh-CN"/>
              </w:rPr>
              <w:t>将持续</w:t>
            </w:r>
            <w:r>
              <w:rPr>
                <w:rFonts w:hint="eastAsia"/>
                <w:lang w:val="en-US" w:eastAsia="zh-CN"/>
              </w:rPr>
              <w:t>保持对缅甸矿情况的关注。</w:t>
            </w:r>
          </w:p>
        </w:tc>
      </w:tr>
      <w:tr w14:paraId="63F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E908EEA">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4AC789B0">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5FC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9F4BB5B">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CC43FC5">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5年6月6日</w:t>
            </w:r>
          </w:p>
        </w:tc>
      </w:tr>
      <w:bookmarkEnd w:id="0"/>
    </w:tbl>
    <w:p w14:paraId="264E70DC">
      <w:pPr>
        <w:widowControl/>
        <w:jc w:val="left"/>
        <w:rPr>
          <w:rFonts w:hint="eastAsia" w:ascii="仿宋" w:hAnsi="仿宋" w:eastAsia="仿宋"/>
          <w:sz w:val="28"/>
          <w:szCs w:val="28"/>
        </w:rPr>
      </w:pPr>
    </w:p>
    <w:sectPr>
      <w:footerReference r:id="rId5" w:type="default"/>
      <w:footerReference r:id="rId6" w:type="even"/>
      <w:pgSz w:w="11906" w:h="16838"/>
      <w:pgMar w:top="1701" w:right="1797" w:bottom="1134" w:left="1797"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2BE8">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16671FD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8579">
    <w:pPr>
      <w:pStyle w:val="7"/>
      <w:framePr w:wrap="around" w:vAnchor="text" w:hAnchor="margin" w:xAlign="center" w:y="1"/>
      <w:rPr>
        <w:rStyle w:val="14"/>
      </w:rPr>
    </w:pPr>
    <w:r>
      <w:fldChar w:fldCharType="begin"/>
    </w:r>
    <w:r>
      <w:rPr>
        <w:rStyle w:val="14"/>
      </w:rPr>
      <w:instrText xml:space="preserve">PAGE  </w:instrText>
    </w:r>
    <w:r>
      <w:fldChar w:fldCharType="end"/>
    </w:r>
  </w:p>
  <w:p w14:paraId="7FA730D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13509"/>
    <w:rsid w:val="00036947"/>
    <w:rsid w:val="00040C60"/>
    <w:rsid w:val="000532C1"/>
    <w:rsid w:val="000550EB"/>
    <w:rsid w:val="0007285A"/>
    <w:rsid w:val="000731BB"/>
    <w:rsid w:val="00081574"/>
    <w:rsid w:val="000A4871"/>
    <w:rsid w:val="000A6FEC"/>
    <w:rsid w:val="000B37B1"/>
    <w:rsid w:val="000D7761"/>
    <w:rsid w:val="00126512"/>
    <w:rsid w:val="00176F31"/>
    <w:rsid w:val="00177EC3"/>
    <w:rsid w:val="00180568"/>
    <w:rsid w:val="001A04B5"/>
    <w:rsid w:val="001A09A4"/>
    <w:rsid w:val="001C1D99"/>
    <w:rsid w:val="001F4540"/>
    <w:rsid w:val="0023626F"/>
    <w:rsid w:val="00273F00"/>
    <w:rsid w:val="00295305"/>
    <w:rsid w:val="002B7B99"/>
    <w:rsid w:val="002E1978"/>
    <w:rsid w:val="0031359B"/>
    <w:rsid w:val="003635FB"/>
    <w:rsid w:val="003F075D"/>
    <w:rsid w:val="00431FFB"/>
    <w:rsid w:val="004C55DA"/>
    <w:rsid w:val="004D4ECC"/>
    <w:rsid w:val="004E149C"/>
    <w:rsid w:val="004E54E8"/>
    <w:rsid w:val="004E7079"/>
    <w:rsid w:val="004F5FC7"/>
    <w:rsid w:val="00562B87"/>
    <w:rsid w:val="00593A9B"/>
    <w:rsid w:val="005B097F"/>
    <w:rsid w:val="005C1E93"/>
    <w:rsid w:val="005F33F1"/>
    <w:rsid w:val="0060780A"/>
    <w:rsid w:val="00650410"/>
    <w:rsid w:val="00656C48"/>
    <w:rsid w:val="00676A4E"/>
    <w:rsid w:val="00681D44"/>
    <w:rsid w:val="006924FD"/>
    <w:rsid w:val="006F61C4"/>
    <w:rsid w:val="007549ED"/>
    <w:rsid w:val="0077568A"/>
    <w:rsid w:val="007A7D5B"/>
    <w:rsid w:val="007C2390"/>
    <w:rsid w:val="007C27E7"/>
    <w:rsid w:val="007C5823"/>
    <w:rsid w:val="007D4949"/>
    <w:rsid w:val="007E1E56"/>
    <w:rsid w:val="007E4551"/>
    <w:rsid w:val="007E7F4E"/>
    <w:rsid w:val="007F5049"/>
    <w:rsid w:val="00814133"/>
    <w:rsid w:val="008359E8"/>
    <w:rsid w:val="00871D04"/>
    <w:rsid w:val="0089239A"/>
    <w:rsid w:val="008C3B4A"/>
    <w:rsid w:val="008C44AA"/>
    <w:rsid w:val="008F346F"/>
    <w:rsid w:val="00905BC4"/>
    <w:rsid w:val="009456A9"/>
    <w:rsid w:val="009476E9"/>
    <w:rsid w:val="00953981"/>
    <w:rsid w:val="00992AD5"/>
    <w:rsid w:val="009B0861"/>
    <w:rsid w:val="009F4110"/>
    <w:rsid w:val="009F45A2"/>
    <w:rsid w:val="00A05D19"/>
    <w:rsid w:val="00A103B1"/>
    <w:rsid w:val="00A130E2"/>
    <w:rsid w:val="00A30EA4"/>
    <w:rsid w:val="00A540D5"/>
    <w:rsid w:val="00A83C36"/>
    <w:rsid w:val="00AA3A2F"/>
    <w:rsid w:val="00AB65AE"/>
    <w:rsid w:val="00AB65BA"/>
    <w:rsid w:val="00AC431B"/>
    <w:rsid w:val="00AE58F2"/>
    <w:rsid w:val="00AF6245"/>
    <w:rsid w:val="00B10F99"/>
    <w:rsid w:val="00B22C28"/>
    <w:rsid w:val="00B23358"/>
    <w:rsid w:val="00B34641"/>
    <w:rsid w:val="00B61496"/>
    <w:rsid w:val="00B61558"/>
    <w:rsid w:val="00B943F5"/>
    <w:rsid w:val="00BB0618"/>
    <w:rsid w:val="00BC283B"/>
    <w:rsid w:val="00C037C8"/>
    <w:rsid w:val="00C125C5"/>
    <w:rsid w:val="00C3495A"/>
    <w:rsid w:val="00C40C24"/>
    <w:rsid w:val="00C46918"/>
    <w:rsid w:val="00C655A8"/>
    <w:rsid w:val="00C73011"/>
    <w:rsid w:val="00C74CFE"/>
    <w:rsid w:val="00C8030F"/>
    <w:rsid w:val="00CC0983"/>
    <w:rsid w:val="00CE0A43"/>
    <w:rsid w:val="00CE6605"/>
    <w:rsid w:val="00D03E6A"/>
    <w:rsid w:val="00D15A3A"/>
    <w:rsid w:val="00D16C08"/>
    <w:rsid w:val="00D23B76"/>
    <w:rsid w:val="00D346BD"/>
    <w:rsid w:val="00D35C68"/>
    <w:rsid w:val="00D53AA6"/>
    <w:rsid w:val="00D5647D"/>
    <w:rsid w:val="00D70AE6"/>
    <w:rsid w:val="00D74D49"/>
    <w:rsid w:val="00DA7E5B"/>
    <w:rsid w:val="00DD13F6"/>
    <w:rsid w:val="00DE22B5"/>
    <w:rsid w:val="00E877F5"/>
    <w:rsid w:val="00E91845"/>
    <w:rsid w:val="00E92BDF"/>
    <w:rsid w:val="00EA062D"/>
    <w:rsid w:val="00F273B8"/>
    <w:rsid w:val="00F536E6"/>
    <w:rsid w:val="00F619A6"/>
    <w:rsid w:val="00F72C4E"/>
    <w:rsid w:val="00F836B2"/>
    <w:rsid w:val="00F958D0"/>
    <w:rsid w:val="00FA38A8"/>
    <w:rsid w:val="00FA7A09"/>
    <w:rsid w:val="00FB5270"/>
    <w:rsid w:val="00FE400F"/>
    <w:rsid w:val="035E62A9"/>
    <w:rsid w:val="0C1C4875"/>
    <w:rsid w:val="0ECB5A9B"/>
    <w:rsid w:val="1E38504E"/>
    <w:rsid w:val="222A111F"/>
    <w:rsid w:val="2C0B44D1"/>
    <w:rsid w:val="36C22E36"/>
    <w:rsid w:val="3A8638A8"/>
    <w:rsid w:val="3ED65E91"/>
    <w:rsid w:val="41C10393"/>
    <w:rsid w:val="4599357F"/>
    <w:rsid w:val="58535244"/>
    <w:rsid w:val="5CC34FC4"/>
    <w:rsid w:val="5D864CC7"/>
    <w:rsid w:val="60F224FB"/>
    <w:rsid w:val="645A6984"/>
    <w:rsid w:val="658E7179"/>
    <w:rsid w:val="65CD4095"/>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Company>
  <Pages>2</Pages>
  <Words>1303</Words>
  <Characters>1363</Characters>
  <Lines>36</Lines>
  <Paragraphs>34</Paragraphs>
  <TotalTime>144</TotalTime>
  <ScaleCrop>false</ScaleCrop>
  <LinksUpToDate>false</LinksUpToDate>
  <CharactersWithSpaces>1492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2025-06-06T07:39:00Z</dcterms:created>
  <dc:creator>Li</dc:creator>
  <cp:lastModifiedBy>HuaWei</cp:lastModifiedBy>
  <cp:lastPrinted>2010-08-04T06:50:00Z</cp:lastPrinted>
  <dcterms:modified xsi:type="dcterms:W3CDTF">2025-06-06T12:00:30Z</dcterms:modified>
  <dc:title>四川省上市公司协会文件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63367BE6B5D84B60BA719523D9CBAB0E_13</vt:lpwstr>
  </property>
  <property fmtid="{D5CDD505-2E9C-101B-9397-08002B2CF9AE}" pid="4" name="KSOTemplateDocerSaveRecord">
    <vt:lpwstr>eyJoZGlkIjoiMzEwNTM5NzYwMDRjMzkwZTVkZjY2ODkwMGIxNGU0OTUifQ==</vt:lpwstr>
  </property>
</Properties>
</file>