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696F">
      <w:pPr>
        <w:spacing w:before="156" w:beforeLines="50" w:after="156" w:afterLines="50" w:line="400" w:lineRule="exact"/>
        <w:rPr>
          <w:rFonts w:hint="eastAsia" w:asciiTheme="minorEastAsia" w:hAnsiTheme="minorEastAsia" w:eastAsiaTheme="minorEastAsia"/>
          <w:bCs/>
          <w:iCs/>
          <w:sz w:val="24"/>
        </w:rPr>
      </w:pPr>
      <w:r>
        <w:rPr>
          <w:rFonts w:hint="eastAsia" w:asciiTheme="minorEastAsia" w:hAnsiTheme="minorEastAsia" w:eastAsiaTheme="minorEastAsia"/>
          <w:bCs/>
          <w:iCs/>
          <w:sz w:val="24"/>
        </w:rPr>
        <w:t>证券代码：</w:t>
      </w:r>
      <w:r>
        <w:rPr>
          <w:rFonts w:cs="宋体" w:asciiTheme="minorEastAsia" w:hAnsiTheme="minorEastAsia" w:eastAsiaTheme="minorEastAsia"/>
          <w:sz w:val="24"/>
        </w:rPr>
        <w:t>603700</w:t>
      </w:r>
      <w:r>
        <w:rPr>
          <w:rFonts w:hint="eastAsia" w:asciiTheme="minorEastAsia" w:hAnsiTheme="minorEastAsia" w:eastAsiaTheme="minorEastAsia"/>
          <w:bCs/>
          <w:iCs/>
          <w:sz w:val="24"/>
        </w:rPr>
        <w:t xml:space="preserve">                                   证券简称：</w:t>
      </w:r>
      <w:r>
        <w:rPr>
          <w:rFonts w:hint="eastAsia" w:cs="宋体" w:asciiTheme="minorEastAsia" w:hAnsiTheme="minorEastAsia" w:eastAsiaTheme="minorEastAsia"/>
          <w:sz w:val="24"/>
        </w:rPr>
        <w:t>宁水集团</w:t>
      </w:r>
    </w:p>
    <w:p w14:paraId="5E27B1B9">
      <w:pPr>
        <w:spacing w:before="156" w:beforeLines="50" w:after="156" w:afterLines="50" w:line="400" w:lineRule="exact"/>
        <w:jc w:val="center"/>
        <w:rPr>
          <w:rFonts w:hint="eastAsia" w:cs="宋体" w:asciiTheme="minorEastAsia" w:hAnsiTheme="minorEastAsia" w:eastAsiaTheme="minorEastAsia"/>
          <w:b/>
          <w:sz w:val="32"/>
        </w:rPr>
      </w:pPr>
      <w:r>
        <w:rPr>
          <w:rFonts w:cs="宋体" w:asciiTheme="minorEastAsia" w:hAnsiTheme="minorEastAsia" w:eastAsiaTheme="minorEastAsia"/>
          <w:b/>
          <w:sz w:val="32"/>
        </w:rPr>
        <w:t>宁波水表</w:t>
      </w:r>
      <w:r>
        <w:rPr>
          <w:rFonts w:hint="eastAsia" w:cs="宋体" w:asciiTheme="minorEastAsia" w:hAnsiTheme="minorEastAsia" w:eastAsiaTheme="minorEastAsia"/>
          <w:b/>
          <w:sz w:val="32"/>
        </w:rPr>
        <w:t>（集团）股份有限公司</w:t>
      </w:r>
    </w:p>
    <w:p w14:paraId="33D9DD5A">
      <w:pPr>
        <w:spacing w:before="156" w:beforeLines="50" w:after="156" w:afterLines="50" w:line="400" w:lineRule="exact"/>
        <w:jc w:val="center"/>
        <w:rPr>
          <w:rFonts w:hint="eastAsia" w:asciiTheme="minorEastAsia" w:hAnsiTheme="minorEastAsia" w:eastAsiaTheme="minorEastAsia"/>
          <w:b/>
          <w:bCs/>
          <w:iCs/>
          <w:sz w:val="30"/>
          <w:szCs w:val="30"/>
        </w:rPr>
      </w:pPr>
      <w:r>
        <w:rPr>
          <w:rFonts w:hint="eastAsia" w:asciiTheme="minorEastAsia" w:hAnsiTheme="minorEastAsia" w:eastAsiaTheme="minorEastAsia"/>
          <w:b/>
          <w:bCs/>
          <w:iCs/>
          <w:sz w:val="30"/>
          <w:szCs w:val="30"/>
        </w:rPr>
        <w:t>投资者关系活动记录表</w:t>
      </w:r>
    </w:p>
    <w:p w14:paraId="480D82B0">
      <w:pPr>
        <w:spacing w:line="400" w:lineRule="exact"/>
        <w:rPr>
          <w:rFonts w:hint="eastAsia" w:asciiTheme="minorEastAsia" w:hAnsiTheme="minorEastAsia" w:eastAsiaTheme="minorEastAsia"/>
          <w:bCs/>
          <w:iCs/>
          <w:sz w:val="24"/>
          <w:lang w:val="en-US" w:eastAsia="zh-CN"/>
        </w:rPr>
      </w:pPr>
      <w:r>
        <w:rPr>
          <w:rFonts w:hint="eastAsia" w:asciiTheme="minorEastAsia" w:hAnsiTheme="minorEastAsia" w:eastAsiaTheme="minorEastAsia"/>
          <w:bCs/>
          <w:iCs/>
          <w:sz w:val="24"/>
        </w:rPr>
        <w:t xml:space="preserve">                                                  编号：202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-00</w:t>
      </w:r>
      <w:r>
        <w:rPr>
          <w:rFonts w:hint="eastAsia" w:asciiTheme="minorEastAsia" w:hAnsiTheme="minorEastAsia" w:eastAsiaTheme="minorEastAsia"/>
          <w:bCs/>
          <w:iCs/>
          <w:sz w:val="24"/>
          <w:lang w:val="en-US" w:eastAsia="zh-CN"/>
        </w:rPr>
        <w:t>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4A3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95B6E3B">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53A0B489">
            <w:pPr>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lang w:eastAsia="zh-CN"/>
              </w:rPr>
              <w:t>☑</w:t>
            </w:r>
            <w:r>
              <w:rPr>
                <w:rFonts w:hint="eastAsia" w:asciiTheme="minorEastAsia" w:hAnsiTheme="minorEastAsia" w:eastAsiaTheme="minorEastAsia"/>
                <w:sz w:val="24"/>
              </w:rPr>
              <w:t xml:space="preserve">特定对象调研        </w:t>
            </w:r>
            <w:r>
              <w:rPr>
                <w:rFonts w:cs="宋体" w:asciiTheme="minorEastAsia" w:hAnsiTheme="minorEastAsia" w:eastAsiaTheme="minorEastAsia"/>
                <w:sz w:val="24"/>
              </w:rPr>
              <w:t>□</w:t>
            </w:r>
            <w:r>
              <w:rPr>
                <w:rFonts w:hint="eastAsia" w:asciiTheme="minorEastAsia" w:hAnsiTheme="minorEastAsia" w:eastAsiaTheme="minorEastAsia"/>
                <w:sz w:val="24"/>
              </w:rPr>
              <w:t>分析师会议</w:t>
            </w:r>
          </w:p>
          <w:p w14:paraId="573AC336">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lang w:val="en-US"/>
              </w:rPr>
              <w:t>□</w:t>
            </w:r>
            <w:r>
              <w:rPr>
                <w:rFonts w:hint="eastAsia" w:asciiTheme="minorEastAsia" w:hAnsiTheme="minorEastAsia" w:eastAsiaTheme="minorEastAsia"/>
                <w:sz w:val="24"/>
              </w:rPr>
              <w:t xml:space="preserve">媒体采访            </w:t>
            </w:r>
            <w:r>
              <w:rPr>
                <w:rFonts w:cs="宋体" w:asciiTheme="minorEastAsia" w:hAnsiTheme="minorEastAsia" w:eastAsiaTheme="minorEastAsia"/>
                <w:sz w:val="24"/>
              </w:rPr>
              <w:sym w:font="Wingdings 2" w:char="00A3"/>
            </w:r>
            <w:r>
              <w:rPr>
                <w:rFonts w:hint="eastAsia" w:asciiTheme="minorEastAsia" w:hAnsiTheme="minorEastAsia" w:eastAsiaTheme="minorEastAsia"/>
                <w:sz w:val="24"/>
              </w:rPr>
              <w:t>业绩说明会</w:t>
            </w:r>
          </w:p>
          <w:p w14:paraId="045FC77C">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新闻发布会          </w:t>
            </w:r>
            <w:r>
              <w:rPr>
                <w:rFonts w:cs="宋体" w:asciiTheme="minorEastAsia" w:hAnsiTheme="minorEastAsia" w:eastAsiaTheme="minorEastAsia"/>
                <w:sz w:val="24"/>
              </w:rPr>
              <w:t>□</w:t>
            </w:r>
            <w:r>
              <w:rPr>
                <w:rFonts w:hint="eastAsia" w:asciiTheme="minorEastAsia" w:hAnsiTheme="minorEastAsia" w:eastAsiaTheme="minorEastAsia"/>
                <w:sz w:val="24"/>
              </w:rPr>
              <w:t>路演活动</w:t>
            </w:r>
          </w:p>
          <w:p w14:paraId="6974A3DB">
            <w:pPr>
              <w:tabs>
                <w:tab w:val="left" w:pos="3045"/>
                <w:tab w:val="center" w:pos="3199"/>
              </w:tabs>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lang w:eastAsia="zh-CN"/>
              </w:rPr>
              <w:t>□</w:t>
            </w:r>
            <w:r>
              <w:rPr>
                <w:rFonts w:hint="eastAsia" w:asciiTheme="minorEastAsia" w:hAnsiTheme="minorEastAsia" w:eastAsiaTheme="minorEastAsia"/>
                <w:sz w:val="24"/>
              </w:rPr>
              <w:t xml:space="preserve">现场参观            </w:t>
            </w:r>
            <w:r>
              <w:rPr>
                <w:rFonts w:cs="宋体" w:asciiTheme="minorEastAsia" w:hAnsiTheme="minorEastAsia" w:eastAsiaTheme="minorEastAsia"/>
                <w:sz w:val="24"/>
              </w:rPr>
              <w:t>□</w:t>
            </w:r>
            <w:r>
              <w:rPr>
                <w:rFonts w:hint="eastAsia" w:asciiTheme="minorEastAsia" w:hAnsiTheme="minorEastAsia" w:eastAsiaTheme="minorEastAsia"/>
                <w:sz w:val="24"/>
              </w:rPr>
              <w:t>电话通讯</w:t>
            </w:r>
          </w:p>
          <w:p w14:paraId="3ABEF129">
            <w:pPr>
              <w:tabs>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其他 </w:t>
            </w:r>
            <w:r>
              <w:rPr>
                <w:rFonts w:cs="宋体" w:asciiTheme="minorEastAsia" w:hAnsiTheme="minorEastAsia" w:eastAsiaTheme="minorEastAsia"/>
                <w:sz w:val="24"/>
              </w:rPr>
              <w:t>（请文字说明其他活动内容）</w:t>
            </w:r>
          </w:p>
        </w:tc>
      </w:tr>
      <w:tr w14:paraId="0CC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3196C">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08930F8B">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20</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6</w:t>
            </w:r>
            <w:r>
              <w:rPr>
                <w:rFonts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13</w:t>
            </w:r>
            <w:r>
              <w:rPr>
                <w:rFonts w:cs="宋体" w:asciiTheme="minorEastAsia" w:hAnsiTheme="minorEastAsia" w:eastAsiaTheme="minorEastAsia"/>
                <w:sz w:val="24"/>
              </w:rPr>
              <w:t>日</w:t>
            </w:r>
            <w:r>
              <w:rPr>
                <w:rFonts w:hint="eastAsia" w:cs="宋体" w:asciiTheme="minorEastAsia" w:hAnsiTheme="minorEastAsia" w:eastAsiaTheme="minorEastAsia"/>
                <w:sz w:val="24"/>
              </w:rPr>
              <w:t xml:space="preserve">  1</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30</w:t>
            </w:r>
            <w:r>
              <w:rPr>
                <w:rFonts w:hint="eastAsia" w:cs="宋体" w:asciiTheme="minorEastAsia" w:hAnsiTheme="minorEastAsia" w:eastAsiaTheme="minorEastAsia"/>
                <w:sz w:val="24"/>
              </w:rPr>
              <w:t>至</w:t>
            </w:r>
            <w:r>
              <w:rPr>
                <w:rFonts w:cs="宋体" w:asciiTheme="minorEastAsia" w:hAnsiTheme="minorEastAsia" w:eastAsiaTheme="minorEastAsia"/>
                <w:sz w:val="24"/>
              </w:rPr>
              <w:t>1</w:t>
            </w:r>
            <w:r>
              <w:rPr>
                <w:rFonts w:hint="eastAsia" w:cs="宋体" w:asciiTheme="minorEastAsia" w:hAnsiTheme="minorEastAsia" w:eastAsiaTheme="minorEastAsia"/>
                <w:sz w:val="24"/>
                <w:lang w:val="en-US" w:eastAsia="zh-CN"/>
              </w:rPr>
              <w:t>6</w:t>
            </w:r>
            <w:r>
              <w:rPr>
                <w:rFonts w:cs="宋体" w:asciiTheme="minorEastAsia" w:hAnsiTheme="minorEastAsia" w:eastAsiaTheme="minorEastAsia"/>
                <w:sz w:val="24"/>
              </w:rPr>
              <w:t>:</w:t>
            </w:r>
            <w:r>
              <w:rPr>
                <w:rFonts w:hint="eastAsia" w:cs="宋体" w:asciiTheme="minorEastAsia" w:hAnsiTheme="minorEastAsia" w:eastAsiaTheme="minorEastAsia"/>
                <w:sz w:val="24"/>
                <w:lang w:val="en-US" w:eastAsia="zh-CN"/>
              </w:rPr>
              <w:t>3</w:t>
            </w:r>
            <w:r>
              <w:rPr>
                <w:rFonts w:cs="宋体" w:asciiTheme="minorEastAsia" w:hAnsiTheme="minorEastAsia" w:eastAsiaTheme="minorEastAsia"/>
                <w:sz w:val="24"/>
              </w:rPr>
              <w:t>0</w:t>
            </w:r>
          </w:p>
        </w:tc>
      </w:tr>
      <w:tr w14:paraId="5F8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C5BF200">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1E5FE2A3">
            <w:pPr>
              <w:spacing w:line="480" w:lineRule="atLeast"/>
              <w:rPr>
                <w:rFonts w:hint="default" w:asciiTheme="minorEastAsia" w:hAnsiTheme="minorEastAsia" w:eastAsiaTheme="minorEastAsia"/>
                <w:bCs/>
                <w:iCs/>
                <w:sz w:val="24"/>
                <w:lang w:val="en-US" w:eastAsia="zh-CN"/>
              </w:rPr>
            </w:pPr>
            <w:r>
              <w:rPr>
                <w:rFonts w:hint="eastAsia" w:asciiTheme="minorEastAsia" w:hAnsiTheme="minorEastAsia" w:eastAsiaTheme="minorEastAsia"/>
                <w:bCs/>
                <w:iCs/>
                <w:sz w:val="24"/>
                <w:lang w:val="en-US" w:eastAsia="zh-CN"/>
              </w:rPr>
              <w:t>公司会议室</w:t>
            </w:r>
          </w:p>
        </w:tc>
      </w:tr>
      <w:tr w14:paraId="7BB4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6FB4F1EF">
            <w:pPr>
              <w:spacing w:line="480" w:lineRule="atLeast"/>
              <w:jc w:val="center"/>
              <w:rPr>
                <w:rFonts w:hint="default" w:cs="Times New Roman" w:asciiTheme="minorEastAsia" w:hAnsiTheme="minorEastAsia" w:eastAsiaTheme="minorEastAsia"/>
                <w:b/>
                <w:bCs/>
                <w:iCs/>
                <w:kern w:val="2"/>
                <w:sz w:val="24"/>
                <w:szCs w:val="24"/>
                <w:lang w:val="en-US" w:eastAsia="zh-CN" w:bidi="ar-SA"/>
              </w:rPr>
            </w:pPr>
            <w:r>
              <w:rPr>
                <w:rFonts w:hint="eastAsia" w:cs="Times New Roman" w:asciiTheme="minorEastAsia" w:hAnsiTheme="minorEastAsia" w:eastAsiaTheme="minorEastAsia"/>
                <w:b/>
                <w:bCs/>
                <w:iCs/>
                <w:kern w:val="2"/>
                <w:sz w:val="24"/>
                <w:szCs w:val="24"/>
                <w:lang w:val="en-US" w:eastAsia="zh-CN" w:bidi="ar-SA"/>
              </w:rPr>
              <w:t>参与单位名称</w:t>
            </w:r>
          </w:p>
        </w:tc>
        <w:tc>
          <w:tcPr>
            <w:tcW w:w="6588" w:type="dxa"/>
            <w:tcBorders>
              <w:top w:val="single" w:color="auto" w:sz="4" w:space="0"/>
              <w:left w:val="single" w:color="auto" w:sz="4" w:space="0"/>
              <w:bottom w:val="single" w:color="auto" w:sz="4" w:space="0"/>
              <w:right w:val="single" w:color="auto" w:sz="4" w:space="0"/>
            </w:tcBorders>
            <w:shd w:val="clear" w:color="auto" w:fill="auto"/>
            <w:vAlign w:val="center"/>
          </w:tcPr>
          <w:p w14:paraId="06CD1B23">
            <w:pPr>
              <w:spacing w:line="480" w:lineRule="atLeast"/>
              <w:jc w:val="left"/>
              <w:rPr>
                <w:rFonts w:hint="eastAsia" w:cs="Times New Roman" w:asciiTheme="minorEastAsia" w:hAnsiTheme="minorEastAsia" w:eastAsiaTheme="minorEastAsia"/>
                <w:bCs/>
                <w:iCs/>
                <w:kern w:val="2"/>
                <w:sz w:val="24"/>
                <w:szCs w:val="24"/>
                <w:lang w:val="en-US" w:eastAsia="zh-CN" w:bidi="ar-SA"/>
              </w:rPr>
            </w:pPr>
            <w:r>
              <w:rPr>
                <w:rFonts w:hint="eastAsia" w:cs="Times New Roman" w:asciiTheme="minorEastAsia" w:hAnsiTheme="minorEastAsia" w:eastAsiaTheme="minorEastAsia"/>
                <w:bCs/>
                <w:iCs/>
                <w:kern w:val="2"/>
                <w:sz w:val="24"/>
                <w:szCs w:val="24"/>
                <w:lang w:val="en-US" w:eastAsia="zh-CN" w:bidi="ar-SA"/>
              </w:rPr>
              <w:t>上市行、重鼎资产、澜胜基金、天瑞万合、东弘资本、财联社、卓戴资本、东方证券、广东喜百年、古曲投资、天季资本</w:t>
            </w:r>
          </w:p>
        </w:tc>
      </w:tr>
      <w:tr w14:paraId="4C6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15CC7D">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7D5ADE99">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lang w:val="en-US" w:eastAsia="zh-CN"/>
              </w:rPr>
              <w:t>董事会秘书、副总经理</w:t>
            </w:r>
            <w:r>
              <w:rPr>
                <w:rFonts w:hint="eastAsia" w:asciiTheme="minorEastAsia" w:hAnsiTheme="minorEastAsia" w:eastAsiaTheme="minorEastAsia"/>
                <w:bCs/>
                <w:iCs/>
                <w:sz w:val="24"/>
              </w:rPr>
              <w:t xml:space="preserve"> </w:t>
            </w:r>
            <w:r>
              <w:rPr>
                <w:rFonts w:hint="eastAsia" w:asciiTheme="minorEastAsia" w:hAnsiTheme="minorEastAsia" w:eastAsiaTheme="minorEastAsia"/>
                <w:bCs/>
                <w:iCs/>
                <w:sz w:val="24"/>
                <w:lang w:val="en-US" w:eastAsia="zh-CN"/>
              </w:rPr>
              <w:t>马溯嵘先生</w:t>
            </w:r>
            <w:r>
              <w:rPr>
                <w:rFonts w:hint="eastAsia" w:asciiTheme="minorEastAsia" w:hAnsiTheme="minorEastAsia" w:eastAsiaTheme="minorEastAsia"/>
                <w:bCs/>
                <w:iCs/>
                <w:sz w:val="24"/>
              </w:rPr>
              <w:t xml:space="preserve">  </w:t>
            </w:r>
          </w:p>
          <w:p w14:paraId="2D81174A">
            <w:pPr>
              <w:spacing w:line="480" w:lineRule="atLeast"/>
              <w:rPr>
                <w:rFonts w:hint="default" w:asciiTheme="minorEastAsia" w:hAnsiTheme="minorEastAsia" w:eastAsiaTheme="minorEastAsia"/>
                <w:bCs/>
                <w:iCs/>
                <w:sz w:val="24"/>
                <w:lang w:val="en-US" w:eastAsia="zh-CN"/>
              </w:rPr>
            </w:pPr>
            <w:r>
              <w:rPr>
                <w:rFonts w:hint="eastAsia" w:asciiTheme="minorEastAsia" w:hAnsiTheme="minorEastAsia" w:eastAsiaTheme="minorEastAsia"/>
                <w:bCs/>
                <w:iCs/>
                <w:sz w:val="24"/>
                <w:lang w:val="en-US" w:eastAsia="zh-CN"/>
              </w:rPr>
              <w:t>证券事务代表</w:t>
            </w:r>
            <w:r>
              <w:rPr>
                <w:rFonts w:hint="eastAsia" w:asciiTheme="minorEastAsia" w:hAnsiTheme="minorEastAsia" w:eastAsiaTheme="minorEastAsia"/>
                <w:bCs/>
                <w:iCs/>
                <w:sz w:val="24"/>
              </w:rPr>
              <w:t xml:space="preserve"> </w:t>
            </w:r>
            <w:r>
              <w:rPr>
                <w:rFonts w:hint="eastAsia" w:asciiTheme="minorEastAsia" w:hAnsiTheme="minorEastAsia" w:eastAsiaTheme="minorEastAsia"/>
                <w:bCs/>
                <w:iCs/>
                <w:sz w:val="24"/>
                <w:lang w:val="en-US" w:eastAsia="zh-CN"/>
              </w:rPr>
              <w:t>张晗璐女士</w:t>
            </w:r>
          </w:p>
        </w:tc>
      </w:tr>
      <w:tr w14:paraId="58E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01BDD8A">
            <w:pPr>
              <w:spacing w:line="360" w:lineRule="auto"/>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2E9D7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sz w:val="24"/>
                <w:lang w:eastAsia="zh-CN"/>
              </w:rPr>
            </w:pPr>
            <w:r>
              <w:rPr>
                <w:rFonts w:hint="eastAsia" w:ascii="宋体" w:hAnsi="宋体" w:eastAsia="宋体" w:cs="宋体"/>
                <w:b/>
                <w:bCs w:val="0"/>
                <w:kern w:val="2"/>
                <w:sz w:val="24"/>
                <w:szCs w:val="24"/>
                <w:lang w:val="en-US" w:eastAsia="zh-CN" w:bidi="ar-SA"/>
              </w:rPr>
              <w:t>1、</w:t>
            </w:r>
            <w:r>
              <w:rPr>
                <w:rFonts w:hint="eastAsia" w:ascii="宋体" w:hAnsi="宋体" w:cs="宋体"/>
                <w:b/>
                <w:bCs w:val="0"/>
                <w:sz w:val="24"/>
                <w:lang w:eastAsia="zh-CN"/>
              </w:rPr>
              <w:t>公司近年来在传统水计量业务基础上，新增了智慧水务解决方案等相关业务内容，这种拓展升级主要是</w:t>
            </w:r>
            <w:r>
              <w:rPr>
                <w:rFonts w:hint="eastAsia" w:ascii="宋体" w:hAnsi="宋体" w:cs="宋体"/>
                <w:b/>
                <w:bCs w:val="0"/>
                <w:sz w:val="24"/>
                <w:lang w:val="en-US" w:eastAsia="zh-CN"/>
              </w:rPr>
              <w:t>出于什么样的考虑</w:t>
            </w:r>
            <w:r>
              <w:rPr>
                <w:rFonts w:hint="eastAsia" w:ascii="宋体" w:hAnsi="宋体" w:cs="宋体"/>
                <w:b/>
                <w:bCs w:val="0"/>
                <w:sz w:val="24"/>
                <w:lang w:eastAsia="zh-CN"/>
              </w:rPr>
              <w:t>？</w:t>
            </w:r>
          </w:p>
          <w:p w14:paraId="157A0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sz w:val="24"/>
                <w:lang w:val="en-US" w:eastAsia="zh-CN"/>
              </w:rPr>
            </w:pPr>
            <w:r>
              <w:rPr>
                <w:rFonts w:hint="eastAsia" w:ascii="宋体" w:hAnsi="宋体" w:cs="宋体"/>
                <w:b w:val="0"/>
                <w:bCs/>
                <w:sz w:val="24"/>
                <w:lang w:eastAsia="zh-CN"/>
              </w:rPr>
              <w:t>作为水计量领域的领军企业，公司始终以深耕表计市场、持续做强主业为核心目标。但同时，为持续提升</w:t>
            </w:r>
            <w:r>
              <w:rPr>
                <w:rFonts w:hint="eastAsia" w:ascii="宋体" w:hAnsi="宋体" w:cs="宋体"/>
                <w:b w:val="0"/>
                <w:bCs/>
                <w:sz w:val="24"/>
                <w:lang w:val="en-US" w:eastAsia="zh-CN"/>
              </w:rPr>
              <w:t>公司</w:t>
            </w:r>
            <w:r>
              <w:rPr>
                <w:rFonts w:hint="eastAsia" w:ascii="宋体" w:hAnsi="宋体" w:cs="宋体"/>
                <w:b w:val="0"/>
                <w:bCs/>
                <w:sz w:val="24"/>
                <w:lang w:eastAsia="zh-CN"/>
              </w:rPr>
              <w:t>水务领域市占率，</w:t>
            </w:r>
            <w:r>
              <w:rPr>
                <w:rFonts w:hint="eastAsia" w:ascii="宋体" w:hAnsi="宋体" w:cs="宋体"/>
                <w:b w:val="0"/>
                <w:bCs/>
                <w:sz w:val="24"/>
                <w:lang w:val="en-US" w:eastAsia="zh-CN"/>
              </w:rPr>
              <w:t>也需</w:t>
            </w:r>
            <w:r>
              <w:rPr>
                <w:rFonts w:hint="eastAsia" w:ascii="宋体" w:hAnsi="宋体" w:cs="宋体"/>
                <w:b w:val="0"/>
                <w:bCs/>
                <w:sz w:val="24"/>
                <w:lang w:eastAsia="zh-CN"/>
              </w:rPr>
              <w:t>突破单一业务边界，积极</w:t>
            </w:r>
            <w:r>
              <w:rPr>
                <w:rFonts w:hint="eastAsia" w:ascii="宋体" w:hAnsi="宋体" w:cs="宋体"/>
                <w:b w:val="0"/>
                <w:bCs/>
                <w:sz w:val="24"/>
                <w:lang w:val="en-US" w:eastAsia="zh-CN"/>
              </w:rPr>
              <w:t>开拓</w:t>
            </w:r>
            <w:r>
              <w:rPr>
                <w:rFonts w:hint="eastAsia" w:ascii="宋体" w:hAnsi="宋体" w:cs="宋体"/>
                <w:b w:val="0"/>
                <w:bCs/>
                <w:sz w:val="24"/>
                <w:lang w:eastAsia="zh-CN"/>
              </w:rPr>
              <w:t>第二增长曲线、发展新业务以创造更多</w:t>
            </w:r>
            <w:r>
              <w:rPr>
                <w:rFonts w:hint="eastAsia" w:ascii="宋体" w:hAnsi="宋体" w:cs="宋体"/>
                <w:b w:val="0"/>
                <w:bCs/>
                <w:sz w:val="24"/>
                <w:lang w:val="en-US" w:eastAsia="zh-CN"/>
              </w:rPr>
              <w:t>业绩</w:t>
            </w:r>
            <w:r>
              <w:rPr>
                <w:rFonts w:hint="eastAsia" w:ascii="宋体" w:hAnsi="宋体" w:cs="宋体"/>
                <w:b w:val="0"/>
                <w:bCs/>
                <w:sz w:val="24"/>
                <w:lang w:eastAsia="zh-CN"/>
              </w:rPr>
              <w:t>增长点。</w:t>
            </w:r>
            <w:r>
              <w:rPr>
                <w:rFonts w:hint="eastAsia" w:ascii="宋体" w:hAnsi="宋体" w:cs="宋体"/>
                <w:b w:val="0"/>
                <w:bCs/>
                <w:sz w:val="24"/>
                <w:lang w:val="en-US" w:eastAsia="zh-CN"/>
              </w:rPr>
              <w:t>在此基础上，选择发展智慧水务主要是源于多年行业经验以及对客户需求的深刻洞察。除水计量需求外，当前水务企业在漏损管控、节水管理、高品质供水等领域存在大量需求，而市场现有产品及服务的供给不足，相关市场存在较大发展空间。近年来公司加速向水务数字化服务型企业转型，构建了“智能感知+数据驱动+工程闭环”的智慧水务生态体系，形成覆盖供水管网全生命周期的数字化服务闭环。智能感知层面，持续升级噪声传感器、水听器等智能传感器产品，形成覆盖水质、压力、流量的多维度感知体系。数据驱动层面，依托新一代宁水智云水务运营管理平台，整合水厂生产、管网运维和营销服务数据，助力水务企业实现可视化、数字化和精细化管理，并为其提供有力决策支持。工程服务层面，则围绕城市供排水和集中供热管网提供检测、评估及非开挖修复更新等一站式专业解决方案。公司通过将智能感知硬件终端与数据系统平台相结合，拥有为客户提供智慧水务全链条闭环解决方案的能力。</w:t>
            </w:r>
          </w:p>
          <w:p w14:paraId="33D59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sz w:val="24"/>
                <w:lang w:val="en-US" w:eastAsia="zh-CN"/>
              </w:rPr>
            </w:pPr>
            <w:r>
              <w:rPr>
                <w:rFonts w:hint="eastAsia" w:ascii="宋体" w:hAnsi="宋体" w:eastAsia="宋体" w:cs="宋体"/>
                <w:b/>
                <w:bCs w:val="0"/>
                <w:kern w:val="2"/>
                <w:sz w:val="24"/>
                <w:szCs w:val="24"/>
                <w:lang w:val="en-US" w:eastAsia="zh-CN" w:bidi="ar-SA"/>
              </w:rPr>
              <w:t>2、</w:t>
            </w:r>
            <w:r>
              <w:rPr>
                <w:rFonts w:hint="eastAsia" w:ascii="宋体" w:hAnsi="宋体" w:cs="宋体"/>
                <w:b/>
                <w:bCs w:val="0"/>
                <w:sz w:val="24"/>
                <w:lang w:eastAsia="zh-CN"/>
              </w:rPr>
              <w:t>公司</w:t>
            </w:r>
            <w:r>
              <w:rPr>
                <w:rFonts w:hint="eastAsia" w:ascii="宋体" w:hAnsi="宋体" w:cs="宋体"/>
                <w:b/>
                <w:bCs w:val="0"/>
                <w:sz w:val="24"/>
                <w:lang w:val="en-US" w:eastAsia="zh-CN"/>
              </w:rPr>
              <w:t>海外业务占比是多少？业务是如何开展的？产品结构主要是以什么为主？</w:t>
            </w:r>
          </w:p>
          <w:p w14:paraId="09764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eastAsia="zh-CN"/>
              </w:rPr>
              <w:t>公司深耕全球市场，长期以来产品出口八十多个国家和地区，</w:t>
            </w:r>
            <w:r>
              <w:rPr>
                <w:rFonts w:hint="eastAsia" w:ascii="宋体" w:hAnsi="宋体" w:cs="宋体"/>
                <w:b w:val="0"/>
                <w:bCs/>
                <w:sz w:val="24"/>
                <w:lang w:val="en-US" w:eastAsia="zh-CN"/>
              </w:rPr>
              <w:t>2024年海外业务营收约2.81亿元，占公司总营收的比例为18.72%。海外业务拓展主要依托经销渠道，合作经销商中不乏合作超过10年的伙伴，渠道稳定性较强。外销产品结构上，目前以机械表为主，但在部分地区如澳洲、部分东南亚国家等智能表业务也取得了一定突破。</w:t>
            </w:r>
          </w:p>
          <w:p w14:paraId="4B7DB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sz w:val="24"/>
                <w:lang w:val="en-US" w:eastAsia="zh-CN"/>
              </w:rPr>
            </w:pPr>
            <w:r>
              <w:rPr>
                <w:rFonts w:hint="default" w:ascii="宋体" w:hAnsi="宋体" w:eastAsia="宋体" w:cs="宋体"/>
                <w:b/>
                <w:bCs w:val="0"/>
                <w:kern w:val="2"/>
                <w:sz w:val="24"/>
                <w:szCs w:val="24"/>
                <w:lang w:val="en-US" w:eastAsia="zh-CN" w:bidi="ar-SA"/>
              </w:rPr>
              <w:t>3、</w:t>
            </w:r>
            <w:r>
              <w:rPr>
                <w:rFonts w:hint="eastAsia" w:ascii="宋体" w:hAnsi="宋体" w:cs="宋体"/>
                <w:b/>
                <w:bCs w:val="0"/>
                <w:kern w:val="2"/>
                <w:sz w:val="24"/>
                <w:szCs w:val="24"/>
                <w:lang w:val="en-US" w:eastAsia="zh-CN" w:bidi="ar-SA"/>
              </w:rPr>
              <w:t>公司</w:t>
            </w:r>
            <w:r>
              <w:rPr>
                <w:rFonts w:hint="eastAsia" w:ascii="宋体" w:hAnsi="宋体" w:cs="宋体"/>
                <w:b/>
                <w:bCs w:val="0"/>
                <w:sz w:val="24"/>
                <w:lang w:val="en-US" w:eastAsia="zh-CN"/>
              </w:rPr>
              <w:t>在美国业务的占比有多少，关税政策对公司影响大吗？</w:t>
            </w:r>
          </w:p>
          <w:p w14:paraId="23DAE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eastAsia="zh-CN"/>
              </w:rPr>
            </w:pPr>
            <w:r>
              <w:rPr>
                <w:rFonts w:hint="eastAsia" w:ascii="宋体" w:hAnsi="宋体" w:cs="宋体"/>
                <w:b w:val="0"/>
                <w:bCs/>
                <w:sz w:val="24"/>
                <w:lang w:eastAsia="zh-CN"/>
              </w:rPr>
              <w:t>现阶段</w:t>
            </w:r>
            <w:r>
              <w:rPr>
                <w:rFonts w:hint="eastAsia" w:ascii="宋体" w:hAnsi="宋体" w:cs="宋体"/>
                <w:b w:val="0"/>
                <w:bCs/>
                <w:sz w:val="24"/>
                <w:lang w:val="en-US" w:eastAsia="zh-CN"/>
              </w:rPr>
              <w:t>美国</w:t>
            </w:r>
            <w:r>
              <w:rPr>
                <w:rFonts w:hint="eastAsia" w:ascii="宋体" w:hAnsi="宋体" w:cs="宋体"/>
                <w:b w:val="0"/>
                <w:bCs/>
                <w:sz w:val="24"/>
                <w:lang w:eastAsia="zh-CN"/>
              </w:rPr>
              <w:t>关税政策对公司影响有限，</w:t>
            </w:r>
            <w:r>
              <w:rPr>
                <w:rFonts w:hint="eastAsia" w:ascii="宋体" w:hAnsi="宋体" w:cs="宋体"/>
                <w:b w:val="0"/>
                <w:bCs/>
                <w:sz w:val="24"/>
                <w:lang w:val="en-US" w:eastAsia="zh-CN"/>
              </w:rPr>
              <w:t>一方面</w:t>
            </w:r>
            <w:r>
              <w:rPr>
                <w:rFonts w:hint="eastAsia" w:ascii="宋体" w:hAnsi="宋体" w:cs="宋体"/>
                <w:b w:val="0"/>
                <w:bCs/>
                <w:sz w:val="24"/>
                <w:lang w:eastAsia="zh-CN"/>
              </w:rPr>
              <w:t>2024年公司出口美国的产品收入占公司总营收比例仅约1.6%，</w:t>
            </w:r>
            <w:r>
              <w:rPr>
                <w:rFonts w:hint="eastAsia" w:ascii="宋体" w:hAnsi="宋体" w:cs="宋体"/>
                <w:b w:val="0"/>
                <w:bCs/>
                <w:sz w:val="24"/>
                <w:lang w:val="en-US" w:eastAsia="zh-CN"/>
              </w:rPr>
              <w:t>另一方面从供应链端看，</w:t>
            </w:r>
            <w:r>
              <w:rPr>
                <w:rFonts w:hint="eastAsia" w:ascii="宋体" w:hAnsi="宋体" w:cs="宋体"/>
                <w:b w:val="0"/>
                <w:bCs/>
                <w:sz w:val="24"/>
                <w:lang w:eastAsia="zh-CN"/>
              </w:rPr>
              <w:t>公司通过多年不断优化产品设计，已实现绝大部分原材料的国产化替代，构建了安全稳定的供应链体系，仅有部分电子元器件采用美国进口，成本占比不到1%。</w:t>
            </w:r>
          </w:p>
          <w:p w14:paraId="5062B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sz w:val="24"/>
                <w:highlight w:val="none"/>
                <w:lang w:val="en-US" w:eastAsia="zh-CN"/>
              </w:rPr>
            </w:pPr>
            <w:r>
              <w:rPr>
                <w:rFonts w:hint="eastAsia" w:ascii="宋体" w:hAnsi="宋体" w:cs="宋体"/>
                <w:b/>
                <w:bCs w:val="0"/>
                <w:kern w:val="2"/>
                <w:sz w:val="24"/>
                <w:szCs w:val="24"/>
                <w:highlight w:val="none"/>
                <w:lang w:val="en-US" w:eastAsia="zh-CN" w:bidi="ar-SA"/>
              </w:rPr>
              <w:t>4</w:t>
            </w:r>
            <w:r>
              <w:rPr>
                <w:rFonts w:hint="eastAsia" w:ascii="宋体" w:hAnsi="宋体" w:eastAsia="宋体" w:cs="宋体"/>
                <w:b/>
                <w:bCs w:val="0"/>
                <w:kern w:val="2"/>
                <w:sz w:val="24"/>
                <w:szCs w:val="24"/>
                <w:highlight w:val="none"/>
                <w:lang w:val="en-US" w:eastAsia="zh-CN" w:bidi="ar-SA"/>
              </w:rPr>
              <w:t>、</w:t>
            </w:r>
            <w:r>
              <w:rPr>
                <w:rFonts w:hint="eastAsia" w:ascii="宋体" w:hAnsi="宋体" w:cs="宋体"/>
                <w:b/>
                <w:bCs w:val="0"/>
                <w:kern w:val="2"/>
                <w:sz w:val="24"/>
                <w:szCs w:val="24"/>
                <w:highlight w:val="none"/>
                <w:lang w:val="en-US" w:eastAsia="zh-CN" w:bidi="ar-SA"/>
              </w:rPr>
              <w:t>近几年影响行业发展的主要因素是什么？</w:t>
            </w:r>
          </w:p>
          <w:p w14:paraId="04292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行业主要客户群体为水务企业，其招投标开展与政府投资、基础设施建设以及订单落地进度密切相关。近年来受房地产行业下行引发的产业链收缩效应，叠加地方财政等因素影响，行业需求整体减少或释放滞缓，部分招投标节奏相应延后，导致阶段性市场空间收窄。但从长期来看，农村水利、城镇供水、智慧水务等领域在特别国债、专项债等政策支持下，将持续释放增量需求，行业仍具备广阔发展空间。</w:t>
            </w:r>
          </w:p>
          <w:p w14:paraId="2010F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sz w:val="24"/>
                <w:lang w:val="en-US" w:eastAsia="zh-CN"/>
              </w:rPr>
            </w:pPr>
            <w:r>
              <w:rPr>
                <w:rFonts w:hint="eastAsia" w:ascii="宋体" w:hAnsi="宋体" w:cs="宋体"/>
                <w:b/>
                <w:bCs w:val="0"/>
                <w:kern w:val="2"/>
                <w:sz w:val="24"/>
                <w:szCs w:val="24"/>
                <w:lang w:val="en-US" w:eastAsia="zh-CN" w:bidi="ar-SA"/>
              </w:rPr>
              <w:t>5</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未来行业需求情况预计如何？</w:t>
            </w:r>
          </w:p>
          <w:p w14:paraId="5D1C1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未来</w:t>
            </w:r>
            <w:r>
              <w:rPr>
                <w:rFonts w:hint="eastAsia" w:ascii="宋体" w:hAnsi="宋体" w:cs="宋体"/>
                <w:sz w:val="24"/>
              </w:rPr>
              <w:t>短期内，地方债务、房地产去库存等因素仍在一定程度上</w:t>
            </w:r>
            <w:r>
              <w:rPr>
                <w:rFonts w:hint="eastAsia" w:ascii="宋体" w:hAnsi="宋体" w:cs="宋体"/>
                <w:sz w:val="24"/>
                <w:lang w:val="en-US" w:eastAsia="zh-CN"/>
              </w:rPr>
              <w:t>影响</w:t>
            </w:r>
            <w:r>
              <w:rPr>
                <w:rFonts w:hint="eastAsia" w:ascii="宋体" w:hAnsi="宋体" w:cs="宋体"/>
                <w:sz w:val="24"/>
              </w:rPr>
              <w:t>着行业发展，</w:t>
            </w:r>
            <w:r>
              <w:rPr>
                <w:rFonts w:hint="eastAsia" w:ascii="宋体" w:hAnsi="宋体" w:cs="宋体"/>
                <w:sz w:val="24"/>
                <w:lang w:val="en-US" w:eastAsia="zh-CN"/>
              </w:rPr>
              <w:t>但</w:t>
            </w:r>
            <w:r>
              <w:rPr>
                <w:rFonts w:hint="eastAsia" w:ascii="宋体" w:hAnsi="宋体" w:cs="宋体"/>
                <w:sz w:val="24"/>
              </w:rPr>
              <w:t>长期来看行业发展的基本面依旧稳健，在政策引导、技术进步和需求升级的共同推动下，国内外市场仍具备广阔发展空间。具体来看，存量旧表的更换需求仍待释放，农村水利、城镇供水、智慧水务等领域在特别国债、专项债等政策支持下，增量需求也将持续释放。此外，客户对精细化运维需求的不断提升，对行业的发展模式、产品创新以及服务升级提出了更高要求，推动行业朝着“产品+服务”的方向演进，行业正进入智能化升级和智慧水务融合的双向发展阶段。从2025年</w:t>
            </w:r>
            <w:r>
              <w:rPr>
                <w:rFonts w:hint="eastAsia" w:ascii="宋体" w:hAnsi="宋体" w:cs="宋体"/>
                <w:sz w:val="24"/>
                <w:lang w:val="en-US" w:eastAsia="zh-CN"/>
              </w:rPr>
              <w:t>上半年</w:t>
            </w:r>
            <w:r>
              <w:rPr>
                <w:rFonts w:hint="eastAsia" w:ascii="宋体" w:hAnsi="宋体" w:cs="宋体"/>
                <w:sz w:val="24"/>
              </w:rPr>
              <w:t>市场情况来看，各地相关部门加强了对表计周期更换的执行力度，行业需求进一步恢复。</w:t>
            </w:r>
          </w:p>
          <w:p w14:paraId="78DE6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6</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上海、深圳等</w:t>
            </w:r>
            <w:r>
              <w:rPr>
                <w:rFonts w:hint="eastAsia" w:ascii="宋体" w:hAnsi="宋体" w:eastAsia="宋体" w:cs="宋体"/>
                <w:b/>
                <w:bCs w:val="0"/>
                <w:kern w:val="2"/>
                <w:sz w:val="24"/>
                <w:szCs w:val="24"/>
                <w:lang w:val="en-US" w:eastAsia="zh-CN" w:bidi="ar-SA"/>
              </w:rPr>
              <w:t>发达地区</w:t>
            </w:r>
            <w:r>
              <w:rPr>
                <w:rFonts w:hint="eastAsia" w:ascii="宋体" w:hAnsi="宋体" w:cs="宋体"/>
                <w:b/>
                <w:bCs w:val="0"/>
                <w:kern w:val="2"/>
                <w:sz w:val="24"/>
                <w:szCs w:val="24"/>
                <w:lang w:val="en-US" w:eastAsia="zh-CN" w:bidi="ar-SA"/>
              </w:rPr>
              <w:t>在推进</w:t>
            </w:r>
            <w:r>
              <w:rPr>
                <w:rFonts w:hint="eastAsia" w:ascii="宋体" w:hAnsi="宋体" w:eastAsia="宋体" w:cs="宋体"/>
                <w:b/>
                <w:bCs w:val="0"/>
                <w:kern w:val="2"/>
                <w:sz w:val="24"/>
                <w:szCs w:val="24"/>
                <w:lang w:val="en-US" w:eastAsia="zh-CN" w:bidi="ar-SA"/>
              </w:rPr>
              <w:t>直饮水</w:t>
            </w:r>
            <w:r>
              <w:rPr>
                <w:rFonts w:hint="eastAsia" w:ascii="宋体" w:hAnsi="宋体" w:cs="宋体"/>
                <w:b/>
                <w:bCs w:val="0"/>
                <w:kern w:val="2"/>
                <w:sz w:val="24"/>
                <w:szCs w:val="24"/>
                <w:lang w:val="en-US" w:eastAsia="zh-CN" w:bidi="ar-SA"/>
              </w:rPr>
              <w:t>到户项目，</w:t>
            </w:r>
            <w:r>
              <w:rPr>
                <w:rFonts w:hint="eastAsia" w:ascii="宋体" w:hAnsi="宋体" w:eastAsia="宋体" w:cs="宋体"/>
                <w:b/>
                <w:bCs w:val="0"/>
                <w:kern w:val="2"/>
                <w:sz w:val="24"/>
                <w:szCs w:val="24"/>
                <w:lang w:val="en-US" w:eastAsia="zh-CN" w:bidi="ar-SA"/>
              </w:rPr>
              <w:t>高品质用水</w:t>
            </w:r>
            <w:r>
              <w:rPr>
                <w:rFonts w:hint="eastAsia" w:ascii="宋体" w:hAnsi="宋体" w:cs="宋体"/>
                <w:b/>
                <w:bCs w:val="0"/>
                <w:kern w:val="2"/>
                <w:sz w:val="24"/>
                <w:szCs w:val="24"/>
                <w:lang w:val="en-US" w:eastAsia="zh-CN" w:bidi="ar-SA"/>
              </w:rPr>
              <w:t>正受到越来越多的关注</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在相关领域公司业务是否有所布局？</w:t>
            </w:r>
          </w:p>
          <w:p w14:paraId="0D839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公司目前研发、销售的表计产品含直饮水水表。</w:t>
            </w:r>
            <w:r>
              <w:rPr>
                <w:rFonts w:hint="default" w:ascii="宋体" w:hAnsi="宋体" w:cs="宋体"/>
                <w:sz w:val="24"/>
                <w:lang w:val="en-US" w:eastAsia="zh-CN"/>
              </w:rPr>
              <w:t>除核心的表计产品外，公司还拥有较为完善的智能传感器产品体系，其中公司的多参数水质检测仪可向供水企业提供在线一体化的高性价比管网综合大数据感知（包括ph、余氯、浊度、温度等重要水质参数指标）。此外，公司针对不同应用场景，推出了一系列创新解决方案，其中构建了“云端预警平台+智能监测终端”解决方案，可实现“实时感知-异常数据智能研判-风险预警动态推送”，可较好满足水务企业水质监测管理的需求。</w:t>
            </w:r>
          </w:p>
          <w:p w14:paraId="040D4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kern w:val="2"/>
                <w:sz w:val="24"/>
                <w:szCs w:val="24"/>
                <w:lang w:val="en-US" w:eastAsia="zh-CN" w:bidi="ar-SA"/>
              </w:rPr>
            </w:pPr>
            <w:r>
              <w:rPr>
                <w:rFonts w:hint="eastAsia" w:ascii="宋体" w:hAnsi="宋体" w:cs="宋体"/>
                <w:b/>
                <w:bCs w:val="0"/>
                <w:kern w:val="2"/>
                <w:sz w:val="24"/>
                <w:szCs w:val="24"/>
                <w:lang w:val="en-US" w:eastAsia="zh-CN" w:bidi="ar-SA"/>
              </w:rPr>
              <w:t>7</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当前公司战略布局较为明晰，为实现战略发展目标，除内部资源投入外，公司是否会积极评估包括并购、战略合作等在内的外部合作方式，以进一步实现能力的快速跃升或资源的优化配置？主要会考虑哪些方向？</w:t>
            </w:r>
          </w:p>
          <w:p w14:paraId="4C106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公司对有助于提升核心竞争力、实现战略目标的外部合作机会持积极态度，持续关注探索与战略目标契合的潜在机会。但是否最终推进合作及合作形式，需结合公司发展的实际需求，并经过审慎评估与论证后才能确定。公司坚持“一业为主，做精做强”的经营方针，并购方向主要围绕上下游产业链协同领域展开，旨在提升技术核心能力，完善业务布局。</w:t>
            </w:r>
          </w:p>
          <w:p w14:paraId="35156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kern w:val="2"/>
                <w:sz w:val="24"/>
                <w:szCs w:val="24"/>
                <w:lang w:val="en-US" w:eastAsia="zh-CN" w:bidi="ar-SA"/>
              </w:rPr>
            </w:pPr>
            <w:r>
              <w:rPr>
                <w:rFonts w:hint="eastAsia" w:ascii="宋体" w:hAnsi="宋体" w:cs="宋体"/>
                <w:b/>
                <w:bCs w:val="0"/>
                <w:kern w:val="2"/>
                <w:sz w:val="24"/>
                <w:szCs w:val="24"/>
                <w:lang w:val="en-US" w:eastAsia="zh-CN" w:bidi="ar-SA"/>
              </w:rPr>
              <w:t>8</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公司市值管理的主要方向？</w:t>
            </w:r>
          </w:p>
          <w:p w14:paraId="57F8E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公司始终密切关注市场相关动态，重视市值管理和投资者权益保护工作。公司始终希望在资本市场建立踏实、稳健的形象，一方面通过稳定的分红政策持续回报股东，另一方面公司将持续专注主业，深耕供水计量与测量领域，并加速向全领域、全方位的智慧水务整体解决方案提供商转型，致力于成为完整具备智慧水务服务能力的综合集团企业，努力提升公司竞争力和市场价值，实现投资者与公司的长期共赢。</w:t>
            </w:r>
          </w:p>
        </w:tc>
      </w:tr>
      <w:tr w14:paraId="4DD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8" w:type="dxa"/>
            <w:tcBorders>
              <w:top w:val="single" w:color="auto" w:sz="4" w:space="0"/>
              <w:left w:val="single" w:color="auto" w:sz="4" w:space="0"/>
              <w:bottom w:val="single" w:color="auto" w:sz="4" w:space="0"/>
              <w:right w:val="single" w:color="auto" w:sz="4" w:space="0"/>
            </w:tcBorders>
            <w:vAlign w:val="center"/>
          </w:tcPr>
          <w:p w14:paraId="5BA07F39">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附件清单</w:t>
            </w:r>
          </w:p>
        </w:tc>
        <w:tc>
          <w:tcPr>
            <w:tcW w:w="6588" w:type="dxa"/>
            <w:tcBorders>
              <w:top w:val="single" w:color="auto" w:sz="4" w:space="0"/>
              <w:left w:val="single" w:color="auto" w:sz="4" w:space="0"/>
              <w:bottom w:val="single" w:color="auto" w:sz="4" w:space="0"/>
              <w:right w:val="single" w:color="auto" w:sz="4" w:space="0"/>
            </w:tcBorders>
          </w:tcPr>
          <w:p w14:paraId="373D82E7">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无</w:t>
            </w:r>
          </w:p>
        </w:tc>
      </w:tr>
      <w:tr w14:paraId="37A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A9CB093">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日期</w:t>
            </w:r>
          </w:p>
        </w:tc>
        <w:tc>
          <w:tcPr>
            <w:tcW w:w="6588" w:type="dxa"/>
            <w:tcBorders>
              <w:top w:val="single" w:color="auto" w:sz="4" w:space="0"/>
              <w:left w:val="single" w:color="auto" w:sz="4" w:space="0"/>
              <w:bottom w:val="single" w:color="auto" w:sz="4" w:space="0"/>
              <w:right w:val="single" w:color="auto" w:sz="4" w:space="0"/>
            </w:tcBorders>
          </w:tcPr>
          <w:p w14:paraId="782ED4C3">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年</w:t>
            </w:r>
            <w:r>
              <w:rPr>
                <w:rFonts w:hint="eastAsia" w:asciiTheme="minorEastAsia" w:hAnsiTheme="minorEastAsia" w:eastAsiaTheme="minorEastAsia"/>
                <w:bCs/>
                <w:iCs/>
                <w:sz w:val="24"/>
                <w:lang w:val="en-US" w:eastAsia="zh-CN"/>
              </w:rPr>
              <w:t>6</w:t>
            </w:r>
            <w:r>
              <w:rPr>
                <w:rFonts w:hint="eastAsia" w:asciiTheme="minorEastAsia" w:hAnsiTheme="minorEastAsia" w:eastAsiaTheme="minorEastAsia"/>
                <w:bCs/>
                <w:iCs/>
                <w:sz w:val="24"/>
              </w:rPr>
              <w:t>月</w:t>
            </w:r>
            <w:r>
              <w:rPr>
                <w:rFonts w:hint="eastAsia" w:asciiTheme="minorEastAsia" w:hAnsiTheme="minorEastAsia" w:eastAsiaTheme="minorEastAsia"/>
                <w:bCs/>
                <w:iCs/>
                <w:sz w:val="24"/>
                <w:lang w:val="en-US" w:eastAsia="zh-CN"/>
              </w:rPr>
              <w:t>13</w:t>
            </w:r>
            <w:r>
              <w:rPr>
                <w:rFonts w:hint="eastAsia" w:asciiTheme="minorEastAsia" w:hAnsiTheme="minorEastAsia" w:eastAsiaTheme="minorEastAsia"/>
                <w:bCs/>
                <w:iCs/>
                <w:sz w:val="24"/>
              </w:rPr>
              <w:t>日</w:t>
            </w:r>
          </w:p>
        </w:tc>
      </w:tr>
    </w:tbl>
    <w:p w14:paraId="3E602FF9">
      <w:pPr>
        <w:widowControl/>
        <w:jc w:val="left"/>
        <w:rPr>
          <w:rFonts w:hint="eastAsia" w:asciiTheme="minorEastAsia" w:hAnsiTheme="minorEastAsia" w:eastAsiaTheme="minorEastAsia"/>
        </w:rPr>
      </w:pPr>
    </w:p>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3360"/>
    <w:rsid w:val="00005DB8"/>
    <w:rsid w:val="00007ADF"/>
    <w:rsid w:val="00015F15"/>
    <w:rsid w:val="00033206"/>
    <w:rsid w:val="0005513E"/>
    <w:rsid w:val="000634CF"/>
    <w:rsid w:val="00090EEB"/>
    <w:rsid w:val="000C5C89"/>
    <w:rsid w:val="000E6A06"/>
    <w:rsid w:val="000F15FD"/>
    <w:rsid w:val="0010295A"/>
    <w:rsid w:val="001232E4"/>
    <w:rsid w:val="001262CB"/>
    <w:rsid w:val="00135331"/>
    <w:rsid w:val="00137F59"/>
    <w:rsid w:val="00160D97"/>
    <w:rsid w:val="001616E3"/>
    <w:rsid w:val="00162214"/>
    <w:rsid w:val="00163A12"/>
    <w:rsid w:val="001649AC"/>
    <w:rsid w:val="00175AD3"/>
    <w:rsid w:val="00192EE3"/>
    <w:rsid w:val="001A1D23"/>
    <w:rsid w:val="001A2D31"/>
    <w:rsid w:val="001D27BC"/>
    <w:rsid w:val="001D33DA"/>
    <w:rsid w:val="001E13F9"/>
    <w:rsid w:val="002100AF"/>
    <w:rsid w:val="00215F92"/>
    <w:rsid w:val="0023106F"/>
    <w:rsid w:val="00236157"/>
    <w:rsid w:val="00246F81"/>
    <w:rsid w:val="00247A8D"/>
    <w:rsid w:val="00251347"/>
    <w:rsid w:val="0025468A"/>
    <w:rsid w:val="002923C4"/>
    <w:rsid w:val="002A3855"/>
    <w:rsid w:val="002A4872"/>
    <w:rsid w:val="002A610E"/>
    <w:rsid w:val="002A61BD"/>
    <w:rsid w:val="002A7F3F"/>
    <w:rsid w:val="002B1073"/>
    <w:rsid w:val="002E7776"/>
    <w:rsid w:val="002F3C66"/>
    <w:rsid w:val="002F7DD5"/>
    <w:rsid w:val="003248B9"/>
    <w:rsid w:val="00331EBE"/>
    <w:rsid w:val="0034152A"/>
    <w:rsid w:val="003642D7"/>
    <w:rsid w:val="003669FB"/>
    <w:rsid w:val="0037019B"/>
    <w:rsid w:val="0038542B"/>
    <w:rsid w:val="003A4BE0"/>
    <w:rsid w:val="003C47C3"/>
    <w:rsid w:val="003D00C0"/>
    <w:rsid w:val="003D07FC"/>
    <w:rsid w:val="003E453A"/>
    <w:rsid w:val="003F6632"/>
    <w:rsid w:val="00401DC1"/>
    <w:rsid w:val="004161F2"/>
    <w:rsid w:val="00421F6D"/>
    <w:rsid w:val="004244FB"/>
    <w:rsid w:val="0043251C"/>
    <w:rsid w:val="00476765"/>
    <w:rsid w:val="004868B6"/>
    <w:rsid w:val="00492F3C"/>
    <w:rsid w:val="004A56B1"/>
    <w:rsid w:val="004A57D0"/>
    <w:rsid w:val="004B023B"/>
    <w:rsid w:val="004D6D74"/>
    <w:rsid w:val="004F7AE4"/>
    <w:rsid w:val="0050009D"/>
    <w:rsid w:val="0052191B"/>
    <w:rsid w:val="00522FCE"/>
    <w:rsid w:val="00524F54"/>
    <w:rsid w:val="00535B5C"/>
    <w:rsid w:val="0054230B"/>
    <w:rsid w:val="00563045"/>
    <w:rsid w:val="00563DDA"/>
    <w:rsid w:val="005743E9"/>
    <w:rsid w:val="00590F17"/>
    <w:rsid w:val="00592BDE"/>
    <w:rsid w:val="005A1C64"/>
    <w:rsid w:val="005A4BD3"/>
    <w:rsid w:val="005A67C2"/>
    <w:rsid w:val="005C2FC9"/>
    <w:rsid w:val="005C5C82"/>
    <w:rsid w:val="005D1260"/>
    <w:rsid w:val="005D2608"/>
    <w:rsid w:val="005E43E9"/>
    <w:rsid w:val="005F5CC8"/>
    <w:rsid w:val="00603C69"/>
    <w:rsid w:val="006264BA"/>
    <w:rsid w:val="00631CCB"/>
    <w:rsid w:val="00634B51"/>
    <w:rsid w:val="00641736"/>
    <w:rsid w:val="00653612"/>
    <w:rsid w:val="00694250"/>
    <w:rsid w:val="006A1DD0"/>
    <w:rsid w:val="006C071A"/>
    <w:rsid w:val="006D11A4"/>
    <w:rsid w:val="006D1FBE"/>
    <w:rsid w:val="006D4A91"/>
    <w:rsid w:val="00715CDD"/>
    <w:rsid w:val="00725DBE"/>
    <w:rsid w:val="00736D1D"/>
    <w:rsid w:val="00747F1D"/>
    <w:rsid w:val="00781B42"/>
    <w:rsid w:val="00786DFA"/>
    <w:rsid w:val="007A43ED"/>
    <w:rsid w:val="007A4412"/>
    <w:rsid w:val="007B04B7"/>
    <w:rsid w:val="007D65EF"/>
    <w:rsid w:val="007E0CB2"/>
    <w:rsid w:val="007E1A63"/>
    <w:rsid w:val="007F4EF5"/>
    <w:rsid w:val="007F55A1"/>
    <w:rsid w:val="007F77C6"/>
    <w:rsid w:val="008136A7"/>
    <w:rsid w:val="008203FA"/>
    <w:rsid w:val="00825A91"/>
    <w:rsid w:val="00854505"/>
    <w:rsid w:val="0085660A"/>
    <w:rsid w:val="00871DAC"/>
    <w:rsid w:val="00876D0F"/>
    <w:rsid w:val="0088200E"/>
    <w:rsid w:val="00884F13"/>
    <w:rsid w:val="00887568"/>
    <w:rsid w:val="00892FB6"/>
    <w:rsid w:val="008946B3"/>
    <w:rsid w:val="008958CD"/>
    <w:rsid w:val="008B019F"/>
    <w:rsid w:val="008E2156"/>
    <w:rsid w:val="008F4282"/>
    <w:rsid w:val="00900293"/>
    <w:rsid w:val="00902DFD"/>
    <w:rsid w:val="00907142"/>
    <w:rsid w:val="00910AA4"/>
    <w:rsid w:val="00924C70"/>
    <w:rsid w:val="00925B9D"/>
    <w:rsid w:val="00934BBB"/>
    <w:rsid w:val="00960B01"/>
    <w:rsid w:val="00991353"/>
    <w:rsid w:val="009A00DF"/>
    <w:rsid w:val="00A05B6A"/>
    <w:rsid w:val="00A06787"/>
    <w:rsid w:val="00A07B26"/>
    <w:rsid w:val="00A10677"/>
    <w:rsid w:val="00A1231C"/>
    <w:rsid w:val="00A14C22"/>
    <w:rsid w:val="00A217FE"/>
    <w:rsid w:val="00A2242A"/>
    <w:rsid w:val="00A42039"/>
    <w:rsid w:val="00A47F93"/>
    <w:rsid w:val="00A603FD"/>
    <w:rsid w:val="00A632C9"/>
    <w:rsid w:val="00A641C8"/>
    <w:rsid w:val="00A702C9"/>
    <w:rsid w:val="00A86246"/>
    <w:rsid w:val="00A91C54"/>
    <w:rsid w:val="00AA3F7B"/>
    <w:rsid w:val="00AA4B45"/>
    <w:rsid w:val="00AA4C6C"/>
    <w:rsid w:val="00AB0AE7"/>
    <w:rsid w:val="00AB2C40"/>
    <w:rsid w:val="00AD1190"/>
    <w:rsid w:val="00AD307C"/>
    <w:rsid w:val="00AD383C"/>
    <w:rsid w:val="00AE1109"/>
    <w:rsid w:val="00AE1F03"/>
    <w:rsid w:val="00B001B3"/>
    <w:rsid w:val="00B10194"/>
    <w:rsid w:val="00B20AD1"/>
    <w:rsid w:val="00B31108"/>
    <w:rsid w:val="00B40738"/>
    <w:rsid w:val="00B660E4"/>
    <w:rsid w:val="00B77D38"/>
    <w:rsid w:val="00B90138"/>
    <w:rsid w:val="00BA3911"/>
    <w:rsid w:val="00BA6395"/>
    <w:rsid w:val="00BC1F1D"/>
    <w:rsid w:val="00BC2410"/>
    <w:rsid w:val="00BC66DD"/>
    <w:rsid w:val="00BD6FAF"/>
    <w:rsid w:val="00BD70FD"/>
    <w:rsid w:val="00BD718B"/>
    <w:rsid w:val="00C16025"/>
    <w:rsid w:val="00C3197D"/>
    <w:rsid w:val="00C41A7F"/>
    <w:rsid w:val="00C52BF5"/>
    <w:rsid w:val="00C6563F"/>
    <w:rsid w:val="00C662B2"/>
    <w:rsid w:val="00C6633E"/>
    <w:rsid w:val="00C812A6"/>
    <w:rsid w:val="00C91D48"/>
    <w:rsid w:val="00CB28F1"/>
    <w:rsid w:val="00CD1293"/>
    <w:rsid w:val="00CD6AF3"/>
    <w:rsid w:val="00CD6BDC"/>
    <w:rsid w:val="00CF58FA"/>
    <w:rsid w:val="00D03D57"/>
    <w:rsid w:val="00D25186"/>
    <w:rsid w:val="00D2699A"/>
    <w:rsid w:val="00D3145E"/>
    <w:rsid w:val="00D4003C"/>
    <w:rsid w:val="00D551DD"/>
    <w:rsid w:val="00D75583"/>
    <w:rsid w:val="00D90C81"/>
    <w:rsid w:val="00DA5671"/>
    <w:rsid w:val="00DA6FA6"/>
    <w:rsid w:val="00DB289D"/>
    <w:rsid w:val="00DB361F"/>
    <w:rsid w:val="00DC45E1"/>
    <w:rsid w:val="00DD489F"/>
    <w:rsid w:val="00DE52AA"/>
    <w:rsid w:val="00DF6E15"/>
    <w:rsid w:val="00E13BEC"/>
    <w:rsid w:val="00E179F1"/>
    <w:rsid w:val="00E44FEA"/>
    <w:rsid w:val="00E6496A"/>
    <w:rsid w:val="00E74AFE"/>
    <w:rsid w:val="00E77BFF"/>
    <w:rsid w:val="00E82749"/>
    <w:rsid w:val="00E95C3C"/>
    <w:rsid w:val="00EA5B83"/>
    <w:rsid w:val="00ED5697"/>
    <w:rsid w:val="00EE2B72"/>
    <w:rsid w:val="00F00328"/>
    <w:rsid w:val="00F16209"/>
    <w:rsid w:val="00F163EE"/>
    <w:rsid w:val="00F33A21"/>
    <w:rsid w:val="00F536E8"/>
    <w:rsid w:val="00F56265"/>
    <w:rsid w:val="00F616A1"/>
    <w:rsid w:val="00F642F6"/>
    <w:rsid w:val="00F6792F"/>
    <w:rsid w:val="00F77B93"/>
    <w:rsid w:val="00F851C4"/>
    <w:rsid w:val="00F91924"/>
    <w:rsid w:val="00F94CD8"/>
    <w:rsid w:val="00F97AE7"/>
    <w:rsid w:val="00F97C64"/>
    <w:rsid w:val="00FA1D83"/>
    <w:rsid w:val="00FA540B"/>
    <w:rsid w:val="00FB48C9"/>
    <w:rsid w:val="00FC6CC3"/>
    <w:rsid w:val="00FF769A"/>
    <w:rsid w:val="01FB1365"/>
    <w:rsid w:val="020E3E06"/>
    <w:rsid w:val="039328F3"/>
    <w:rsid w:val="04A7366A"/>
    <w:rsid w:val="091361A6"/>
    <w:rsid w:val="0E26630C"/>
    <w:rsid w:val="0E665407"/>
    <w:rsid w:val="11CA15AD"/>
    <w:rsid w:val="12C329EB"/>
    <w:rsid w:val="132A1CFF"/>
    <w:rsid w:val="173619DD"/>
    <w:rsid w:val="1A1E46C9"/>
    <w:rsid w:val="1ACC1271"/>
    <w:rsid w:val="1BA7773D"/>
    <w:rsid w:val="1D792624"/>
    <w:rsid w:val="203C5B8B"/>
    <w:rsid w:val="20A83122"/>
    <w:rsid w:val="216C182D"/>
    <w:rsid w:val="248A17FC"/>
    <w:rsid w:val="26562782"/>
    <w:rsid w:val="2CB257E6"/>
    <w:rsid w:val="2DA12D96"/>
    <w:rsid w:val="315129E3"/>
    <w:rsid w:val="326F6A80"/>
    <w:rsid w:val="35BB5FEF"/>
    <w:rsid w:val="37557C86"/>
    <w:rsid w:val="37E813C8"/>
    <w:rsid w:val="38817D65"/>
    <w:rsid w:val="38CA7889"/>
    <w:rsid w:val="3971096A"/>
    <w:rsid w:val="3A2C44B5"/>
    <w:rsid w:val="3B762441"/>
    <w:rsid w:val="3BDD3943"/>
    <w:rsid w:val="40922488"/>
    <w:rsid w:val="41A77FEE"/>
    <w:rsid w:val="420D7DF8"/>
    <w:rsid w:val="426F213B"/>
    <w:rsid w:val="42D07DE0"/>
    <w:rsid w:val="48DF781D"/>
    <w:rsid w:val="4E152C1B"/>
    <w:rsid w:val="4F7505EE"/>
    <w:rsid w:val="522B41CF"/>
    <w:rsid w:val="52F45CCD"/>
    <w:rsid w:val="54E0475B"/>
    <w:rsid w:val="554F18E1"/>
    <w:rsid w:val="5878114F"/>
    <w:rsid w:val="59814033"/>
    <w:rsid w:val="5BCA6962"/>
    <w:rsid w:val="5CBD60F6"/>
    <w:rsid w:val="61E97263"/>
    <w:rsid w:val="645E2BB9"/>
    <w:rsid w:val="671043BA"/>
    <w:rsid w:val="6BE83CEB"/>
    <w:rsid w:val="703A5210"/>
    <w:rsid w:val="72494271"/>
    <w:rsid w:val="77054566"/>
    <w:rsid w:val="77DF6273"/>
    <w:rsid w:val="79716A4F"/>
    <w:rsid w:val="7B472AC3"/>
    <w:rsid w:val="7C7D790A"/>
    <w:rsid w:val="7E08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rPr>
      <w:sz w:val="24"/>
    </w:rPr>
  </w:style>
  <w:style w:type="paragraph" w:styleId="10">
    <w:name w:val="annotation subject"/>
    <w:basedOn w:val="4"/>
    <w:next w:val="4"/>
    <w:link w:val="17"/>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character" w:customStyle="1" w:styleId="16">
    <w:name w:val="批注文字 字符"/>
    <w:basedOn w:val="13"/>
    <w:link w:val="4"/>
    <w:semiHidden/>
    <w:qFormat/>
    <w:uiPriority w:val="99"/>
    <w:rPr>
      <w:rFonts w:ascii="Times New Roman" w:hAnsi="Times New Roman" w:eastAsia="宋体" w:cs="Times New Roman"/>
      <w:szCs w:val="24"/>
    </w:rPr>
  </w:style>
  <w:style w:type="character" w:customStyle="1" w:styleId="17">
    <w:name w:val="批注主题 字符"/>
    <w:basedOn w:val="16"/>
    <w:link w:val="10"/>
    <w:semiHidden/>
    <w:qFormat/>
    <w:uiPriority w:val="99"/>
    <w:rPr>
      <w:rFonts w:ascii="Times New Roman" w:hAnsi="Times New Roman" w:eastAsia="宋体" w:cs="Times New Roman"/>
      <w:b/>
      <w:bCs/>
      <w:szCs w:val="24"/>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字符"/>
    <w:basedOn w:val="13"/>
    <w:link w:val="7"/>
    <w:qFormat/>
    <w:uiPriority w:val="99"/>
    <w:rPr>
      <w:rFonts w:ascii="Times New Roman" w:hAnsi="Times New Roman" w:eastAsia="宋体" w:cs="Times New Roman"/>
      <w:sz w:val="18"/>
      <w:szCs w:val="18"/>
    </w:rPr>
  </w:style>
  <w:style w:type="character" w:customStyle="1" w:styleId="20">
    <w:name w:val="页脚 字符"/>
    <w:basedOn w:val="13"/>
    <w:link w:val="6"/>
    <w:qFormat/>
    <w:uiPriority w:val="99"/>
    <w:rPr>
      <w:rFonts w:ascii="Times New Roman" w:hAnsi="Times New Roman" w:eastAsia="宋体" w:cs="Times New Roman"/>
      <w:sz w:val="18"/>
      <w:szCs w:val="18"/>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2356</Words>
  <Characters>2407</Characters>
  <Lines>9</Lines>
  <Paragraphs>2</Paragraphs>
  <TotalTime>7</TotalTime>
  <ScaleCrop>false</ScaleCrop>
  <LinksUpToDate>false</LinksUpToDate>
  <CharactersWithSpaces>2541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2024-09-10T03:27:00Z</dcterms:created>
  <dc:creator>skd004</dc:creator>
  <cp:lastModifiedBy>Xena</cp:lastModifiedBy>
  <dcterms:modified xsi:type="dcterms:W3CDTF">2025-06-16T07:57:16Z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18C2A4E375A64875BA4A36E42EBB3CD4_13</vt:lpwstr>
  </property>
  <property fmtid="{D5CDD505-2E9C-101B-9397-08002B2CF9AE}" pid="4" name="KSOTemplateDocerSaveRecord">
    <vt:lpwstr>eyJoZGlkIjoiNDllMDBiMTZiOTBhOGQ0NGNmMjI0MDY5YzIwZTZiMDQiLCJ1c2VySWQiOiIyNjQyMzEwODcifQ==</vt:lpwstr>
  </property>
</Properties>
</file>