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D76A5" w14:textId="77777777" w:rsidR="00110B1D" w:rsidRPr="009E7B2A" w:rsidRDefault="00110B1D">
      <w:pPr>
        <w:spacing w:line="360" w:lineRule="auto"/>
        <w:jc w:val="center"/>
        <w:rPr>
          <w:rFonts w:ascii="宋体" w:eastAsia="宋体" w:hAnsi="宋体" w:cs="宋体"/>
          <w:b/>
          <w:bCs/>
          <w:sz w:val="36"/>
          <w:szCs w:val="36"/>
        </w:rPr>
      </w:pPr>
      <w:r w:rsidRPr="009E7B2A">
        <w:rPr>
          <w:rFonts w:ascii="宋体" w:eastAsia="宋体" w:hAnsi="宋体" w:cs="宋体" w:hint="eastAsia"/>
          <w:b/>
          <w:bCs/>
          <w:sz w:val="36"/>
          <w:szCs w:val="36"/>
        </w:rPr>
        <w:t>宁波美诺华药业</w:t>
      </w:r>
      <w:r w:rsidR="00FF6EAF" w:rsidRPr="009E7B2A">
        <w:rPr>
          <w:rFonts w:ascii="宋体" w:eastAsia="宋体" w:hAnsi="宋体" w:cs="宋体" w:hint="eastAsia"/>
          <w:b/>
          <w:bCs/>
          <w:sz w:val="36"/>
          <w:szCs w:val="36"/>
        </w:rPr>
        <w:t>股份有限公司</w:t>
      </w:r>
    </w:p>
    <w:p w14:paraId="7262E645" w14:textId="170D887D" w:rsidR="0031346F" w:rsidRPr="009E7B2A" w:rsidRDefault="00FF6EAF">
      <w:pPr>
        <w:spacing w:line="360" w:lineRule="auto"/>
        <w:jc w:val="center"/>
        <w:rPr>
          <w:rFonts w:ascii="宋体" w:eastAsia="宋体" w:hAnsi="宋体" w:cs="宋体"/>
          <w:sz w:val="36"/>
          <w:szCs w:val="36"/>
        </w:rPr>
      </w:pPr>
      <w:r w:rsidRPr="009E7B2A">
        <w:rPr>
          <w:rFonts w:ascii="宋体" w:eastAsia="宋体" w:hAnsi="宋体" w:cs="宋体" w:hint="eastAsia"/>
          <w:b/>
          <w:bCs/>
          <w:sz w:val="36"/>
          <w:szCs w:val="36"/>
        </w:rPr>
        <w:t>投资者关系活动记录表</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7"/>
        <w:gridCol w:w="6148"/>
      </w:tblGrid>
      <w:tr w:rsidR="009E7B2A" w:rsidRPr="009E7B2A" w14:paraId="1233867C" w14:textId="77777777" w:rsidTr="00E84A45">
        <w:trPr>
          <w:trHeight w:val="2801"/>
          <w:jc w:val="center"/>
        </w:trPr>
        <w:tc>
          <w:tcPr>
            <w:tcW w:w="2377" w:type="dxa"/>
            <w:vAlign w:val="center"/>
          </w:tcPr>
          <w:p w14:paraId="57E1CEF3" w14:textId="77777777" w:rsidR="0031346F" w:rsidRPr="009E7B2A" w:rsidRDefault="0031346F">
            <w:pPr>
              <w:pStyle w:val="TableParagraph"/>
              <w:spacing w:before="7"/>
              <w:rPr>
                <w:rFonts w:ascii="宋体" w:eastAsia="宋体" w:hAnsi="宋体" w:cs="宋体"/>
                <w:sz w:val="18"/>
              </w:rPr>
            </w:pPr>
          </w:p>
          <w:p w14:paraId="0CCD1FBD" w14:textId="77777777" w:rsidR="0031346F" w:rsidRPr="009E7B2A" w:rsidRDefault="00FF6EAF">
            <w:pPr>
              <w:pStyle w:val="TableParagraph"/>
              <w:spacing w:before="1"/>
              <w:ind w:left="107"/>
              <w:rPr>
                <w:rFonts w:ascii="宋体" w:eastAsia="宋体" w:hAnsi="宋体" w:cs="宋体"/>
                <w:sz w:val="21"/>
              </w:rPr>
            </w:pPr>
            <w:r w:rsidRPr="009E7B2A">
              <w:rPr>
                <w:rFonts w:ascii="宋体" w:eastAsia="宋体" w:hAnsi="宋体" w:cs="宋体" w:hint="eastAsia"/>
                <w:sz w:val="21"/>
              </w:rPr>
              <w:t>投资者关系活动类别</w:t>
            </w:r>
          </w:p>
        </w:tc>
        <w:tc>
          <w:tcPr>
            <w:tcW w:w="6148" w:type="dxa"/>
            <w:vAlign w:val="center"/>
          </w:tcPr>
          <w:p w14:paraId="344758DF" w14:textId="77777777" w:rsidR="0031346F" w:rsidRPr="009E7B2A" w:rsidRDefault="0031346F">
            <w:pPr>
              <w:pStyle w:val="TableParagraph"/>
              <w:spacing w:before="7"/>
              <w:rPr>
                <w:rFonts w:ascii="宋体" w:eastAsia="宋体" w:hAnsi="宋体" w:cs="宋体"/>
                <w:sz w:val="18"/>
              </w:rPr>
            </w:pPr>
          </w:p>
          <w:p w14:paraId="30293A3B" w14:textId="3541EB13" w:rsidR="0031346F" w:rsidRPr="009E7B2A" w:rsidRDefault="001C2A3C">
            <w:pPr>
              <w:pStyle w:val="TableParagraph"/>
              <w:tabs>
                <w:tab w:val="left" w:pos="2418"/>
              </w:tabs>
              <w:spacing w:before="1"/>
              <w:ind w:left="107"/>
              <w:rPr>
                <w:rFonts w:ascii="宋体" w:eastAsia="宋体" w:hAnsi="宋体" w:cs="宋体"/>
                <w:sz w:val="21"/>
              </w:rPr>
            </w:pPr>
            <w:r>
              <w:rPr>
                <w:rFonts w:ascii="宋体" w:eastAsia="宋体" w:hAnsi="宋体" w:cs="宋体" w:hint="eastAsia"/>
                <w:sz w:val="21"/>
              </w:rPr>
              <w:t>□</w:t>
            </w:r>
            <w:r w:rsidR="00FF6EAF" w:rsidRPr="009E7B2A">
              <w:rPr>
                <w:rFonts w:ascii="宋体" w:eastAsia="宋体" w:hAnsi="宋体" w:cs="宋体" w:hint="eastAsia"/>
                <w:sz w:val="21"/>
              </w:rPr>
              <w:t>特</w:t>
            </w:r>
            <w:r w:rsidR="00FF6EAF" w:rsidRPr="009E7B2A">
              <w:rPr>
                <w:rFonts w:ascii="宋体" w:eastAsia="宋体" w:hAnsi="宋体" w:cs="宋体" w:hint="eastAsia"/>
                <w:spacing w:val="-3"/>
                <w:sz w:val="21"/>
              </w:rPr>
              <w:t>定</w:t>
            </w:r>
            <w:r w:rsidR="00FF6EAF" w:rsidRPr="009E7B2A">
              <w:rPr>
                <w:rFonts w:ascii="宋体" w:eastAsia="宋体" w:hAnsi="宋体" w:cs="宋体" w:hint="eastAsia"/>
                <w:sz w:val="21"/>
              </w:rPr>
              <w:t>对</w:t>
            </w:r>
            <w:r w:rsidR="00FF6EAF" w:rsidRPr="009E7B2A">
              <w:rPr>
                <w:rFonts w:ascii="宋体" w:eastAsia="宋体" w:hAnsi="宋体" w:cs="宋体" w:hint="eastAsia"/>
                <w:spacing w:val="-3"/>
                <w:sz w:val="21"/>
              </w:rPr>
              <w:t>象</w:t>
            </w:r>
            <w:r w:rsidR="00FF6EAF" w:rsidRPr="009E7B2A">
              <w:rPr>
                <w:rFonts w:ascii="宋体" w:eastAsia="宋体" w:hAnsi="宋体" w:cs="宋体" w:hint="eastAsia"/>
                <w:sz w:val="21"/>
              </w:rPr>
              <w:t>调研</w:t>
            </w:r>
            <w:r w:rsidR="00FF6EAF" w:rsidRPr="009E7B2A">
              <w:rPr>
                <w:rFonts w:ascii="宋体" w:eastAsia="宋体" w:hAnsi="宋体" w:cs="宋体" w:hint="eastAsia"/>
                <w:sz w:val="21"/>
              </w:rPr>
              <w:tab/>
            </w:r>
            <w:r w:rsidR="00B81077" w:rsidRPr="009E7B2A">
              <w:rPr>
                <w:rFonts w:ascii="宋体" w:eastAsia="宋体" w:hAnsi="宋体" w:cs="宋体" w:hint="eastAsia"/>
                <w:sz w:val="21"/>
              </w:rPr>
              <w:t>√</w:t>
            </w:r>
            <w:r w:rsidR="00FF6EAF" w:rsidRPr="009E7B2A">
              <w:rPr>
                <w:rFonts w:ascii="宋体" w:eastAsia="宋体" w:hAnsi="宋体" w:cs="宋体" w:hint="eastAsia"/>
                <w:sz w:val="21"/>
              </w:rPr>
              <w:t>分</w:t>
            </w:r>
            <w:r w:rsidR="00FF6EAF" w:rsidRPr="009E7B2A">
              <w:rPr>
                <w:rFonts w:ascii="宋体" w:eastAsia="宋体" w:hAnsi="宋体" w:cs="宋体" w:hint="eastAsia"/>
                <w:spacing w:val="-3"/>
                <w:sz w:val="21"/>
              </w:rPr>
              <w:t>析</w:t>
            </w:r>
            <w:r w:rsidR="00FF6EAF" w:rsidRPr="009E7B2A">
              <w:rPr>
                <w:rFonts w:ascii="宋体" w:eastAsia="宋体" w:hAnsi="宋体" w:cs="宋体" w:hint="eastAsia"/>
                <w:sz w:val="21"/>
              </w:rPr>
              <w:t>师</w:t>
            </w:r>
            <w:r w:rsidR="00FF6EAF" w:rsidRPr="009E7B2A">
              <w:rPr>
                <w:rFonts w:ascii="宋体" w:eastAsia="宋体" w:hAnsi="宋体" w:cs="宋体" w:hint="eastAsia"/>
                <w:spacing w:val="-3"/>
                <w:sz w:val="21"/>
              </w:rPr>
              <w:t>会</w:t>
            </w:r>
            <w:r w:rsidR="00FF6EAF" w:rsidRPr="009E7B2A">
              <w:rPr>
                <w:rFonts w:ascii="宋体" w:eastAsia="宋体" w:hAnsi="宋体" w:cs="宋体" w:hint="eastAsia"/>
                <w:sz w:val="21"/>
              </w:rPr>
              <w:t>议</w:t>
            </w:r>
          </w:p>
          <w:p w14:paraId="38ABAD65" w14:textId="77777777" w:rsidR="0031346F" w:rsidRPr="009E7B2A" w:rsidRDefault="0031346F">
            <w:pPr>
              <w:pStyle w:val="TableParagraph"/>
              <w:spacing w:before="11"/>
              <w:rPr>
                <w:rFonts w:ascii="宋体" w:eastAsia="宋体" w:hAnsi="宋体" w:cs="宋体"/>
              </w:rPr>
            </w:pPr>
          </w:p>
          <w:p w14:paraId="2D27CBDE" w14:textId="77777777" w:rsidR="0031346F" w:rsidRPr="009E7B2A" w:rsidRDefault="00FF6EAF">
            <w:pPr>
              <w:pStyle w:val="TableParagraph"/>
              <w:tabs>
                <w:tab w:val="left" w:pos="2418"/>
              </w:tabs>
              <w:ind w:left="107"/>
              <w:rPr>
                <w:rFonts w:ascii="宋体" w:eastAsia="宋体" w:hAnsi="宋体" w:cs="宋体"/>
                <w:sz w:val="21"/>
              </w:rPr>
            </w:pPr>
            <w:r w:rsidRPr="009E7B2A">
              <w:rPr>
                <w:rFonts w:ascii="宋体" w:eastAsia="宋体" w:hAnsi="宋体" w:cs="宋体" w:hint="eastAsia"/>
                <w:sz w:val="21"/>
              </w:rPr>
              <w:t>□媒</w:t>
            </w:r>
            <w:r w:rsidRPr="009E7B2A">
              <w:rPr>
                <w:rFonts w:ascii="宋体" w:eastAsia="宋体" w:hAnsi="宋体" w:cs="宋体" w:hint="eastAsia"/>
                <w:spacing w:val="-3"/>
                <w:sz w:val="21"/>
              </w:rPr>
              <w:t>体</w:t>
            </w:r>
            <w:r w:rsidRPr="009E7B2A">
              <w:rPr>
                <w:rFonts w:ascii="宋体" w:eastAsia="宋体" w:hAnsi="宋体" w:cs="宋体" w:hint="eastAsia"/>
                <w:sz w:val="21"/>
              </w:rPr>
              <w:t>采访</w:t>
            </w:r>
            <w:r w:rsidRPr="009E7B2A">
              <w:rPr>
                <w:rFonts w:ascii="宋体" w:eastAsia="宋体" w:hAnsi="宋体" w:cs="宋体" w:hint="eastAsia"/>
                <w:sz w:val="21"/>
              </w:rPr>
              <w:tab/>
              <w:t>□业</w:t>
            </w:r>
            <w:r w:rsidRPr="009E7B2A">
              <w:rPr>
                <w:rFonts w:ascii="宋体" w:eastAsia="宋体" w:hAnsi="宋体" w:cs="宋体" w:hint="eastAsia"/>
                <w:spacing w:val="-3"/>
                <w:sz w:val="21"/>
              </w:rPr>
              <w:t>绩</w:t>
            </w:r>
            <w:r w:rsidRPr="009E7B2A">
              <w:rPr>
                <w:rFonts w:ascii="宋体" w:eastAsia="宋体" w:hAnsi="宋体" w:cs="宋体" w:hint="eastAsia"/>
                <w:sz w:val="21"/>
              </w:rPr>
              <w:t>说</w:t>
            </w:r>
            <w:r w:rsidRPr="009E7B2A">
              <w:rPr>
                <w:rFonts w:ascii="宋体" w:eastAsia="宋体" w:hAnsi="宋体" w:cs="宋体" w:hint="eastAsia"/>
                <w:spacing w:val="-3"/>
                <w:sz w:val="21"/>
              </w:rPr>
              <w:t>明</w:t>
            </w:r>
            <w:r w:rsidRPr="009E7B2A">
              <w:rPr>
                <w:rFonts w:ascii="宋体" w:eastAsia="宋体" w:hAnsi="宋体" w:cs="宋体" w:hint="eastAsia"/>
                <w:sz w:val="21"/>
              </w:rPr>
              <w:t>会</w:t>
            </w:r>
          </w:p>
          <w:p w14:paraId="6AC4C4C2" w14:textId="77777777" w:rsidR="0031346F" w:rsidRPr="009E7B2A" w:rsidRDefault="0031346F">
            <w:pPr>
              <w:pStyle w:val="TableParagraph"/>
              <w:spacing w:before="8"/>
              <w:rPr>
                <w:rFonts w:ascii="宋体" w:eastAsia="宋体" w:hAnsi="宋体" w:cs="宋体"/>
              </w:rPr>
            </w:pPr>
          </w:p>
          <w:p w14:paraId="19BD40C3" w14:textId="77777777" w:rsidR="0031346F" w:rsidRPr="009E7B2A" w:rsidRDefault="00FF6EAF">
            <w:pPr>
              <w:pStyle w:val="TableParagraph"/>
              <w:tabs>
                <w:tab w:val="left" w:pos="2418"/>
              </w:tabs>
              <w:ind w:left="107"/>
              <w:rPr>
                <w:rFonts w:ascii="宋体" w:eastAsia="宋体" w:hAnsi="宋体" w:cs="宋体"/>
                <w:sz w:val="21"/>
              </w:rPr>
            </w:pPr>
            <w:r w:rsidRPr="009E7B2A">
              <w:rPr>
                <w:rFonts w:ascii="宋体" w:eastAsia="宋体" w:hAnsi="宋体" w:cs="宋体" w:hint="eastAsia"/>
                <w:sz w:val="21"/>
              </w:rPr>
              <w:t>□新</w:t>
            </w:r>
            <w:r w:rsidRPr="009E7B2A">
              <w:rPr>
                <w:rFonts w:ascii="宋体" w:eastAsia="宋体" w:hAnsi="宋体" w:cs="宋体" w:hint="eastAsia"/>
                <w:spacing w:val="-3"/>
                <w:sz w:val="21"/>
              </w:rPr>
              <w:t>闻</w:t>
            </w:r>
            <w:r w:rsidRPr="009E7B2A">
              <w:rPr>
                <w:rFonts w:ascii="宋体" w:eastAsia="宋体" w:hAnsi="宋体" w:cs="宋体" w:hint="eastAsia"/>
                <w:sz w:val="21"/>
              </w:rPr>
              <w:t>发</w:t>
            </w:r>
            <w:r w:rsidRPr="009E7B2A">
              <w:rPr>
                <w:rFonts w:ascii="宋体" w:eastAsia="宋体" w:hAnsi="宋体" w:cs="宋体" w:hint="eastAsia"/>
                <w:spacing w:val="-3"/>
                <w:sz w:val="21"/>
              </w:rPr>
              <w:t>布</w:t>
            </w:r>
            <w:r w:rsidRPr="009E7B2A">
              <w:rPr>
                <w:rFonts w:ascii="宋体" w:eastAsia="宋体" w:hAnsi="宋体" w:cs="宋体" w:hint="eastAsia"/>
                <w:sz w:val="21"/>
              </w:rPr>
              <w:t>会</w:t>
            </w:r>
            <w:r w:rsidRPr="009E7B2A">
              <w:rPr>
                <w:rFonts w:ascii="宋体" w:eastAsia="宋体" w:hAnsi="宋体" w:cs="宋体" w:hint="eastAsia"/>
                <w:sz w:val="21"/>
              </w:rPr>
              <w:tab/>
              <w:t>□路</w:t>
            </w:r>
            <w:r w:rsidRPr="009E7B2A">
              <w:rPr>
                <w:rFonts w:ascii="宋体" w:eastAsia="宋体" w:hAnsi="宋体" w:cs="宋体" w:hint="eastAsia"/>
                <w:spacing w:val="-3"/>
                <w:sz w:val="21"/>
              </w:rPr>
              <w:t>演</w:t>
            </w:r>
            <w:r w:rsidRPr="009E7B2A">
              <w:rPr>
                <w:rFonts w:ascii="宋体" w:eastAsia="宋体" w:hAnsi="宋体" w:cs="宋体" w:hint="eastAsia"/>
                <w:sz w:val="21"/>
              </w:rPr>
              <w:t>活动</w:t>
            </w:r>
          </w:p>
          <w:p w14:paraId="0C6A3D1A" w14:textId="77777777" w:rsidR="0031346F" w:rsidRPr="009E7B2A" w:rsidRDefault="0031346F">
            <w:pPr>
              <w:pStyle w:val="TableParagraph"/>
              <w:spacing w:before="8"/>
              <w:rPr>
                <w:rFonts w:ascii="宋体" w:eastAsia="宋体" w:hAnsi="宋体" w:cs="宋体"/>
              </w:rPr>
            </w:pPr>
          </w:p>
          <w:p w14:paraId="62B6D420" w14:textId="77777777" w:rsidR="0031346F" w:rsidRPr="009E7B2A" w:rsidRDefault="00FF6EAF">
            <w:pPr>
              <w:pStyle w:val="TableParagraph"/>
              <w:ind w:left="107"/>
              <w:rPr>
                <w:rFonts w:ascii="宋体" w:eastAsia="宋体" w:hAnsi="宋体" w:cs="宋体"/>
                <w:sz w:val="21"/>
              </w:rPr>
            </w:pPr>
            <w:r w:rsidRPr="009E7B2A">
              <w:rPr>
                <w:rFonts w:ascii="宋体" w:eastAsia="宋体" w:hAnsi="宋体" w:cs="宋体" w:hint="eastAsia"/>
                <w:sz w:val="21"/>
              </w:rPr>
              <w:t>□现场参观</w:t>
            </w:r>
          </w:p>
          <w:p w14:paraId="1AF4CCFC" w14:textId="77777777" w:rsidR="0031346F" w:rsidRPr="009E7B2A" w:rsidRDefault="0031346F">
            <w:pPr>
              <w:pStyle w:val="TableParagraph"/>
              <w:spacing w:before="11"/>
              <w:rPr>
                <w:rFonts w:ascii="宋体" w:eastAsia="宋体" w:hAnsi="宋体" w:cs="宋体"/>
              </w:rPr>
            </w:pPr>
          </w:p>
          <w:p w14:paraId="3C688E9A" w14:textId="47DD9CA5" w:rsidR="0031346F" w:rsidRPr="009E7B2A" w:rsidRDefault="00B81077" w:rsidP="00DF2EF8">
            <w:pPr>
              <w:pStyle w:val="TableParagraph"/>
              <w:ind w:left="107"/>
              <w:rPr>
                <w:rFonts w:ascii="宋体" w:eastAsia="宋体" w:hAnsi="宋体" w:cs="宋体"/>
                <w:sz w:val="21"/>
              </w:rPr>
            </w:pPr>
            <w:r w:rsidRPr="009E7B2A">
              <w:rPr>
                <w:rFonts w:ascii="宋体" w:eastAsia="宋体" w:hAnsi="宋体" w:cs="宋体" w:hint="eastAsia"/>
                <w:sz w:val="21"/>
              </w:rPr>
              <w:t>□</w:t>
            </w:r>
            <w:r w:rsidR="00DF2EF8">
              <w:rPr>
                <w:rFonts w:ascii="宋体" w:eastAsia="宋体" w:hAnsi="宋体" w:cs="宋体" w:hint="eastAsia"/>
                <w:sz w:val="21"/>
              </w:rPr>
              <w:t>其他</w:t>
            </w:r>
          </w:p>
        </w:tc>
      </w:tr>
      <w:tr w:rsidR="009E7B2A" w:rsidRPr="009E7B2A" w14:paraId="718A1DD3" w14:textId="77777777" w:rsidTr="00CD403F">
        <w:trPr>
          <w:trHeight w:val="1297"/>
          <w:jc w:val="center"/>
        </w:trPr>
        <w:tc>
          <w:tcPr>
            <w:tcW w:w="2377" w:type="dxa"/>
            <w:vAlign w:val="center"/>
          </w:tcPr>
          <w:p w14:paraId="5DBB0309" w14:textId="4AC93783" w:rsidR="0031346F" w:rsidRPr="009E7B2A" w:rsidRDefault="00FF6EAF" w:rsidP="00110B1D">
            <w:pPr>
              <w:pStyle w:val="TableParagraph"/>
              <w:spacing w:line="560" w:lineRule="exact"/>
              <w:ind w:left="107" w:right="96"/>
              <w:rPr>
                <w:rFonts w:ascii="宋体" w:eastAsia="宋体" w:hAnsi="宋体" w:cs="宋体"/>
                <w:sz w:val="21"/>
              </w:rPr>
            </w:pPr>
            <w:r w:rsidRPr="009E7B2A">
              <w:rPr>
                <w:rFonts w:ascii="宋体" w:eastAsia="宋体" w:hAnsi="宋体" w:cs="宋体" w:hint="eastAsia"/>
                <w:sz w:val="21"/>
              </w:rPr>
              <w:t>参与单位名称</w:t>
            </w:r>
          </w:p>
        </w:tc>
        <w:tc>
          <w:tcPr>
            <w:tcW w:w="6148" w:type="dxa"/>
            <w:vAlign w:val="center"/>
          </w:tcPr>
          <w:p w14:paraId="75ADA42A" w14:textId="77777777" w:rsidR="00B81077" w:rsidRPr="00B81077" w:rsidRDefault="00B81077" w:rsidP="00B81077">
            <w:pPr>
              <w:pStyle w:val="TableParagraph"/>
              <w:spacing w:line="360" w:lineRule="auto"/>
              <w:jc w:val="both"/>
              <w:rPr>
                <w:rFonts w:ascii="宋体" w:eastAsia="宋体" w:hAnsi="宋体" w:cs="宋体"/>
                <w:sz w:val="21"/>
                <w:szCs w:val="21"/>
              </w:rPr>
            </w:pPr>
            <w:proofErr w:type="gramStart"/>
            <w:r w:rsidRPr="00B81077">
              <w:rPr>
                <w:rFonts w:ascii="宋体" w:eastAsia="宋体" w:hAnsi="宋体" w:cs="宋体" w:hint="eastAsia"/>
                <w:sz w:val="21"/>
                <w:szCs w:val="21"/>
              </w:rPr>
              <w:t>国泰海通</w:t>
            </w:r>
            <w:proofErr w:type="gramEnd"/>
            <w:r w:rsidRPr="00B81077">
              <w:rPr>
                <w:rFonts w:ascii="宋体" w:eastAsia="宋体" w:hAnsi="宋体" w:cs="宋体" w:hint="eastAsia"/>
                <w:sz w:val="21"/>
                <w:szCs w:val="21"/>
              </w:rPr>
              <w:t>证券</w:t>
            </w:r>
          </w:p>
          <w:p w14:paraId="217FE42F"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博时基金</w:t>
            </w:r>
          </w:p>
          <w:p w14:paraId="42619B8B"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长信基金</w:t>
            </w:r>
          </w:p>
          <w:p w14:paraId="3598ED60"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华夏基金</w:t>
            </w:r>
          </w:p>
          <w:p w14:paraId="46D75976"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招商基金</w:t>
            </w:r>
          </w:p>
          <w:p w14:paraId="7F78A316" w14:textId="17D5E24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前海开源</w:t>
            </w:r>
          </w:p>
          <w:p w14:paraId="52158A50"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人保资产</w:t>
            </w:r>
          </w:p>
          <w:p w14:paraId="1F67FAB4"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国联基金</w:t>
            </w:r>
          </w:p>
          <w:p w14:paraId="7309847C"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华宝基金</w:t>
            </w:r>
          </w:p>
          <w:p w14:paraId="4F2C729F"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国海富兰克林</w:t>
            </w:r>
          </w:p>
          <w:p w14:paraId="7736150D"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泰康基金</w:t>
            </w:r>
          </w:p>
          <w:p w14:paraId="70D28503"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建信基金</w:t>
            </w:r>
          </w:p>
          <w:p w14:paraId="5745B681"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国新基金</w:t>
            </w:r>
          </w:p>
          <w:p w14:paraId="28775ACA"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大家资产</w:t>
            </w:r>
          </w:p>
          <w:p w14:paraId="05E2CEC1"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融通基金</w:t>
            </w:r>
          </w:p>
          <w:p w14:paraId="69226DA5" w14:textId="77777777" w:rsidR="00B81077" w:rsidRPr="00B81077" w:rsidRDefault="00B81077" w:rsidP="00B81077">
            <w:pPr>
              <w:pStyle w:val="TableParagraph"/>
              <w:spacing w:line="360" w:lineRule="auto"/>
              <w:jc w:val="both"/>
              <w:rPr>
                <w:rFonts w:ascii="宋体" w:eastAsia="宋体" w:hAnsi="宋体" w:cs="宋体"/>
                <w:sz w:val="21"/>
                <w:szCs w:val="21"/>
              </w:rPr>
            </w:pPr>
            <w:proofErr w:type="gramStart"/>
            <w:r w:rsidRPr="00B81077">
              <w:rPr>
                <w:rFonts w:ascii="宋体" w:eastAsia="宋体" w:hAnsi="宋体" w:cs="宋体" w:hint="eastAsia"/>
                <w:sz w:val="21"/>
                <w:szCs w:val="21"/>
              </w:rPr>
              <w:t>交银施罗</w:t>
            </w:r>
            <w:proofErr w:type="gramEnd"/>
            <w:r w:rsidRPr="00B81077">
              <w:rPr>
                <w:rFonts w:ascii="宋体" w:eastAsia="宋体" w:hAnsi="宋体" w:cs="宋体" w:hint="eastAsia"/>
                <w:sz w:val="21"/>
                <w:szCs w:val="21"/>
              </w:rPr>
              <w:t>德基金</w:t>
            </w:r>
          </w:p>
          <w:p w14:paraId="68D5413C" w14:textId="77777777" w:rsidR="00B81077" w:rsidRPr="00B81077" w:rsidRDefault="00B81077" w:rsidP="00B81077">
            <w:pPr>
              <w:pStyle w:val="TableParagraph"/>
              <w:spacing w:line="360" w:lineRule="auto"/>
              <w:jc w:val="both"/>
              <w:rPr>
                <w:rFonts w:ascii="宋体" w:eastAsia="宋体" w:hAnsi="宋体" w:cs="宋体"/>
                <w:sz w:val="21"/>
                <w:szCs w:val="21"/>
              </w:rPr>
            </w:pPr>
            <w:proofErr w:type="gramStart"/>
            <w:r w:rsidRPr="00B81077">
              <w:rPr>
                <w:rFonts w:ascii="宋体" w:eastAsia="宋体" w:hAnsi="宋体" w:cs="宋体" w:hint="eastAsia"/>
                <w:sz w:val="21"/>
                <w:szCs w:val="21"/>
              </w:rPr>
              <w:t>汇添富</w:t>
            </w:r>
            <w:proofErr w:type="gramEnd"/>
            <w:r w:rsidRPr="00B81077">
              <w:rPr>
                <w:rFonts w:ascii="宋体" w:eastAsia="宋体" w:hAnsi="宋体" w:cs="宋体" w:hint="eastAsia"/>
                <w:sz w:val="21"/>
                <w:szCs w:val="21"/>
              </w:rPr>
              <w:t>基金</w:t>
            </w:r>
          </w:p>
          <w:p w14:paraId="58348305" w14:textId="77777777" w:rsidR="00B81077" w:rsidRPr="00B81077" w:rsidRDefault="00B81077" w:rsidP="00B81077">
            <w:pPr>
              <w:pStyle w:val="TableParagraph"/>
              <w:spacing w:line="360" w:lineRule="auto"/>
              <w:jc w:val="both"/>
              <w:rPr>
                <w:rFonts w:ascii="宋体" w:eastAsia="宋体" w:hAnsi="宋体" w:cs="宋体"/>
                <w:sz w:val="21"/>
                <w:szCs w:val="21"/>
              </w:rPr>
            </w:pPr>
            <w:proofErr w:type="gramStart"/>
            <w:r w:rsidRPr="00B81077">
              <w:rPr>
                <w:rFonts w:ascii="宋体" w:eastAsia="宋体" w:hAnsi="宋体" w:cs="宋体" w:hint="eastAsia"/>
                <w:sz w:val="21"/>
                <w:szCs w:val="21"/>
              </w:rPr>
              <w:t>海富通基金</w:t>
            </w:r>
            <w:proofErr w:type="gramEnd"/>
          </w:p>
          <w:p w14:paraId="71934A0E"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平安资产</w:t>
            </w:r>
          </w:p>
          <w:p w14:paraId="3A8CE2DD"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新华资产</w:t>
            </w:r>
          </w:p>
          <w:p w14:paraId="49E801CA"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人保养老</w:t>
            </w:r>
          </w:p>
          <w:p w14:paraId="6499837D" w14:textId="77777777" w:rsidR="00B81077" w:rsidRPr="00B81077" w:rsidRDefault="00B81077" w:rsidP="00B81077">
            <w:pPr>
              <w:pStyle w:val="TableParagraph"/>
              <w:spacing w:line="360" w:lineRule="auto"/>
              <w:jc w:val="both"/>
              <w:rPr>
                <w:rFonts w:ascii="宋体" w:eastAsia="宋体" w:hAnsi="宋体" w:cs="宋体"/>
                <w:sz w:val="21"/>
                <w:szCs w:val="21"/>
              </w:rPr>
            </w:pPr>
            <w:proofErr w:type="gramStart"/>
            <w:r w:rsidRPr="00B81077">
              <w:rPr>
                <w:rFonts w:ascii="宋体" w:eastAsia="宋体" w:hAnsi="宋体" w:cs="宋体" w:hint="eastAsia"/>
                <w:sz w:val="21"/>
                <w:szCs w:val="21"/>
              </w:rPr>
              <w:t>永赢基金</w:t>
            </w:r>
            <w:proofErr w:type="gramEnd"/>
          </w:p>
          <w:p w14:paraId="70563BD5"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建信保险资管</w:t>
            </w:r>
          </w:p>
          <w:p w14:paraId="37424A06"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lastRenderedPageBreak/>
              <w:t>泰康资产</w:t>
            </w:r>
          </w:p>
          <w:p w14:paraId="051E9489" w14:textId="77777777" w:rsidR="00B81077" w:rsidRPr="00B81077"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惠通基金</w:t>
            </w:r>
          </w:p>
          <w:p w14:paraId="013502C5" w14:textId="77777777" w:rsidR="00B81077" w:rsidRPr="00B81077" w:rsidRDefault="00B81077" w:rsidP="00B81077">
            <w:pPr>
              <w:pStyle w:val="TableParagraph"/>
              <w:spacing w:line="360" w:lineRule="auto"/>
              <w:jc w:val="both"/>
              <w:rPr>
                <w:rFonts w:ascii="宋体" w:eastAsia="宋体" w:hAnsi="宋体" w:cs="宋体"/>
                <w:sz w:val="21"/>
                <w:szCs w:val="21"/>
              </w:rPr>
            </w:pPr>
            <w:proofErr w:type="gramStart"/>
            <w:r w:rsidRPr="00B81077">
              <w:rPr>
                <w:rFonts w:ascii="宋体" w:eastAsia="宋体" w:hAnsi="宋体" w:cs="宋体" w:hint="eastAsia"/>
                <w:sz w:val="21"/>
                <w:szCs w:val="21"/>
              </w:rPr>
              <w:t>浦银安</w:t>
            </w:r>
            <w:proofErr w:type="gramEnd"/>
            <w:r w:rsidRPr="00B81077">
              <w:rPr>
                <w:rFonts w:ascii="宋体" w:eastAsia="宋体" w:hAnsi="宋体" w:cs="宋体" w:hint="eastAsia"/>
                <w:sz w:val="21"/>
                <w:szCs w:val="21"/>
              </w:rPr>
              <w:t>盛基金</w:t>
            </w:r>
          </w:p>
          <w:p w14:paraId="69B7FF7A" w14:textId="77777777" w:rsidR="00B81077" w:rsidRPr="00B81077" w:rsidRDefault="00B81077" w:rsidP="00B81077">
            <w:pPr>
              <w:pStyle w:val="TableParagraph"/>
              <w:spacing w:line="360" w:lineRule="auto"/>
              <w:jc w:val="both"/>
              <w:rPr>
                <w:rFonts w:ascii="宋体" w:eastAsia="宋体" w:hAnsi="宋体" w:cs="宋体"/>
                <w:sz w:val="21"/>
                <w:szCs w:val="21"/>
              </w:rPr>
            </w:pPr>
            <w:proofErr w:type="gramStart"/>
            <w:r w:rsidRPr="00B81077">
              <w:rPr>
                <w:rFonts w:ascii="宋体" w:eastAsia="宋体" w:hAnsi="宋体" w:cs="宋体" w:hint="eastAsia"/>
                <w:sz w:val="21"/>
                <w:szCs w:val="21"/>
              </w:rPr>
              <w:t>国投瑞银</w:t>
            </w:r>
            <w:proofErr w:type="gramEnd"/>
            <w:r w:rsidRPr="00B81077">
              <w:rPr>
                <w:rFonts w:ascii="宋体" w:eastAsia="宋体" w:hAnsi="宋体" w:cs="宋体" w:hint="eastAsia"/>
                <w:sz w:val="21"/>
                <w:szCs w:val="21"/>
              </w:rPr>
              <w:t>基金</w:t>
            </w:r>
          </w:p>
          <w:p w14:paraId="49720B7E" w14:textId="52D0E933" w:rsidR="00714E15" w:rsidRPr="00714E15" w:rsidRDefault="00B81077" w:rsidP="00B81077">
            <w:pPr>
              <w:pStyle w:val="TableParagraph"/>
              <w:spacing w:line="360" w:lineRule="auto"/>
              <w:jc w:val="both"/>
              <w:rPr>
                <w:rFonts w:ascii="宋体" w:eastAsia="宋体" w:hAnsi="宋体" w:cs="宋体"/>
                <w:sz w:val="21"/>
                <w:szCs w:val="21"/>
              </w:rPr>
            </w:pPr>
            <w:r w:rsidRPr="00B81077">
              <w:rPr>
                <w:rFonts w:ascii="宋体" w:eastAsia="宋体" w:hAnsi="宋体" w:cs="宋体" w:hint="eastAsia"/>
                <w:sz w:val="21"/>
                <w:szCs w:val="21"/>
              </w:rPr>
              <w:t>中欧基金</w:t>
            </w:r>
          </w:p>
          <w:p w14:paraId="6A704EC0" w14:textId="7D52303E" w:rsidR="0031346F" w:rsidRPr="009E7B2A" w:rsidRDefault="0031346F" w:rsidP="00F54B73">
            <w:pPr>
              <w:pStyle w:val="TableParagraph"/>
              <w:spacing w:line="360" w:lineRule="auto"/>
              <w:jc w:val="both"/>
              <w:rPr>
                <w:rFonts w:ascii="宋体" w:eastAsia="宋体" w:hAnsi="宋体" w:cs="宋体"/>
                <w:sz w:val="21"/>
                <w:szCs w:val="21"/>
              </w:rPr>
            </w:pPr>
          </w:p>
        </w:tc>
      </w:tr>
      <w:tr w:rsidR="009E7B2A" w:rsidRPr="009E7B2A" w14:paraId="4FCFBF04" w14:textId="77777777" w:rsidTr="00E84A45">
        <w:trPr>
          <w:trHeight w:val="558"/>
          <w:jc w:val="center"/>
        </w:trPr>
        <w:tc>
          <w:tcPr>
            <w:tcW w:w="2377" w:type="dxa"/>
            <w:vAlign w:val="center"/>
          </w:tcPr>
          <w:p w14:paraId="55D3FACB" w14:textId="77777777" w:rsidR="0031346F" w:rsidRPr="009E7B2A" w:rsidRDefault="00FF6EAF">
            <w:pPr>
              <w:pStyle w:val="TableParagraph"/>
              <w:spacing w:before="1"/>
              <w:ind w:left="107"/>
              <w:rPr>
                <w:rFonts w:ascii="宋体" w:eastAsia="宋体" w:hAnsi="宋体" w:cs="宋体"/>
                <w:sz w:val="21"/>
                <w:szCs w:val="21"/>
              </w:rPr>
            </w:pPr>
            <w:r w:rsidRPr="009E7B2A">
              <w:rPr>
                <w:rFonts w:ascii="宋体" w:eastAsia="宋体" w:hAnsi="宋体" w:cs="宋体" w:hint="eastAsia"/>
                <w:sz w:val="21"/>
                <w:szCs w:val="21"/>
              </w:rPr>
              <w:lastRenderedPageBreak/>
              <w:t>时间</w:t>
            </w:r>
          </w:p>
        </w:tc>
        <w:tc>
          <w:tcPr>
            <w:tcW w:w="6148" w:type="dxa"/>
            <w:vAlign w:val="center"/>
          </w:tcPr>
          <w:p w14:paraId="40491C4E" w14:textId="24851A5A" w:rsidR="0031346F" w:rsidRPr="009E7B2A" w:rsidRDefault="00110B1D" w:rsidP="009E21EA">
            <w:pPr>
              <w:pStyle w:val="TableParagraph"/>
              <w:rPr>
                <w:rFonts w:ascii="宋体" w:eastAsia="宋体" w:hAnsi="宋体" w:cs="宋体"/>
                <w:sz w:val="21"/>
                <w:szCs w:val="21"/>
              </w:rPr>
            </w:pPr>
            <w:r w:rsidRPr="009E7B2A">
              <w:rPr>
                <w:rFonts w:ascii="宋体" w:eastAsia="宋体" w:hAnsi="宋体" w:cs="宋体" w:hint="eastAsia"/>
                <w:sz w:val="21"/>
                <w:szCs w:val="21"/>
              </w:rPr>
              <w:t>202</w:t>
            </w:r>
            <w:r w:rsidR="0069410E">
              <w:rPr>
                <w:rFonts w:ascii="宋体" w:eastAsia="宋体" w:hAnsi="宋体" w:cs="宋体"/>
                <w:sz w:val="21"/>
                <w:szCs w:val="21"/>
              </w:rPr>
              <w:t>5</w:t>
            </w:r>
            <w:r w:rsidRPr="009E7B2A">
              <w:rPr>
                <w:rFonts w:ascii="宋体" w:eastAsia="宋体" w:hAnsi="宋体" w:cs="宋体" w:hint="eastAsia"/>
                <w:sz w:val="21"/>
                <w:szCs w:val="21"/>
              </w:rPr>
              <w:t>年</w:t>
            </w:r>
            <w:r w:rsidR="0069410E">
              <w:rPr>
                <w:rFonts w:ascii="宋体" w:eastAsia="宋体" w:hAnsi="宋体" w:cs="宋体"/>
                <w:sz w:val="21"/>
                <w:szCs w:val="21"/>
              </w:rPr>
              <w:t>6</w:t>
            </w:r>
            <w:r w:rsidRPr="009E7B2A">
              <w:rPr>
                <w:rFonts w:ascii="宋体" w:eastAsia="宋体" w:hAnsi="宋体" w:cs="宋体" w:hint="eastAsia"/>
                <w:sz w:val="21"/>
                <w:szCs w:val="21"/>
              </w:rPr>
              <w:t>月</w:t>
            </w:r>
            <w:r w:rsidR="00B81077">
              <w:rPr>
                <w:rFonts w:ascii="宋体" w:eastAsia="宋体" w:hAnsi="宋体" w:cs="宋体"/>
                <w:sz w:val="21"/>
                <w:szCs w:val="21"/>
              </w:rPr>
              <w:t>16</w:t>
            </w:r>
            <w:r w:rsidRPr="009E7B2A">
              <w:rPr>
                <w:rFonts w:ascii="宋体" w:eastAsia="宋体" w:hAnsi="宋体" w:cs="宋体" w:hint="eastAsia"/>
                <w:sz w:val="21"/>
                <w:szCs w:val="21"/>
              </w:rPr>
              <w:t>日</w:t>
            </w:r>
          </w:p>
        </w:tc>
      </w:tr>
      <w:tr w:rsidR="009E7B2A" w:rsidRPr="009E7B2A" w14:paraId="7D7A49EB" w14:textId="77777777" w:rsidTr="00E84A45">
        <w:trPr>
          <w:trHeight w:val="561"/>
          <w:jc w:val="center"/>
        </w:trPr>
        <w:tc>
          <w:tcPr>
            <w:tcW w:w="2377" w:type="dxa"/>
            <w:vAlign w:val="center"/>
          </w:tcPr>
          <w:p w14:paraId="7A719E4D" w14:textId="657550EE" w:rsidR="0031346F" w:rsidRPr="009E7B2A" w:rsidRDefault="00110B1D">
            <w:pPr>
              <w:pStyle w:val="TableParagraph"/>
              <w:ind w:left="107"/>
              <w:rPr>
                <w:rFonts w:ascii="宋体" w:eastAsia="宋体" w:hAnsi="宋体" w:cs="宋体"/>
                <w:sz w:val="21"/>
                <w:szCs w:val="21"/>
              </w:rPr>
            </w:pPr>
            <w:r w:rsidRPr="009E7B2A">
              <w:rPr>
                <w:rFonts w:ascii="宋体" w:eastAsia="宋体" w:hAnsi="宋体" w:cs="宋体" w:hint="eastAsia"/>
                <w:sz w:val="21"/>
                <w:szCs w:val="21"/>
              </w:rPr>
              <w:t>地</w:t>
            </w:r>
            <w:r w:rsidR="00FF6EAF" w:rsidRPr="009E7B2A">
              <w:rPr>
                <w:rFonts w:ascii="宋体" w:eastAsia="宋体" w:hAnsi="宋体" w:cs="宋体" w:hint="eastAsia"/>
                <w:sz w:val="21"/>
                <w:szCs w:val="21"/>
              </w:rPr>
              <w:t>点</w:t>
            </w:r>
            <w:r w:rsidRPr="009E7B2A">
              <w:rPr>
                <w:rFonts w:ascii="宋体" w:eastAsia="宋体" w:hAnsi="宋体" w:cs="宋体" w:hint="eastAsia"/>
                <w:sz w:val="21"/>
                <w:szCs w:val="21"/>
              </w:rPr>
              <w:t>、形式</w:t>
            </w:r>
          </w:p>
        </w:tc>
        <w:tc>
          <w:tcPr>
            <w:tcW w:w="6148" w:type="dxa"/>
            <w:vAlign w:val="center"/>
          </w:tcPr>
          <w:p w14:paraId="73D2EA7A" w14:textId="18CC0609" w:rsidR="0031346F" w:rsidRPr="009E7B2A" w:rsidRDefault="00B81077" w:rsidP="0069410E">
            <w:pPr>
              <w:pStyle w:val="TableParagraph"/>
              <w:rPr>
                <w:rFonts w:ascii="宋体" w:eastAsia="宋体" w:hAnsi="宋体" w:cs="宋体"/>
                <w:sz w:val="21"/>
                <w:szCs w:val="21"/>
              </w:rPr>
            </w:pPr>
            <w:r>
              <w:rPr>
                <w:rFonts w:ascii="宋体" w:eastAsia="宋体" w:hAnsi="宋体" w:cs="宋体"/>
                <w:sz w:val="21"/>
                <w:szCs w:val="21"/>
              </w:rPr>
              <w:t>线上会议</w:t>
            </w:r>
          </w:p>
        </w:tc>
      </w:tr>
      <w:tr w:rsidR="009E7B2A" w:rsidRPr="00C92403" w14:paraId="25730F3D" w14:textId="77777777" w:rsidTr="00F42864">
        <w:trPr>
          <w:trHeight w:val="824"/>
          <w:jc w:val="center"/>
        </w:trPr>
        <w:tc>
          <w:tcPr>
            <w:tcW w:w="2377" w:type="dxa"/>
            <w:vAlign w:val="center"/>
          </w:tcPr>
          <w:p w14:paraId="69A78EE7" w14:textId="77777777" w:rsidR="0031346F" w:rsidRPr="009E7B2A" w:rsidRDefault="00FF6EAF">
            <w:pPr>
              <w:pStyle w:val="TableParagraph"/>
              <w:spacing w:before="1"/>
              <w:ind w:left="107"/>
              <w:rPr>
                <w:rFonts w:ascii="宋体" w:eastAsia="宋体" w:hAnsi="宋体" w:cs="宋体"/>
                <w:sz w:val="21"/>
              </w:rPr>
            </w:pPr>
            <w:r w:rsidRPr="009E7B2A">
              <w:rPr>
                <w:rFonts w:ascii="宋体" w:eastAsia="宋体" w:hAnsi="宋体" w:cs="宋体" w:hint="eastAsia"/>
                <w:sz w:val="21"/>
              </w:rPr>
              <w:t>上市公司接待人员姓名</w:t>
            </w:r>
          </w:p>
        </w:tc>
        <w:tc>
          <w:tcPr>
            <w:tcW w:w="6148" w:type="dxa"/>
            <w:vAlign w:val="center"/>
          </w:tcPr>
          <w:p w14:paraId="5C22285B" w14:textId="02B7886B" w:rsidR="00044D79" w:rsidRPr="009E7B2A" w:rsidRDefault="00B81077" w:rsidP="00B81077">
            <w:pPr>
              <w:pStyle w:val="TableParagraph"/>
              <w:rPr>
                <w:rFonts w:ascii="宋体" w:eastAsia="宋体" w:hAnsi="宋体" w:cs="宋体"/>
                <w:sz w:val="21"/>
                <w:szCs w:val="21"/>
                <w:lang w:val="en-US"/>
              </w:rPr>
            </w:pPr>
            <w:r>
              <w:rPr>
                <w:rFonts w:ascii="宋体" w:eastAsia="宋体" w:hAnsi="宋体" w:cs="宋体" w:hint="eastAsia"/>
                <w:sz w:val="21"/>
                <w:szCs w:val="21"/>
                <w:lang w:val="en-US"/>
              </w:rPr>
              <w:t>国际化业务负责人：邱烽秦；</w:t>
            </w:r>
            <w:r w:rsidR="00D54DA9" w:rsidRPr="009E7B2A">
              <w:rPr>
                <w:rFonts w:ascii="宋体" w:eastAsia="宋体" w:hAnsi="宋体" w:cs="宋体" w:hint="eastAsia"/>
                <w:sz w:val="21"/>
                <w:szCs w:val="21"/>
                <w:lang w:val="en-US"/>
              </w:rPr>
              <w:t>投资者关系</w:t>
            </w:r>
            <w:r w:rsidR="0069410E">
              <w:rPr>
                <w:rFonts w:ascii="宋体" w:eastAsia="宋体" w:hAnsi="宋体" w:cs="宋体" w:hint="eastAsia"/>
                <w:sz w:val="21"/>
                <w:szCs w:val="21"/>
                <w:lang w:val="en-US"/>
              </w:rPr>
              <w:t>负责人</w:t>
            </w:r>
            <w:r w:rsidR="00D54DA9" w:rsidRPr="009E7B2A">
              <w:rPr>
                <w:rFonts w:ascii="宋体" w:eastAsia="宋体" w:hAnsi="宋体" w:cs="宋体" w:hint="eastAsia"/>
                <w:sz w:val="21"/>
                <w:szCs w:val="21"/>
                <w:lang w:val="en-US"/>
              </w:rPr>
              <w:t>：</w:t>
            </w:r>
            <w:r w:rsidR="002154C3">
              <w:rPr>
                <w:rFonts w:ascii="宋体" w:eastAsia="宋体" w:hAnsi="宋体" w:cs="宋体" w:hint="eastAsia"/>
                <w:sz w:val="21"/>
                <w:szCs w:val="21"/>
                <w:lang w:val="en-US"/>
              </w:rPr>
              <w:t>温霖炜</w:t>
            </w:r>
          </w:p>
        </w:tc>
      </w:tr>
      <w:tr w:rsidR="009E7B2A" w:rsidRPr="009E7B2A" w14:paraId="74B6F805" w14:textId="77777777" w:rsidTr="00E84A45">
        <w:trPr>
          <w:trHeight w:val="2800"/>
          <w:jc w:val="center"/>
        </w:trPr>
        <w:tc>
          <w:tcPr>
            <w:tcW w:w="2377" w:type="dxa"/>
            <w:vAlign w:val="center"/>
          </w:tcPr>
          <w:p w14:paraId="29E3D84A" w14:textId="77777777" w:rsidR="003B6913" w:rsidRPr="009E7B2A" w:rsidRDefault="00FF6EAF">
            <w:pPr>
              <w:pStyle w:val="TableParagraph"/>
              <w:spacing w:before="1" w:line="499" w:lineRule="auto"/>
              <w:ind w:left="107" w:right="96"/>
              <w:rPr>
                <w:rFonts w:ascii="宋体" w:eastAsia="宋体" w:hAnsi="宋体" w:cs="宋体"/>
                <w:sz w:val="21"/>
              </w:rPr>
            </w:pPr>
            <w:r w:rsidRPr="009E7B2A">
              <w:rPr>
                <w:rFonts w:ascii="宋体" w:eastAsia="宋体" w:hAnsi="宋体" w:cs="宋体" w:hint="eastAsia"/>
                <w:sz w:val="21"/>
              </w:rPr>
              <w:t>投资者关系活动</w:t>
            </w:r>
          </w:p>
          <w:p w14:paraId="2CA7F165" w14:textId="24ED4C7A" w:rsidR="0031346F" w:rsidRPr="009E7B2A" w:rsidRDefault="00FF6EAF">
            <w:pPr>
              <w:pStyle w:val="TableParagraph"/>
              <w:spacing w:before="1" w:line="499" w:lineRule="auto"/>
              <w:ind w:left="107" w:right="96"/>
              <w:rPr>
                <w:rFonts w:ascii="宋体" w:eastAsia="宋体" w:hAnsi="宋体" w:cs="宋体"/>
                <w:sz w:val="21"/>
              </w:rPr>
            </w:pPr>
            <w:r w:rsidRPr="009E7B2A">
              <w:rPr>
                <w:rFonts w:ascii="宋体" w:eastAsia="宋体" w:hAnsi="宋体" w:cs="宋体" w:hint="eastAsia"/>
                <w:sz w:val="21"/>
              </w:rPr>
              <w:t>主要内容介绍</w:t>
            </w:r>
          </w:p>
        </w:tc>
        <w:tc>
          <w:tcPr>
            <w:tcW w:w="6148" w:type="dxa"/>
            <w:vAlign w:val="center"/>
          </w:tcPr>
          <w:p w14:paraId="1B135AAA" w14:textId="54E6CB3A" w:rsidR="00B81077" w:rsidRDefault="00B81077" w:rsidP="00B81077">
            <w:pPr>
              <w:pStyle w:val="a6"/>
              <w:numPr>
                <w:ilvl w:val="0"/>
                <w:numId w:val="4"/>
              </w:numPr>
              <w:ind w:firstLineChars="0"/>
            </w:pPr>
            <w:r w:rsidRPr="00B81077">
              <w:t>JH389项目进展</w:t>
            </w:r>
          </w:p>
          <w:p w14:paraId="43D90AFB" w14:textId="33D85C7A" w:rsidR="00B81077" w:rsidRDefault="00B81077" w:rsidP="00B81077">
            <w:r>
              <w:rPr>
                <w:rFonts w:hint="eastAsia"/>
              </w:rPr>
              <w:t>研发历程：美诺华与密歇根大学签订战略合作协议并启动联合研发，于2</w:t>
            </w:r>
            <w:r>
              <w:t>024年9月取得小鼠模型积极数据，10月在C</w:t>
            </w:r>
            <w:r w:rsidR="00520B96">
              <w:t>p</w:t>
            </w:r>
            <w:r>
              <w:t>hI</w:t>
            </w:r>
            <w:r w:rsidR="00520B96">
              <w:t>（</w:t>
            </w:r>
            <w:r w:rsidR="00520B96" w:rsidRPr="00520B96">
              <w:rPr>
                <w:rFonts w:hint="eastAsia"/>
              </w:rPr>
              <w:t>世界制药原料展</w:t>
            </w:r>
            <w:r w:rsidR="00520B96">
              <w:t>）</w:t>
            </w:r>
            <w:r>
              <w:t>米兰站公开研发成果获多个欧洲公司关注。</w:t>
            </w:r>
            <w:r>
              <w:rPr>
                <w:rFonts w:hint="eastAsia"/>
              </w:rPr>
              <w:t>2</w:t>
            </w:r>
            <w:r>
              <w:t>025年4月委托E</w:t>
            </w:r>
            <w:r w:rsidR="00985CB0">
              <w:rPr>
                <w:rFonts w:hint="eastAsia"/>
              </w:rPr>
              <w:t>u</w:t>
            </w:r>
            <w:r>
              <w:t>stone与意向合作</w:t>
            </w:r>
            <w:proofErr w:type="gramStart"/>
            <w:r>
              <w:t>方接触</w:t>
            </w:r>
            <w:proofErr w:type="gramEnd"/>
            <w:r>
              <w:t>推进欧洲商业化落地并签订合作协议，6月取得肥胖动物模型积极数据并在相关大会发布。</w:t>
            </w:r>
          </w:p>
          <w:p w14:paraId="788723E2" w14:textId="77777777" w:rsidR="00B81077" w:rsidRDefault="00B81077" w:rsidP="00B81077">
            <w:r>
              <w:rPr>
                <w:rFonts w:hint="eastAsia"/>
              </w:rPr>
              <w:t>近期成果：</w:t>
            </w:r>
            <w:r>
              <w:t>2025年6月取得肥胖动物模型的积极数据，这一成果为项目后续推进提供了重要支撑，显示出JH389项目在肥胖治疗领域的潜在价值。</w:t>
            </w:r>
          </w:p>
          <w:p w14:paraId="71B79224" w14:textId="77777777" w:rsidR="00534B67" w:rsidRDefault="00534B67" w:rsidP="00B81077"/>
          <w:p w14:paraId="73789A19" w14:textId="77777777" w:rsidR="00B81077" w:rsidRDefault="00B81077" w:rsidP="00B81077">
            <w:r>
              <w:t>2. 研发团队情况</w:t>
            </w:r>
          </w:p>
          <w:p w14:paraId="74BC9ACE" w14:textId="77777777" w:rsidR="00B81077" w:rsidRDefault="00B81077" w:rsidP="00B81077">
            <w:r>
              <w:rPr>
                <w:rFonts w:hint="eastAsia"/>
              </w:rPr>
              <w:t>背景：团队来自密歇根大学安娜堡分校工程系生物医药实验室，该实验室在医药领域有一定地位，重点关注基于分子和细胞疗法开发，运用生物化学、合成生物学和微生物学等研究调控治疗药物，涉及生物纳米技术、分子工程、药物输送、治疗学及合成生物学等领域。</w:t>
            </w:r>
          </w:p>
          <w:p w14:paraId="028BB611" w14:textId="77777777" w:rsidR="00B81077" w:rsidRDefault="00B81077" w:rsidP="00B81077">
            <w:r>
              <w:rPr>
                <w:rFonts w:hint="eastAsia"/>
              </w:rPr>
              <w:t>成就：团队获得多个与肿瘤、免疫和癌症相关的国际奖项，从美国政府、国防部、国立卫生院等机构累计获得超</w:t>
            </w:r>
            <w:r>
              <w:t>3000万美金资金，主要涉及癌症及免疫相关项目，并发表了相关文献。</w:t>
            </w:r>
          </w:p>
          <w:p w14:paraId="2A6E6B3C" w14:textId="77777777" w:rsidR="00534B67" w:rsidRDefault="00534B67" w:rsidP="00B81077"/>
          <w:p w14:paraId="44D46CF0" w14:textId="77777777" w:rsidR="00B81077" w:rsidRDefault="00B81077" w:rsidP="00B81077">
            <w:r>
              <w:t>3. 递送平台技术</w:t>
            </w:r>
          </w:p>
          <w:p w14:paraId="246406F6" w14:textId="77777777" w:rsidR="00B81077" w:rsidRDefault="00B81077" w:rsidP="00B81077">
            <w:r>
              <w:rPr>
                <w:rFonts w:hint="eastAsia"/>
              </w:rPr>
              <w:t>平台核心：</w:t>
            </w:r>
            <w:r>
              <w:t>JH389项目基于递送平台开发，该平台核心是通过技术手段，选择合适载体高效递送目标药物成分。</w:t>
            </w:r>
          </w:p>
          <w:p w14:paraId="2C6BD8B2" w14:textId="67F09163" w:rsidR="00B81077" w:rsidRDefault="00B81077" w:rsidP="00B81077">
            <w:r>
              <w:rPr>
                <w:rFonts w:hint="eastAsia"/>
              </w:rPr>
              <w:t>载体应用：益生菌载体方面，</w:t>
            </w:r>
            <w:r>
              <w:t>JH389选用益生菌载体，因细胞载体价格贵、需注射，且部分有效成分不适宜长时间停留体内，而益生菌平台可避免这些问题，JH389通过益生菌源源不断向肠道内递送GLP-1类似物，而非传统的延长半衰期，在达到效果的同时，降低副作用概率，起到长效缓释的作用。</w:t>
            </w:r>
          </w:p>
          <w:p w14:paraId="4064E986" w14:textId="77777777" w:rsidR="00B81077" w:rsidRDefault="00B81077" w:rsidP="00B81077">
            <w:r>
              <w:rPr>
                <w:rFonts w:hint="eastAsia"/>
              </w:rPr>
              <w:t>主要技术：涉及酶工程、基因工程、代谢工程。酶工程用于构建高效生物反应器，基因工程解决平台表达量问题，代谢工程通过酶的合成和抑制特定水解酶功能，实现目标物质在载体内负载，如针对高脂血症产品，调控益生菌中乳酸氧化酶表达量及过氧化氢分解速度。</w:t>
            </w:r>
          </w:p>
          <w:p w14:paraId="7A5F90BE" w14:textId="2B4A3EDA" w:rsidR="00B81077" w:rsidRDefault="00B81077" w:rsidP="00B81077">
            <w:r>
              <w:rPr>
                <w:rFonts w:hint="eastAsia"/>
              </w:rPr>
              <w:t>应用前景：递送平台可实现双靶点甚至多靶点递送，在减肥</w:t>
            </w:r>
            <w:r>
              <w:t>GLP-1相关领域，多靶点</w:t>
            </w:r>
            <w:r w:rsidR="00985CB0">
              <w:rPr>
                <w:rFonts w:hint="eastAsia"/>
              </w:rPr>
              <w:t>联</w:t>
            </w:r>
            <w:r>
              <w:t>用可提升效果，该平台在产品迭代中有广阔前景。</w:t>
            </w:r>
          </w:p>
          <w:p w14:paraId="6914B5E2" w14:textId="77777777" w:rsidR="00534B67" w:rsidRDefault="00534B67" w:rsidP="00B81077"/>
          <w:p w14:paraId="3F40CBC6" w14:textId="77777777" w:rsidR="00B81077" w:rsidRDefault="00B81077" w:rsidP="00B81077">
            <w:r>
              <w:t>4. JH389模拟场景与成果</w:t>
            </w:r>
          </w:p>
          <w:p w14:paraId="46352EF5" w14:textId="5A59EEB6" w:rsidR="00534B67" w:rsidRDefault="00B81077" w:rsidP="00B81077">
            <w:r>
              <w:rPr>
                <w:rFonts w:hint="eastAsia"/>
              </w:rPr>
              <w:t>模拟场景：</w:t>
            </w:r>
            <w:proofErr w:type="gramStart"/>
            <w:r>
              <w:rPr>
                <w:rFonts w:hint="eastAsia"/>
              </w:rPr>
              <w:t>将益生</w:t>
            </w:r>
            <w:proofErr w:type="gramEnd"/>
            <w:r>
              <w:rPr>
                <w:rFonts w:hint="eastAsia"/>
              </w:rPr>
              <w:t>菌口服，通过平台递送使其在胃酸中保持活性，顺利抵达肠道，在肠道中表达</w:t>
            </w:r>
            <w:r>
              <w:t>GLP - 1类似物，在益生</w:t>
            </w:r>
            <w:proofErr w:type="gramStart"/>
            <w:r>
              <w:t>菌达到</w:t>
            </w:r>
            <w:proofErr w:type="gramEnd"/>
            <w:r>
              <w:t>设计寿命后通过人体代谢排出。</w:t>
            </w:r>
          </w:p>
          <w:p w14:paraId="01574D84" w14:textId="77777777" w:rsidR="00534B67" w:rsidRDefault="00B81077" w:rsidP="00B81077">
            <w:r>
              <w:rPr>
                <w:rFonts w:hint="eastAsia"/>
              </w:rPr>
              <w:t>阶段性成果：</w:t>
            </w:r>
          </w:p>
          <w:p w14:paraId="7AAC24D5" w14:textId="77777777" w:rsidR="002E7056" w:rsidRDefault="00B81077" w:rsidP="00B81077">
            <w:r>
              <w:rPr>
                <w:rFonts w:hint="eastAsia"/>
              </w:rPr>
              <w:t>实验模型</w:t>
            </w:r>
          </w:p>
          <w:p w14:paraId="0AC9BDCF" w14:textId="390E0461" w:rsidR="00985CB0" w:rsidRDefault="00B81077" w:rsidP="00B81077">
            <w:r>
              <w:rPr>
                <w:rFonts w:hint="eastAsia"/>
              </w:rPr>
              <w:t>动物模型：高脂饮食（</w:t>
            </w:r>
            <w:r>
              <w:t>HFD）诱导的肥胖小鼠模型</w:t>
            </w:r>
          </w:p>
          <w:p w14:paraId="6427316E" w14:textId="77777777" w:rsidR="00985CB0" w:rsidRDefault="00B81077" w:rsidP="00B81077">
            <w:r>
              <w:t>环境控制：30℃恒温环境</w:t>
            </w:r>
          </w:p>
          <w:p w14:paraId="73E4BBCB" w14:textId="77777777" w:rsidR="00985CB0" w:rsidRDefault="00B81077" w:rsidP="00B81077">
            <w:r>
              <w:t>分组设计</w:t>
            </w:r>
          </w:p>
          <w:p w14:paraId="4A76D0F1" w14:textId="14375799" w:rsidR="00985CB0" w:rsidRDefault="00B81077" w:rsidP="00B81077">
            <w:r>
              <w:t>实验组：JH389灌胃（n</w:t>
            </w:r>
            <w:r w:rsidR="006C4DC4">
              <w:t>（样本数量）</w:t>
            </w:r>
            <w:r>
              <w:t>=20）</w:t>
            </w:r>
          </w:p>
          <w:p w14:paraId="7E14BC0B" w14:textId="77777777" w:rsidR="006E4AA2" w:rsidRDefault="00B81077" w:rsidP="00B81077">
            <w:pPr>
              <w:rPr>
                <w:rFonts w:hint="eastAsia"/>
              </w:rPr>
            </w:pPr>
            <w:r>
              <w:t>对照组：sfGFP</w:t>
            </w:r>
            <w:r w:rsidR="006E4AA2">
              <w:t>（</w:t>
            </w:r>
            <w:r w:rsidR="006E4AA2" w:rsidRPr="006E4AA2">
              <w:rPr>
                <w:rFonts w:hint="eastAsia"/>
              </w:rPr>
              <w:t>绿色荧光蛋白载体菌</w:t>
            </w:r>
            <w:r w:rsidR="006E4AA2">
              <w:t>）</w:t>
            </w:r>
            <w:r>
              <w:t>灌胃（n</w:t>
            </w:r>
            <w:bookmarkStart w:id="0" w:name="OLE_LINK1"/>
            <w:r w:rsidR="006C4DC4">
              <w:t>（样本数量）</w:t>
            </w:r>
            <w:bookmarkEnd w:id="0"/>
            <w:r>
              <w:t>=20，绿色荧光蛋白载体，排除载体干扰）</w:t>
            </w:r>
          </w:p>
          <w:p w14:paraId="2068AD7E" w14:textId="7C7F00A8" w:rsidR="00985CB0" w:rsidRDefault="00B81077" w:rsidP="00B81077">
            <w:r>
              <w:t>空白组：生理盐水灌胃（n</w:t>
            </w:r>
            <w:r w:rsidR="006C4DC4">
              <w:t>（样本数量）</w:t>
            </w:r>
            <w:r>
              <w:t>=20）</w:t>
            </w:r>
          </w:p>
          <w:p w14:paraId="750BE299" w14:textId="1380DF34" w:rsidR="00985CB0" w:rsidRDefault="00B81077" w:rsidP="00B81077">
            <w:r>
              <w:t>基线组：引入同周龄正常饮食小鼠作为体重基线</w:t>
            </w:r>
          </w:p>
          <w:p w14:paraId="51FF9885" w14:textId="3351D57C" w:rsidR="00985CB0" w:rsidRDefault="00B81077" w:rsidP="00B81077">
            <w:r>
              <w:t>干预周期5周（持续HFD喂养）</w:t>
            </w:r>
          </w:p>
          <w:p w14:paraId="35CA4B5E" w14:textId="77777777" w:rsidR="00534B67" w:rsidRDefault="00534B67" w:rsidP="00B81077"/>
          <w:p w14:paraId="193A831F" w14:textId="556B8145" w:rsidR="00985CB0" w:rsidRDefault="00B81077" w:rsidP="00B81077">
            <w:r>
              <w:t>血糖调控效果</w:t>
            </w:r>
            <w:r w:rsidR="00534B67">
              <w:t>：</w:t>
            </w:r>
          </w:p>
          <w:p w14:paraId="43BD855B" w14:textId="282AB5E5" w:rsidR="00985CB0" w:rsidRDefault="00B81077" w:rsidP="00B81077">
            <w:r>
              <w:t>急性干预（第3天OGTT</w:t>
            </w:r>
            <w:r w:rsidR="006C4DC4">
              <w:t>（</w:t>
            </w:r>
            <w:r w:rsidR="006C4DC4" w:rsidRPr="006C4DC4">
              <w:rPr>
                <w:rFonts w:hint="eastAsia"/>
              </w:rPr>
              <w:t>糖耐量试验</w:t>
            </w:r>
            <w:r w:rsidR="006C4DC4">
              <w:t>）</w:t>
            </w:r>
            <w:r>
              <w:t>）</w:t>
            </w:r>
          </w:p>
          <w:p w14:paraId="501355E5" w14:textId="58B1D025" w:rsidR="00985CB0" w:rsidRDefault="00B81077" w:rsidP="00B81077">
            <w:r>
              <w:t>JH389组血糖曲线与对照组、空白</w:t>
            </w:r>
            <w:proofErr w:type="gramStart"/>
            <w:r>
              <w:t>组完全</w:t>
            </w:r>
            <w:proofErr w:type="gramEnd"/>
            <w:r>
              <w:t>趋同，排除了急性干预对葡萄糖吸收的直接影响。</w:t>
            </w:r>
          </w:p>
          <w:p w14:paraId="388AFE59" w14:textId="77777777" w:rsidR="00985CB0" w:rsidRDefault="00B81077" w:rsidP="00B81077">
            <w:r>
              <w:t>慢性干预（3周后OGTT）</w:t>
            </w:r>
          </w:p>
          <w:p w14:paraId="5A05572D" w14:textId="355F7C83" w:rsidR="00985CB0" w:rsidRDefault="00B81077" w:rsidP="00B81077">
            <w:r>
              <w:t>血糖下降速率：JH389组显著快于</w:t>
            </w:r>
            <w:r>
              <w:rPr>
                <w:rFonts w:hint="eastAsia"/>
              </w:rPr>
              <w:t>其他组别（</w:t>
            </w:r>
            <w:r>
              <w:t>P</w:t>
            </w:r>
            <w:r w:rsidR="006E4AA2">
              <w:t>（波动率）</w:t>
            </w:r>
            <w:r>
              <w:t>&lt;0.01）。</w:t>
            </w:r>
          </w:p>
          <w:p w14:paraId="617C5220" w14:textId="4CFDC368" w:rsidR="00985CB0" w:rsidRDefault="00B81077" w:rsidP="00B81077">
            <w:r>
              <w:t>胰岛素水平：JH389曲线下面积（AUC</w:t>
            </w:r>
            <w:r w:rsidR="006C4DC4">
              <w:t>（</w:t>
            </w:r>
            <w:r w:rsidR="006C4DC4" w:rsidRPr="006C4DC4">
              <w:rPr>
                <w:rFonts w:hint="eastAsia"/>
              </w:rPr>
              <w:t>胰岛素</w:t>
            </w:r>
            <w:r w:rsidR="006C4DC4">
              <w:t>）</w:t>
            </w:r>
            <w:r>
              <w:t>）较对照组降低 28%（P&lt;0.05）。</w:t>
            </w:r>
          </w:p>
          <w:p w14:paraId="2CBA2912" w14:textId="77777777" w:rsidR="00534B67" w:rsidRDefault="00534B67" w:rsidP="00B81077"/>
          <w:p w14:paraId="13E64EF8" w14:textId="77777777" w:rsidR="00985CB0" w:rsidRDefault="00B81077" w:rsidP="00B81077">
            <w:r>
              <w:t>减重与血糖实验同时进行，延长两周</w:t>
            </w:r>
          </w:p>
          <w:p w14:paraId="46967E5B" w14:textId="184B0E22" w:rsidR="00985CB0" w:rsidRDefault="00B81077" w:rsidP="00B81077">
            <w:r>
              <w:t>减重效果</w:t>
            </w:r>
            <w:r w:rsidR="00534B67">
              <w:t>：</w:t>
            </w:r>
          </w:p>
          <w:p w14:paraId="6D39CE25" w14:textId="77777777" w:rsidR="00985CB0" w:rsidRDefault="00B81077" w:rsidP="00B81077">
            <w:r>
              <w:t>体重变化（5周）：</w:t>
            </w:r>
          </w:p>
          <w:p w14:paraId="4FFD4B25" w14:textId="77777777" w:rsidR="00985CB0" w:rsidRDefault="00B81077" w:rsidP="00B81077">
            <w:r>
              <w:t>基线组（正常饮食）：+1.2±0.3g</w:t>
            </w:r>
          </w:p>
          <w:p w14:paraId="6D1D65AF" w14:textId="77777777" w:rsidR="00985CB0" w:rsidRDefault="00B81077" w:rsidP="00B81077">
            <w:r>
              <w:t>空白组（HFD）：+6.8±0.7g</w:t>
            </w:r>
          </w:p>
          <w:p w14:paraId="0097BEBE" w14:textId="77777777" w:rsidR="00985CB0" w:rsidRDefault="00B81077" w:rsidP="00B81077">
            <w:r>
              <w:t>对照组（sfGFP）：+6.5±0.5g</w:t>
            </w:r>
          </w:p>
          <w:p w14:paraId="3C800E86" w14:textId="77777777" w:rsidR="00534B67" w:rsidRDefault="00B81077" w:rsidP="00B81077">
            <w:r>
              <w:t>实验组（JH389）：-1.8±0.4g（较对照组减重8.3g，P&lt;0.001）</w:t>
            </w:r>
          </w:p>
          <w:p w14:paraId="55A29B9E" w14:textId="77777777" w:rsidR="00534B67" w:rsidRDefault="00534B67" w:rsidP="00B81077"/>
          <w:p w14:paraId="3DE54D91" w14:textId="04F1FDB5" w:rsidR="00B81077" w:rsidRDefault="00B81077" w:rsidP="00B81077">
            <w:r>
              <w:t>结果显示体重控制效果显著，表明JH389在减重和血糖控制上</w:t>
            </w:r>
            <w:r w:rsidR="00534B67">
              <w:t>有较大潜力</w:t>
            </w:r>
            <w:r>
              <w:t>。</w:t>
            </w:r>
          </w:p>
          <w:p w14:paraId="6B509514" w14:textId="77777777" w:rsidR="00534B67" w:rsidRDefault="00534B67" w:rsidP="00B81077"/>
          <w:p w14:paraId="20DD8A85" w14:textId="77777777" w:rsidR="00B81077" w:rsidRDefault="00B81077" w:rsidP="00B81077">
            <w:r>
              <w:t>5. 商业化价值与前景</w:t>
            </w:r>
          </w:p>
          <w:p w14:paraId="6E17D7CC" w14:textId="2DF0FD82" w:rsidR="00B81077" w:rsidRDefault="00B81077" w:rsidP="00B81077">
            <w:r>
              <w:rPr>
                <w:rFonts w:hint="eastAsia"/>
              </w:rPr>
              <w:t>市场前景：根据</w:t>
            </w:r>
            <w:r w:rsidR="00985CB0" w:rsidRPr="00985CB0">
              <w:t>Frost&amp;Sullivan</w:t>
            </w:r>
            <w:r>
              <w:t>预测，直到2028年全球GLP-1药物市场将保持两位数以上同比增长；Morgan Stanley预测2030年全球减肥药市场规模超千亿美元。美诺华计划通过差异化方式，以JH389切入市场，该产品具备口服便利性、长效性、低副反应等优势，作为非药方向开发，在定价自由度、患者可及性、渠道灵活度上优于药物类产品，目标客</w:t>
            </w:r>
            <w:proofErr w:type="gramStart"/>
            <w:r>
              <w:t>群包括</w:t>
            </w:r>
            <w:proofErr w:type="gramEnd"/>
            <w:r>
              <w:t>GLP-1类药物停药后体重反弹患者、惧怕打针吃药的超重人群及热衷减肥产品的</w:t>
            </w:r>
            <w:r w:rsidR="00985CB0">
              <w:rPr>
                <w:rFonts w:hint="eastAsia"/>
              </w:rPr>
              <w:t>尝新</w:t>
            </w:r>
            <w:r>
              <w:t>用户，预判上市后将与现有药物类产品形成绝对互补及相对替代。</w:t>
            </w:r>
          </w:p>
          <w:p w14:paraId="23BE91E4" w14:textId="77777777" w:rsidR="00B81077" w:rsidRDefault="00B81077" w:rsidP="00B81077">
            <w:r>
              <w:rPr>
                <w:rFonts w:hint="eastAsia"/>
              </w:rPr>
              <w:t>平台延伸：</w:t>
            </w:r>
            <w:r>
              <w:t>JH389是美诺华与密歇根大学合作的第一个平台管线，该平台在非药方向有针对减重、降糖、解酒等预备管线，成药方向有减脂、肿瘤等储备，未来双方将基于此平台积极开展合作探索研究工作。</w:t>
            </w:r>
          </w:p>
          <w:p w14:paraId="60EF9724" w14:textId="7F55DAAA" w:rsidR="00B81077" w:rsidRDefault="00B81077" w:rsidP="00B81077">
            <w:r>
              <w:rPr>
                <w:rFonts w:hint="eastAsia"/>
              </w:rPr>
              <w:t>商业化路径：计划以非药方向，采用灵活模式获取多元化收益。</w:t>
            </w:r>
            <w:proofErr w:type="gramStart"/>
            <w:r>
              <w:rPr>
                <w:rFonts w:hint="eastAsia"/>
              </w:rPr>
              <w:t>当下与</w:t>
            </w:r>
            <w:proofErr w:type="gramEnd"/>
            <w:r>
              <w:rPr>
                <w:rFonts w:hint="eastAsia"/>
              </w:rPr>
              <w:t>欧洲合作方紧密合作，待对方内部试验</w:t>
            </w:r>
            <w:r w:rsidR="00985CB0">
              <w:rPr>
                <w:rFonts w:hint="eastAsia"/>
              </w:rPr>
              <w:t>完成</w:t>
            </w:r>
            <w:r>
              <w:rPr>
                <w:rFonts w:hint="eastAsia"/>
              </w:rPr>
              <w:t>后开展安全性试验并申报</w:t>
            </w:r>
            <w:r>
              <w:t>EFSA</w:t>
            </w:r>
            <w:r w:rsidR="007D2F06">
              <w:t>（</w:t>
            </w:r>
            <w:r w:rsidR="007D2F06" w:rsidRPr="007D2F06">
              <w:rPr>
                <w:rFonts w:hint="eastAsia"/>
              </w:rPr>
              <w:t>欧洲食品安全局</w:t>
            </w:r>
            <w:r w:rsidR="007D2F06">
              <w:t>）</w:t>
            </w:r>
            <w:r>
              <w:t>。获批后，优先考虑审评</w:t>
            </w:r>
            <w:r w:rsidR="00BE6FDA">
              <w:rPr>
                <w:rFonts w:hint="eastAsia"/>
              </w:rPr>
              <w:t>相对宽松</w:t>
            </w:r>
            <w:r>
              <w:t>的美国市场，部分核心地区自营，其他地区与当地巨头绑定销售或采用一次性收益加销售分成的多地区license模式。同时，JH389将亮相2025年CPHI Frankfurt</w:t>
            </w:r>
            <w:r w:rsidR="007D2F06">
              <w:t>（</w:t>
            </w:r>
            <w:r w:rsidR="007D2F06" w:rsidRPr="007D2F06">
              <w:rPr>
                <w:rFonts w:hint="eastAsia"/>
              </w:rPr>
              <w:t>世界制药原料展法兰克福站</w:t>
            </w:r>
            <w:r w:rsidR="007D2F06">
              <w:rPr>
                <w:rFonts w:hint="eastAsia"/>
              </w:rPr>
              <w:t>）</w:t>
            </w:r>
            <w:r>
              <w:t>并进行宣讲推广。</w:t>
            </w:r>
          </w:p>
          <w:p w14:paraId="62862C93" w14:textId="31BCA1B4" w:rsidR="00B81077" w:rsidRDefault="00B81077" w:rsidP="00B81077">
            <w:r>
              <w:rPr>
                <w:rFonts w:hint="eastAsia"/>
              </w:rPr>
              <w:t>市场预估：根据</w:t>
            </w:r>
            <w:r>
              <w:t>World Obesity Atlas 2024预测，到2025年，仅纳入upper middle和high两</w:t>
            </w:r>
            <w:proofErr w:type="gramStart"/>
            <w:r>
              <w:t>档收入</w:t>
            </w:r>
            <w:proofErr w:type="gramEnd"/>
            <w:r>
              <w:t>群体中的超重或肥胖人群就达16.9亿人</w:t>
            </w:r>
            <w:r w:rsidR="00091B1A">
              <w:rPr>
                <w:rFonts w:hint="eastAsia"/>
              </w:rPr>
              <w:t>，可</w:t>
            </w:r>
            <w:r>
              <w:t>谨慎假设1%的人群使用减重类产品</w:t>
            </w:r>
            <w:r w:rsidR="00BE6FDA">
              <w:rPr>
                <w:rFonts w:hint="eastAsia"/>
              </w:rPr>
              <w:t>。这</w:t>
            </w:r>
            <w:r>
              <w:t>仅针对减重单一适应症</w:t>
            </w:r>
            <w:r w:rsidR="00BE6FDA">
              <w:t>且是</w:t>
            </w:r>
            <w:r>
              <w:t>成人组</w:t>
            </w:r>
            <w:r w:rsidR="00BE6FDA">
              <w:t>的</w:t>
            </w:r>
            <w:r>
              <w:t>数据，未考虑中低收入人群或体重正常的减肥爱好者，整体未来可期。</w:t>
            </w:r>
          </w:p>
          <w:p w14:paraId="6BA9E747" w14:textId="77777777" w:rsidR="00534B67" w:rsidRDefault="00534B67" w:rsidP="00B81077"/>
          <w:p w14:paraId="5068DDD7" w14:textId="77777777" w:rsidR="00B81077" w:rsidRDefault="00B81077" w:rsidP="00B81077">
            <w:r>
              <w:t>6. 项目合作与规划</w:t>
            </w:r>
          </w:p>
          <w:p w14:paraId="62136429" w14:textId="12794333" w:rsidR="00B81077" w:rsidRDefault="00B81077" w:rsidP="00B81077">
            <w:r>
              <w:rPr>
                <w:rFonts w:hint="eastAsia"/>
              </w:rPr>
              <w:t>合作情况：</w:t>
            </w:r>
            <w:r>
              <w:t>通过欧洲BD伙伴选定</w:t>
            </w:r>
            <w:r w:rsidR="00BE6FDA">
              <w:t>欧洲</w:t>
            </w:r>
            <w:r>
              <w:t>合作方，因</w:t>
            </w:r>
            <w:proofErr w:type="gramStart"/>
            <w:r>
              <w:t>其主做益生</w:t>
            </w:r>
            <w:proofErr w:type="gramEnd"/>
            <w:r>
              <w:t>菌产品，熟悉欧洲模式。公司希望</w:t>
            </w:r>
            <w:proofErr w:type="gramStart"/>
            <w:r>
              <w:t>待获得</w:t>
            </w:r>
            <w:proofErr w:type="gramEnd"/>
            <w:r w:rsidR="00BE6FDA">
              <w:t>完整</w:t>
            </w:r>
            <w:r>
              <w:t>安全性等数据后开展与其他潜在合作方</w:t>
            </w:r>
            <w:r w:rsidR="00BE6FDA">
              <w:t>就当前选定区域</w:t>
            </w:r>
            <w:r>
              <w:t>以外的合作</w:t>
            </w:r>
            <w:r w:rsidR="00BE6FDA">
              <w:t>洽谈</w:t>
            </w:r>
            <w:r>
              <w:t xml:space="preserve">。 </w:t>
            </w:r>
          </w:p>
          <w:p w14:paraId="1CF657AE" w14:textId="75DBA034" w:rsidR="00B81077" w:rsidRDefault="00B81077" w:rsidP="00B81077">
            <w:r>
              <w:rPr>
                <w:rFonts w:hint="eastAsia"/>
              </w:rPr>
              <w:t>商业化节点：预计</w:t>
            </w:r>
            <w:r>
              <w:t>2025年7月完成JH389核心专利递交，之后开展安全性研究，完成后向EFSA递交资料，预计2026年EFSA过审后进行产品上市准备。</w:t>
            </w:r>
          </w:p>
          <w:p w14:paraId="701A6FBF" w14:textId="77777777" w:rsidR="00534B67" w:rsidRDefault="00534B67" w:rsidP="00B81077"/>
          <w:p w14:paraId="318E7F6F" w14:textId="77777777" w:rsidR="00B81077" w:rsidRDefault="00B81077" w:rsidP="00B81077">
            <w:r>
              <w:t>7. 技术优势与专利布局</w:t>
            </w:r>
          </w:p>
          <w:p w14:paraId="42BB9B44" w14:textId="77777777" w:rsidR="00B81077" w:rsidRDefault="00B81077" w:rsidP="00B81077">
            <w:r>
              <w:rPr>
                <w:rFonts w:hint="eastAsia"/>
              </w:rPr>
              <w:t>技术优势：</w:t>
            </w:r>
          </w:p>
          <w:p w14:paraId="324066A8" w14:textId="059DDD9C" w:rsidR="00B81077" w:rsidRDefault="00B81077" w:rsidP="00B81077">
            <w:r>
              <w:t>1</w:t>
            </w:r>
            <w:r w:rsidR="00534B67">
              <w:rPr>
                <w:rFonts w:hint="eastAsia"/>
              </w:rPr>
              <w:t>)</w:t>
            </w:r>
            <w:r>
              <w:t>在益生</w:t>
            </w:r>
            <w:proofErr w:type="gramStart"/>
            <w:r>
              <w:t>菌作为</w:t>
            </w:r>
            <w:proofErr w:type="gramEnd"/>
            <w:r>
              <w:t>GLP-1递送载体方面，通过过量表达解决生物利用度低的问题，避免因半衰期延长产生滞后反应及副作用比例上升。</w:t>
            </w:r>
          </w:p>
          <w:p w14:paraId="6BAF0489" w14:textId="144B60BF" w:rsidR="00B81077" w:rsidRDefault="00B81077" w:rsidP="00B81077">
            <w:r>
              <w:t>2</w:t>
            </w:r>
            <w:r w:rsidR="00534B67">
              <w:rPr>
                <w:rFonts w:hint="eastAsia"/>
              </w:rPr>
              <w:t>)</w:t>
            </w:r>
            <w:r>
              <w:t>平台丰富，可选用多种菌种作为载体；解决了表达量问题，能做到高通量表达，突破传统量的限制</w:t>
            </w:r>
          </w:p>
          <w:p w14:paraId="344DDCE1" w14:textId="2ACB4645" w:rsidR="00B81077" w:rsidRDefault="00B81077" w:rsidP="00B81077">
            <w:r>
              <w:t>3</w:t>
            </w:r>
            <w:r w:rsidR="00534B67">
              <w:rPr>
                <w:rFonts w:hint="eastAsia"/>
              </w:rPr>
              <w:t>)</w:t>
            </w:r>
            <w:r>
              <w:t>通过优化表达环境，利用代谢工程和酶工程，降低内源性和外源性水解问题，形成复杂关联的拓扑性结构，构成主要技术壁垒。</w:t>
            </w:r>
          </w:p>
          <w:p w14:paraId="2A1F66CD" w14:textId="490CC713" w:rsidR="00B81077" w:rsidRDefault="00B81077" w:rsidP="00B81077">
            <w:r>
              <w:rPr>
                <w:rFonts w:hint="eastAsia"/>
              </w:rPr>
              <w:t>专利布局：团队最开始用血小板做癌症研究时，团队就开始布局专利池，其中包括特有媒介、工具以及特异性基因或蛋白片段等，全方位方式对产品进行保护，同时</w:t>
            </w:r>
            <w:r>
              <w:t>JH389将作为独立的</w:t>
            </w:r>
            <w:r w:rsidR="009F1E4A">
              <w:t>产物</w:t>
            </w:r>
            <w:r>
              <w:t>进行专利保护</w:t>
            </w:r>
          </w:p>
          <w:p w14:paraId="3F333EE7" w14:textId="77777777" w:rsidR="00534B67" w:rsidRDefault="00534B67" w:rsidP="00B81077"/>
          <w:p w14:paraId="11B78FC1" w14:textId="77777777" w:rsidR="00B81077" w:rsidRDefault="00B81077" w:rsidP="00B81077">
            <w:r>
              <w:t>8. 产品注册与发展</w:t>
            </w:r>
          </w:p>
          <w:p w14:paraId="4A12AB51" w14:textId="2EC37EBE" w:rsidR="00B81077" w:rsidRDefault="00B81077" w:rsidP="00B81077">
            <w:r>
              <w:rPr>
                <w:rFonts w:hint="eastAsia"/>
              </w:rPr>
              <w:t>注册选择：在欧美地区，产品申报方向决定监管流程，可选择食品或膳食补充剂（保健品）方向，也可选择药品方向申报。药品申报审批时间长，需完成</w:t>
            </w:r>
            <w:r w:rsidR="009F1E4A">
              <w:rPr>
                <w:rFonts w:hint="eastAsia"/>
              </w:rPr>
              <w:t>大量</w:t>
            </w:r>
            <w:r>
              <w:rPr>
                <w:rFonts w:hint="eastAsia"/>
              </w:rPr>
              <w:t>临床研究，资金投入大；美诺华选择从食品角度切入，规避</w:t>
            </w:r>
            <w:r>
              <w:t>GLP</w:t>
            </w:r>
            <w:r w:rsidR="00226D19">
              <w:t>—</w:t>
            </w:r>
            <w:r w:rsidR="00226D19">
              <w:rPr>
                <w:rFonts w:hint="eastAsia"/>
              </w:rPr>
              <w:t>1（</w:t>
            </w:r>
            <w:r w:rsidR="00226D19" w:rsidRPr="00226D19">
              <w:rPr>
                <w:rFonts w:hint="eastAsia"/>
              </w:rPr>
              <w:t>胰高血糖素样肽</w:t>
            </w:r>
            <w:r w:rsidR="00226D19" w:rsidRPr="00226D19">
              <w:t>-1</w:t>
            </w:r>
            <w:r w:rsidR="00226D19">
              <w:rPr>
                <w:rFonts w:hint="eastAsia"/>
              </w:rPr>
              <w:t>）</w:t>
            </w:r>
            <w:r>
              <w:t>药物领域激烈竞争，形成品牌化效应后掌握定价权。目前既定路线按非药路线走，但不排除有大客户共同投入时，尝试药品方向临床探索。</w:t>
            </w:r>
          </w:p>
          <w:p w14:paraId="3FD120A1" w14:textId="77777777" w:rsidR="009F1E4A" w:rsidRDefault="00B81077" w:rsidP="00B81077">
            <w:r>
              <w:rPr>
                <w:rFonts w:hint="eastAsia"/>
              </w:rPr>
              <w:t>未来发展：技术上已开始对双靶点、多靶点产品进行探索，对于多靶点产品开发，技术上虽有难度，但团队因在疫苗多靶点表达上有经验，有信心克服。</w:t>
            </w:r>
          </w:p>
          <w:p w14:paraId="494311D9" w14:textId="01CDF7D6" w:rsidR="00B81077" w:rsidRDefault="00B81077" w:rsidP="00B81077"/>
          <w:p w14:paraId="2D10A05A" w14:textId="77777777" w:rsidR="00B81077" w:rsidRDefault="00B81077" w:rsidP="00B81077">
            <w:r>
              <w:t>Q&amp;A</w:t>
            </w:r>
          </w:p>
          <w:p w14:paraId="61A8CDFF" w14:textId="6291B70D" w:rsidR="00B81077" w:rsidRDefault="00B81077" w:rsidP="00B81077">
            <w:r>
              <w:t>Q：</w:t>
            </w:r>
            <w:r w:rsidR="009F1E4A">
              <w:t>欧洲</w:t>
            </w:r>
            <w:r>
              <w:t>合作方目前的项目进展如何，包括实验进展以及后续进度和节点展望？</w:t>
            </w:r>
          </w:p>
          <w:p w14:paraId="23F39BD6" w14:textId="18E252C3" w:rsidR="00B81077" w:rsidRDefault="00B81077" w:rsidP="00B81077">
            <w:r>
              <w:t>A：欧洲合作方目前获得了公司提供的样品，正在进行内部评估，做有效性和初步安全性评价。确认后，将进行正式的安全性研究，并将研究</w:t>
            </w:r>
            <w:r w:rsidR="009F1E4A">
              <w:t>资料</w:t>
            </w:r>
            <w:r>
              <w:t>向欧洲食品安全局（EFSA）</w:t>
            </w:r>
            <w:r w:rsidR="009F1E4A">
              <w:t>递交</w:t>
            </w:r>
            <w:r>
              <w:t>，希望在2026年EFSA获批，获批后开展市场化推广和不同地区的</w:t>
            </w:r>
            <w:r w:rsidR="009F1E4A">
              <w:t>产品</w:t>
            </w:r>
            <w:r>
              <w:t>注册工作。</w:t>
            </w:r>
          </w:p>
          <w:p w14:paraId="2C00FAC3" w14:textId="77777777" w:rsidR="00534B67" w:rsidRDefault="00534B67" w:rsidP="00B81077"/>
          <w:p w14:paraId="53AE1F4E" w14:textId="0446E8AF" w:rsidR="00B81077" w:rsidRDefault="00B81077" w:rsidP="00B81077">
            <w:r>
              <w:t>Q：目前与</w:t>
            </w:r>
            <w:r w:rsidR="009F1E4A">
              <w:t>欧洲</w:t>
            </w:r>
            <w:r>
              <w:t>方的合作模式是怎样的，</w:t>
            </w:r>
            <w:r w:rsidR="009F1E4A">
              <w:t>选定区域</w:t>
            </w:r>
            <w:r>
              <w:t>以外的欧洲、美国、中国区的项目进展和合作方式如何？</w:t>
            </w:r>
          </w:p>
          <w:p w14:paraId="79925324" w14:textId="6F68AFD3" w:rsidR="009F1E4A" w:rsidRDefault="00B81077" w:rsidP="00B81077">
            <w:r>
              <w:t>A：目前欧洲以与</w:t>
            </w:r>
            <w:r w:rsidR="009F1E4A">
              <w:t>当前伙伴</w:t>
            </w:r>
            <w:r>
              <w:t>的合作为主，选择这家企业是因为其拥有丰富的益生</w:t>
            </w:r>
            <w:proofErr w:type="gramStart"/>
            <w:r>
              <w:t>菌产品</w:t>
            </w:r>
            <w:proofErr w:type="gramEnd"/>
            <w:r w:rsidR="009F1E4A">
              <w:t>经验</w:t>
            </w:r>
            <w:r>
              <w:t>，对欧洲商业化模式非常熟悉。</w:t>
            </w:r>
          </w:p>
          <w:p w14:paraId="75814757" w14:textId="77777777" w:rsidR="009F1E4A" w:rsidRDefault="00B81077" w:rsidP="00B81077">
            <w:r>
              <w:t>未来在获得安全性数据、美国实验室数据以及专利落地后，会考虑</w:t>
            </w:r>
            <w:r w:rsidR="009F1E4A">
              <w:t>与</w:t>
            </w:r>
            <w:r>
              <w:t>其他企业定向商谈合作，核心宣讲将在今年全球性的CPHI法兰克福站进行。</w:t>
            </w:r>
          </w:p>
          <w:p w14:paraId="7DB4A9FC" w14:textId="632C0CAD" w:rsidR="009F1E4A" w:rsidRDefault="00B81077" w:rsidP="00B81077">
            <w:r>
              <w:t>美国FDA</w:t>
            </w:r>
            <w:r w:rsidR="00226D19">
              <w:t>（</w:t>
            </w:r>
            <w:r w:rsidR="00226D19" w:rsidRPr="00226D19">
              <w:rPr>
                <w:rFonts w:hint="eastAsia"/>
              </w:rPr>
              <w:t>美国食品药品监督管理局</w:t>
            </w:r>
            <w:r w:rsidR="00226D19">
              <w:t>）</w:t>
            </w:r>
            <w:r>
              <w:t>审核模式下，注册速度可能比欧洲或其他地区快，模式选择方向更多。未来希望等待欧洲数据后，在美国</w:t>
            </w:r>
            <w:r w:rsidR="009F1E4A">
              <w:t>同步</w:t>
            </w:r>
            <w:r>
              <w:t>申报。</w:t>
            </w:r>
            <w:r w:rsidR="009F1E4A">
              <w:rPr>
                <w:rFonts w:hint="eastAsia"/>
              </w:rPr>
              <w:t>中国区域目前审核角度与海外不同，未来计划以跨境电</w:t>
            </w:r>
            <w:proofErr w:type="gramStart"/>
            <w:r w:rsidR="009F1E4A">
              <w:rPr>
                <w:rFonts w:hint="eastAsia"/>
              </w:rPr>
              <w:t>商形式</w:t>
            </w:r>
            <w:proofErr w:type="gramEnd"/>
            <w:r w:rsidR="009F1E4A">
              <w:rPr>
                <w:rFonts w:hint="eastAsia"/>
              </w:rPr>
              <w:t>将产品引入国内进行商业化。</w:t>
            </w:r>
          </w:p>
          <w:p w14:paraId="3CA0D252" w14:textId="77777777" w:rsidR="00534B67" w:rsidRDefault="00B81077" w:rsidP="00B81077">
            <w:r>
              <w:t>从药品角度，JH389只</w:t>
            </w:r>
            <w:r>
              <w:rPr>
                <w:rFonts w:hint="eastAsia"/>
              </w:rPr>
              <w:t>是单靶点产品，递送系统平台未来可开发双靶点、三靶点等更多产品。</w:t>
            </w:r>
          </w:p>
          <w:p w14:paraId="59F3E6E0" w14:textId="7853E598" w:rsidR="00B81077" w:rsidRDefault="00B81077" w:rsidP="00B81077"/>
          <w:p w14:paraId="7CECFCA8" w14:textId="020D49F3" w:rsidR="00B81077" w:rsidRDefault="00B81077" w:rsidP="00B81077">
            <w:r>
              <w:t>Q：益生</w:t>
            </w:r>
            <w:proofErr w:type="gramStart"/>
            <w:r>
              <w:t>菌作为</w:t>
            </w:r>
            <w:bookmarkStart w:id="1" w:name="OLE_LINK2"/>
            <w:bookmarkStart w:id="2" w:name="OLE_LINK3"/>
            <w:proofErr w:type="gramEnd"/>
            <w:r w:rsidR="007A0ACE">
              <w:t>GLP-</w:t>
            </w:r>
            <w:r>
              <w:t>1</w:t>
            </w:r>
            <w:bookmarkEnd w:id="1"/>
            <w:bookmarkEnd w:id="2"/>
            <w:r w:rsidR="007A0ACE">
              <w:t>递送</w:t>
            </w:r>
            <w:r>
              <w:t>载体的逻辑是什么，如何解决口服生物利用度低的问题，全球通过益生菌定向表达</w:t>
            </w:r>
            <w:r w:rsidR="00226D19">
              <w:t>GLP-1</w:t>
            </w:r>
            <w:r>
              <w:t>的案例情况如何，公司的核心优势和技术平台专利布局怎样？</w:t>
            </w:r>
          </w:p>
          <w:p w14:paraId="2AA5BEB4" w14:textId="459C021F" w:rsidR="00B81077" w:rsidRDefault="00B81077" w:rsidP="00B81077">
            <w:r>
              <w:t>A：公司通过过量表达的方式解决生物利用度低的问题，避免因半衰期延长产生滞后反应导致副作用比例上升。设计该平台是为了解决现有药物面临的半衰期短、</w:t>
            </w:r>
            <w:r w:rsidR="00A9344E">
              <w:t>副反应多</w:t>
            </w:r>
            <w:r>
              <w:t>、生物利用率低等问题。就对平台进行专利布局，专利池涵盖特有媒介、工具、特异性工具的基因或蛋白片段等，全方位保护产品。目前只看到我们在做定向表达</w:t>
            </w:r>
            <w:bookmarkStart w:id="3" w:name="OLE_LINK6"/>
            <w:r>
              <w:t>GLP-1</w:t>
            </w:r>
            <w:bookmarkEnd w:id="3"/>
            <w:r>
              <w:t>的益生菌平台。</w:t>
            </w:r>
          </w:p>
          <w:p w14:paraId="336B3848" w14:textId="77777777" w:rsidR="00534B67" w:rsidRDefault="00534B67" w:rsidP="00B81077"/>
          <w:p w14:paraId="3391DB07" w14:textId="4F3D8C99" w:rsidR="00B81077" w:rsidRDefault="00B81077" w:rsidP="00B81077">
            <w:r>
              <w:t>Q：技术平台与其他通过益生菌发酵表达</w:t>
            </w:r>
            <w:bookmarkStart w:id="4" w:name="OLE_LINK4"/>
            <w:bookmarkStart w:id="5" w:name="OLE_LINK5"/>
            <w:r w:rsidR="007A0ACE">
              <w:t>GLP-</w:t>
            </w:r>
            <w:r>
              <w:t>1</w:t>
            </w:r>
            <w:bookmarkEnd w:id="4"/>
            <w:bookmarkEnd w:id="5"/>
            <w:r>
              <w:t>物质的平台相比，核心优势在哪里？</w:t>
            </w:r>
          </w:p>
          <w:p w14:paraId="7D8C7B00" w14:textId="77777777" w:rsidR="00B81077" w:rsidRDefault="00B81077" w:rsidP="00B81077">
            <w:r>
              <w:t>A：平台的核心优势有两点。一是平台丰富，菌种筛选包括益生菌和致病菌都可用；二是解决了表达量问题，可实现高通量表达，突破了传统意义上量的限制，使递送成为现实。</w:t>
            </w:r>
          </w:p>
          <w:p w14:paraId="335AE153" w14:textId="77777777" w:rsidR="00534B67" w:rsidRDefault="00534B67" w:rsidP="00B81077"/>
          <w:p w14:paraId="11579894" w14:textId="77777777" w:rsidR="00B81077" w:rsidRDefault="00B81077" w:rsidP="00B81077">
            <w:r>
              <w:t>Q：筛选的益生菌在肠道里的存活时间有无定量评估指标？</w:t>
            </w:r>
          </w:p>
          <w:p w14:paraId="688516B1" w14:textId="48B716CB" w:rsidR="00B81077" w:rsidRDefault="00B81077" w:rsidP="00B81077">
            <w:r>
              <w:t>A：可以通过检测实验动物粪便中绿色荧光蛋白的表达情况，</w:t>
            </w:r>
            <w:r w:rsidR="00226D19">
              <w:t>直观观测益生菌的表达量。益生菌在肠胃里的停留时间是一个辩证问题，</w:t>
            </w:r>
            <w:r w:rsidR="00226D19">
              <w:rPr>
                <w:rFonts w:hint="eastAsia"/>
              </w:rPr>
              <w:t>GLP-1</w:t>
            </w:r>
            <w:r>
              <w:t>这类物质在肠道停留时间过长易刺激肠道产生副作用，而控制血糖或脂质类则需要其在体内停留时间更长，所以体内停留时间是选择平台的重要</w:t>
            </w:r>
            <w:proofErr w:type="gramStart"/>
            <w:r>
              <w:t>考量</w:t>
            </w:r>
            <w:proofErr w:type="gramEnd"/>
            <w:r>
              <w:t>因素。</w:t>
            </w:r>
          </w:p>
          <w:p w14:paraId="4082F0DA" w14:textId="77777777" w:rsidR="00534B67" w:rsidRDefault="00534B67" w:rsidP="00B81077"/>
          <w:p w14:paraId="54C47597" w14:textId="77777777" w:rsidR="00B81077" w:rsidRDefault="00B81077" w:rsidP="00B81077">
            <w:r>
              <w:t>Q：从美国、欧洲、中国的监管和注册层面来看，产品走保健品注册还是药品注册？</w:t>
            </w:r>
          </w:p>
          <w:p w14:paraId="0FE01446" w14:textId="0D0A4132" w:rsidR="00B81077" w:rsidRDefault="00B81077" w:rsidP="00B81077">
            <w:r>
              <w:t>A：在欧美，主要取决于申报方向，</w:t>
            </w:r>
            <w:proofErr w:type="gramStart"/>
            <w:r>
              <w:t>往食品</w:t>
            </w:r>
            <w:proofErr w:type="gramEnd"/>
            <w:r>
              <w:t>或膳食补充剂（保健品）方向申报，就按</w:t>
            </w:r>
            <w:r w:rsidR="00A9344E">
              <w:t>对应</w:t>
            </w:r>
            <w:r>
              <w:t>的审批流程；按药品申报则是另一套流程。中国目前在准入方面可能有一定挑战，公司计划在任意一地获批后，通过跨境方式将产品销到国内。</w:t>
            </w:r>
          </w:p>
          <w:p w14:paraId="7A5EA628" w14:textId="77777777" w:rsidR="00534B67" w:rsidRDefault="00534B67" w:rsidP="00B81077"/>
          <w:p w14:paraId="227682EB" w14:textId="77777777" w:rsidR="00B81077" w:rsidRDefault="00B81077" w:rsidP="00B81077">
            <w:r>
              <w:t>Q：选择药品注册路径与保健品注册路径相比，有哪些不同，公司为何选择保健品注册路径？</w:t>
            </w:r>
          </w:p>
          <w:p w14:paraId="378941C5" w14:textId="68C3FD0A" w:rsidR="00B81077" w:rsidRDefault="00B81077" w:rsidP="00B81077">
            <w:r>
              <w:t>A：从审批时间看，药品注册所需临床阶段</w:t>
            </w:r>
            <w:r w:rsidR="00A9344E">
              <w:t>的</w:t>
            </w:r>
            <w:r>
              <w:t>时间和资金投入比保健品方向大很多。公司选择从</w:t>
            </w:r>
            <w:r w:rsidR="00A9344E">
              <w:t>非</w:t>
            </w:r>
            <w:proofErr w:type="gramStart"/>
            <w:r w:rsidR="00A9344E">
              <w:t>药</w:t>
            </w:r>
            <w:r>
              <w:t>角度</w:t>
            </w:r>
            <w:proofErr w:type="gramEnd"/>
            <w:r>
              <w:t>申报，是为了规避未来</w:t>
            </w:r>
            <w:r w:rsidR="00C354ED">
              <w:t>GLP-1</w:t>
            </w:r>
            <w:r>
              <w:t>药物领域可能的激烈价格竞争，先切入非</w:t>
            </w:r>
            <w:proofErr w:type="gramStart"/>
            <w:r>
              <w:t>药领域</w:t>
            </w:r>
            <w:proofErr w:type="gramEnd"/>
            <w:r>
              <w:t>形成品牌化效应，未来在定价权上更自由，也能在药品降价时维持定价模式。</w:t>
            </w:r>
          </w:p>
          <w:p w14:paraId="1C1955A7" w14:textId="77777777" w:rsidR="00534B67" w:rsidRDefault="00534B67" w:rsidP="00B81077"/>
          <w:p w14:paraId="27ACF896" w14:textId="77777777" w:rsidR="00B81077" w:rsidRDefault="00B81077" w:rsidP="00B81077">
            <w:r>
              <w:t>Q：未来公司是否会考虑药品注册路径，成药方面有哪些预期展望？</w:t>
            </w:r>
          </w:p>
          <w:p w14:paraId="31C95A0D" w14:textId="4EC13EC6" w:rsidR="00B81077" w:rsidRDefault="00B81077" w:rsidP="00B81077">
            <w:r>
              <w:t>A：公司目前既定路线是按非药路线走，但不排除有大客户愿意共同投入做药品方向的临床探索，当然要在不影响原非</w:t>
            </w:r>
            <w:proofErr w:type="gramStart"/>
            <w:r>
              <w:t>药途径</w:t>
            </w:r>
            <w:proofErr w:type="gramEnd"/>
            <w:r>
              <w:t>申报和销售的前提下。药物方向公司</w:t>
            </w:r>
            <w:r w:rsidR="007A0ACE">
              <w:t>更关注多靶点或双靶点的减重加降脂综合产品，认为其在效果和经济</w:t>
            </w:r>
            <w:r>
              <w:t>上有更大机会领先于现有</w:t>
            </w:r>
            <w:r w:rsidR="00A9344E">
              <w:t>市售产品</w:t>
            </w:r>
            <w:r>
              <w:t>。</w:t>
            </w:r>
          </w:p>
          <w:p w14:paraId="12F7AA95" w14:textId="77777777" w:rsidR="00534B67" w:rsidRDefault="00534B67" w:rsidP="00B81077"/>
          <w:p w14:paraId="14906A1C" w14:textId="77777777" w:rsidR="00B81077" w:rsidRDefault="00B81077" w:rsidP="00B81077">
            <w:r>
              <w:t>Q：从实验室维度看，公司是否已开始探索双靶点平台的研究，</w:t>
            </w:r>
            <w:proofErr w:type="gramStart"/>
            <w:r>
              <w:t>单靶平台</w:t>
            </w:r>
            <w:proofErr w:type="gramEnd"/>
            <w:r>
              <w:t>表达与双靶、</w:t>
            </w:r>
            <w:proofErr w:type="gramStart"/>
            <w:r>
              <w:t>三靶平台</w:t>
            </w:r>
            <w:proofErr w:type="gramEnd"/>
            <w:r>
              <w:t>表达在技术上的可操作性和难易程度如何？</w:t>
            </w:r>
          </w:p>
          <w:p w14:paraId="03436F4B" w14:textId="7502D63B" w:rsidR="00B81077" w:rsidRDefault="00B81077" w:rsidP="00B81077">
            <w:r>
              <w:t>A：已开始对一些其他靶点进行尝试，选择如代谢抑制靶点和免疫靶点。从技术上看，可简单理解为做三孔插座和</w:t>
            </w:r>
            <w:r w:rsidR="00A9344E">
              <w:rPr>
                <w:rFonts w:hint="eastAsia"/>
              </w:rPr>
              <w:t>双</w:t>
            </w:r>
            <w:r>
              <w:t>孔插座，技术</w:t>
            </w:r>
            <w:r w:rsidR="00A9344E">
              <w:rPr>
                <w:rFonts w:hint="eastAsia"/>
              </w:rPr>
              <w:t>方面没有特别的</w:t>
            </w:r>
            <w:r>
              <w:t>障碍，关键是让各靶点的表达互不影响，能按设计比例高效表达。之前在疫苗上做过多靶点表达，有信心做出多靶点产品。</w:t>
            </w:r>
          </w:p>
          <w:p w14:paraId="4257D179" w14:textId="77777777" w:rsidR="00534B67" w:rsidRDefault="00534B67" w:rsidP="00B81077"/>
          <w:p w14:paraId="4D114FC9" w14:textId="77777777" w:rsidR="00B81077" w:rsidRDefault="00B81077" w:rsidP="00B81077">
            <w:r>
              <w:t>Q：现有的基于小鼠模型的数据，在人体或非人灵长类动物上能否验证，从长期安全性看，益生</w:t>
            </w:r>
            <w:proofErr w:type="gramStart"/>
            <w:r>
              <w:t>菌是否</w:t>
            </w:r>
            <w:proofErr w:type="gramEnd"/>
            <w:r>
              <w:t>存在脱靶效应、肠道菌群失调等潜在副作用？</w:t>
            </w:r>
          </w:p>
          <w:p w14:paraId="2C2EAD10" w14:textId="7D206E01" w:rsidR="00B81077" w:rsidRDefault="00B81077" w:rsidP="00B81077">
            <w:r>
              <w:t>A：数据基于小鼠模型是科研和产品前期必经阶段，小鼠实验虽能一定程度模拟人的某些特征，但不能完全替代。进一步在类人或人上进行实验有规划，但需逐步实现。在该项目中，不存在质粒引入，主要对代谢、分解</w:t>
            </w:r>
            <w:r w:rsidR="00494C6F">
              <w:rPr>
                <w:rFonts w:hint="eastAsia"/>
              </w:rPr>
              <w:t>酶</w:t>
            </w:r>
            <w:r>
              <w:t>或启动子进行</w:t>
            </w:r>
            <w:r w:rsidR="00494C6F">
              <w:rPr>
                <w:rFonts w:hint="eastAsia"/>
              </w:rPr>
              <w:t>调控</w:t>
            </w:r>
            <w:r>
              <w:t>，脱靶效应风险</w:t>
            </w:r>
            <w:r w:rsidR="00494C6F">
              <w:rPr>
                <w:rFonts w:hint="eastAsia"/>
              </w:rPr>
              <w:t>极低（因科学无绝对故采用此表述）</w:t>
            </w:r>
            <w:r>
              <w:t>。选择的载体在美国FDA被认为通常无毒且无潜在性风险，后续</w:t>
            </w:r>
            <w:r w:rsidR="00494C6F">
              <w:rPr>
                <w:rFonts w:hint="eastAsia"/>
              </w:rPr>
              <w:t>也计划对肠道菌群及免疫反应进行长期评估</w:t>
            </w:r>
            <w:r>
              <w:t>。</w:t>
            </w:r>
          </w:p>
          <w:p w14:paraId="3E0BE367" w14:textId="77777777" w:rsidR="00534B67" w:rsidRDefault="00534B67" w:rsidP="00B81077"/>
          <w:p w14:paraId="15B1FD88" w14:textId="02B3F24A" w:rsidR="00B81077" w:rsidRDefault="00B81077" w:rsidP="00B81077">
            <w:r>
              <w:t>Q：从目前节奏看，后续推动BD</w:t>
            </w:r>
            <w:r w:rsidR="004B6BD0">
              <w:t>（商业拓展</w:t>
            </w:r>
            <w:bookmarkStart w:id="6" w:name="_GoBack"/>
            <w:bookmarkEnd w:id="6"/>
            <w:r w:rsidR="004B6BD0">
              <w:t>）</w:t>
            </w:r>
            <w:r>
              <w:t>是否有意向接触方，BD方向是怎样的？</w:t>
            </w:r>
          </w:p>
          <w:p w14:paraId="6857FF27" w14:textId="21A1B639" w:rsidR="00B81077" w:rsidRDefault="00B81077" w:rsidP="00B81077">
            <w:r>
              <w:t>A：医药企业和食品企业都是未来主要合作方向。目前业务</w:t>
            </w:r>
            <w:proofErr w:type="gramStart"/>
            <w:r>
              <w:t>端合作</w:t>
            </w:r>
            <w:proofErr w:type="gramEnd"/>
            <w:r>
              <w:t>的客户会成为未来潜在合作</w:t>
            </w:r>
            <w:r w:rsidR="00494C6F">
              <w:rPr>
                <w:rFonts w:hint="eastAsia"/>
              </w:rPr>
              <w:t>对象</w:t>
            </w:r>
            <w:r>
              <w:t>。等专利</w:t>
            </w:r>
            <w:r w:rsidR="00494C6F">
              <w:t>落实</w:t>
            </w:r>
            <w:r>
              <w:t>后，会定向推广产品，不局限于保健品方向，会最大程度商业化该平台。</w:t>
            </w:r>
          </w:p>
          <w:p w14:paraId="691FB517" w14:textId="77777777" w:rsidR="00534B67" w:rsidRDefault="00534B67" w:rsidP="00B81077"/>
          <w:p w14:paraId="12E47694" w14:textId="77777777" w:rsidR="00B81077" w:rsidRDefault="00B81077" w:rsidP="00B81077">
            <w:r>
              <w:t>Q：从保健品赛道来看，如何展望JH389项目未来的市场空间？</w:t>
            </w:r>
          </w:p>
          <w:p w14:paraId="61A5C575" w14:textId="1FCCDDA9" w:rsidR="00B81077" w:rsidRDefault="00B81077" w:rsidP="00B81077">
            <w:r>
              <w:t>A：目前国内保健品市场参差不齐，公司期待JH389产品在保健品领域有较大相对优势和差异化效果。会在不同地区采用不同策略推广，主流地区会采用</w:t>
            </w:r>
            <w:proofErr w:type="gramStart"/>
            <w:r>
              <w:t>偏消费</w:t>
            </w:r>
            <w:proofErr w:type="gramEnd"/>
            <w:r>
              <w:t>的打法与合作伙伴合作，如明星引流等。整体从消费得起且有消费需求的总人群做谨慎推测，</w:t>
            </w:r>
            <w:r w:rsidRPr="00091B1A">
              <w:t>期待这部分人群</w:t>
            </w:r>
            <w:r w:rsidR="00091B1A" w:rsidRPr="00091B1A">
              <w:t>中</w:t>
            </w:r>
            <w:r w:rsidRPr="00091B1A">
              <w:t>的1%</w:t>
            </w:r>
            <w:r w:rsidR="00091B1A" w:rsidRPr="00091B1A">
              <w:rPr>
                <w:rFonts w:hint="eastAsia"/>
              </w:rPr>
              <w:t>将使用减重类产品</w:t>
            </w:r>
            <w:r>
              <w:t>。</w:t>
            </w:r>
          </w:p>
          <w:p w14:paraId="007328EC" w14:textId="77777777" w:rsidR="00534B67" w:rsidRDefault="00534B67" w:rsidP="00B81077"/>
          <w:p w14:paraId="2F951476" w14:textId="1199D76C" w:rsidR="00B81077" w:rsidRDefault="00B81077" w:rsidP="00B81077">
            <w:r>
              <w:t>Q：密歇根的技术课题组</w:t>
            </w:r>
            <w:proofErr w:type="gramStart"/>
            <w:r>
              <w:t>和美诺华未来</w:t>
            </w:r>
            <w:proofErr w:type="gramEnd"/>
            <w:r>
              <w:t>是否会有进一步商业化合作，除</w:t>
            </w:r>
            <w:r w:rsidR="007A0ACE">
              <w:t>GLP-</w:t>
            </w:r>
            <w:r>
              <w:t>1项目外，还有哪些潜在可商业化落地的应用场景或项目？</w:t>
            </w:r>
          </w:p>
          <w:p w14:paraId="053ECF7C" w14:textId="00CD05B8" w:rsidR="00B81077" w:rsidRDefault="00B81077" w:rsidP="00B81077">
            <w:r>
              <w:t>A：因JH389</w:t>
            </w:r>
            <w:r w:rsidR="007A0ACE">
              <w:t>项目优异的研发成果</w:t>
            </w:r>
            <w:r>
              <w:t>，对密歇根大学团队技术充满信心，已开始多个项目探讨。解酒方面（</w:t>
            </w:r>
            <w:proofErr w:type="gramStart"/>
            <w:r>
              <w:t>偏消费</w:t>
            </w:r>
            <w:proofErr w:type="gramEnd"/>
            <w:r>
              <w:t>产品）</w:t>
            </w:r>
            <w:r w:rsidR="00FB05CC">
              <w:t>产品比较成熟</w:t>
            </w:r>
            <w:r>
              <w:t>，双靶</w:t>
            </w:r>
            <w:r w:rsidR="007A0ACE">
              <w:t>、</w:t>
            </w:r>
            <w:proofErr w:type="gramStart"/>
            <w:r>
              <w:t>三靶</w:t>
            </w:r>
            <w:r w:rsidR="007A0ACE">
              <w:t>的</w:t>
            </w:r>
            <w:proofErr w:type="gramEnd"/>
            <w:r>
              <w:t>减重管线的合作也在</w:t>
            </w:r>
            <w:r w:rsidR="00FB05CC">
              <w:rPr>
                <w:rFonts w:hint="eastAsia"/>
              </w:rPr>
              <w:t>研讨</w:t>
            </w:r>
            <w:r>
              <w:t>中。</w:t>
            </w:r>
            <w:r w:rsidR="00FB05CC">
              <w:rPr>
                <w:rFonts w:hint="eastAsia"/>
              </w:rPr>
              <w:t>期望</w:t>
            </w:r>
            <w:r>
              <w:t>通过JH389的成功推广，以一种全新的方式参与</w:t>
            </w:r>
            <w:r w:rsidR="00494C6F">
              <w:t>对应需求领域的</w:t>
            </w:r>
            <w:r>
              <w:t>市场竞争</w:t>
            </w:r>
            <w:r w:rsidR="00FB05CC">
              <w:rPr>
                <w:rFonts w:hint="eastAsia"/>
              </w:rPr>
              <w:t>。期望</w:t>
            </w:r>
            <w:r>
              <w:t>与密歇根</w:t>
            </w:r>
            <w:r w:rsidR="00FB05CC">
              <w:rPr>
                <w:rFonts w:hint="eastAsia"/>
              </w:rPr>
              <w:t>团队</w:t>
            </w:r>
            <w:r>
              <w:t>紧密合作，探讨</w:t>
            </w:r>
            <w:r w:rsidR="00FB05CC">
              <w:t>包括但不限于</w:t>
            </w:r>
            <w:r>
              <w:t>参股平台权益、成立公司等合作模式，相信合作是长期的。</w:t>
            </w:r>
          </w:p>
          <w:p w14:paraId="41E47706" w14:textId="12182891" w:rsidR="002B3C14" w:rsidRPr="002B3C14" w:rsidRDefault="002B3C14" w:rsidP="006C7F70">
            <w:pPr>
              <w:pStyle w:val="TableParagraph"/>
              <w:spacing w:line="360" w:lineRule="auto"/>
              <w:rPr>
                <w:rFonts w:asciiTheme="minorEastAsia" w:eastAsiaTheme="minorEastAsia" w:hAnsiTheme="minorEastAsia" w:cs="宋体"/>
                <w:sz w:val="21"/>
                <w:szCs w:val="21"/>
                <w:lang w:val="en-US"/>
              </w:rPr>
            </w:pPr>
          </w:p>
        </w:tc>
      </w:tr>
      <w:tr w:rsidR="009E7B2A" w:rsidRPr="009E7B2A" w14:paraId="404D731D" w14:textId="77777777" w:rsidTr="00E84A45">
        <w:trPr>
          <w:trHeight w:val="558"/>
          <w:jc w:val="center"/>
        </w:trPr>
        <w:tc>
          <w:tcPr>
            <w:tcW w:w="2377" w:type="dxa"/>
            <w:vAlign w:val="center"/>
          </w:tcPr>
          <w:p w14:paraId="7542444A" w14:textId="77777777" w:rsidR="0031346F" w:rsidRPr="009E7B2A" w:rsidRDefault="00FF6EAF">
            <w:pPr>
              <w:pStyle w:val="TableParagraph"/>
              <w:spacing w:before="1"/>
              <w:ind w:left="107"/>
              <w:rPr>
                <w:rFonts w:ascii="宋体" w:eastAsia="宋体" w:hAnsi="宋体" w:cs="宋体"/>
                <w:sz w:val="21"/>
                <w:szCs w:val="21"/>
              </w:rPr>
            </w:pPr>
            <w:r w:rsidRPr="009E7B2A">
              <w:rPr>
                <w:rFonts w:ascii="宋体" w:eastAsia="宋体" w:hAnsi="宋体" w:cs="宋体" w:hint="eastAsia"/>
                <w:sz w:val="21"/>
                <w:szCs w:val="21"/>
              </w:rPr>
              <w:t>日期</w:t>
            </w:r>
          </w:p>
        </w:tc>
        <w:tc>
          <w:tcPr>
            <w:tcW w:w="6148" w:type="dxa"/>
            <w:vAlign w:val="center"/>
          </w:tcPr>
          <w:p w14:paraId="0A42D0B5" w14:textId="7B226C12" w:rsidR="0031346F" w:rsidRPr="009E7B2A" w:rsidRDefault="00110B1D" w:rsidP="009E21EA">
            <w:pPr>
              <w:pStyle w:val="TableParagraph"/>
              <w:rPr>
                <w:rFonts w:ascii="宋体" w:eastAsia="宋体" w:hAnsi="宋体" w:cs="宋体"/>
                <w:sz w:val="21"/>
                <w:szCs w:val="21"/>
              </w:rPr>
            </w:pPr>
            <w:r w:rsidRPr="009E7B2A">
              <w:rPr>
                <w:rFonts w:ascii="宋体" w:eastAsia="宋体" w:hAnsi="宋体" w:cs="宋体" w:hint="eastAsia"/>
                <w:sz w:val="21"/>
                <w:szCs w:val="21"/>
              </w:rPr>
              <w:t>202</w:t>
            </w:r>
            <w:r w:rsidR="002B3C14">
              <w:rPr>
                <w:rFonts w:ascii="宋体" w:eastAsia="宋体" w:hAnsi="宋体" w:cs="宋体"/>
                <w:sz w:val="21"/>
                <w:szCs w:val="21"/>
              </w:rPr>
              <w:t>5</w:t>
            </w:r>
            <w:r w:rsidRPr="009E7B2A">
              <w:rPr>
                <w:rFonts w:ascii="宋体" w:eastAsia="宋体" w:hAnsi="宋体" w:cs="宋体" w:hint="eastAsia"/>
                <w:sz w:val="21"/>
                <w:szCs w:val="21"/>
              </w:rPr>
              <w:t>年</w:t>
            </w:r>
            <w:r w:rsidR="002B3C14">
              <w:rPr>
                <w:rFonts w:ascii="宋体" w:eastAsia="宋体" w:hAnsi="宋体" w:cs="宋体"/>
                <w:sz w:val="21"/>
                <w:szCs w:val="21"/>
              </w:rPr>
              <w:t>6</w:t>
            </w:r>
            <w:r w:rsidRPr="009E7B2A">
              <w:rPr>
                <w:rFonts w:ascii="宋体" w:eastAsia="宋体" w:hAnsi="宋体" w:cs="宋体" w:hint="eastAsia"/>
                <w:sz w:val="21"/>
                <w:szCs w:val="21"/>
              </w:rPr>
              <w:t>月</w:t>
            </w:r>
            <w:r w:rsidR="007A0ACE">
              <w:rPr>
                <w:rFonts w:ascii="宋体" w:eastAsia="宋体" w:hAnsi="宋体" w:cs="宋体"/>
                <w:sz w:val="21"/>
                <w:szCs w:val="21"/>
              </w:rPr>
              <w:t>16</w:t>
            </w:r>
            <w:r w:rsidRPr="009E7B2A">
              <w:rPr>
                <w:rFonts w:ascii="宋体" w:eastAsia="宋体" w:hAnsi="宋体" w:cs="宋体" w:hint="eastAsia"/>
                <w:sz w:val="21"/>
                <w:szCs w:val="21"/>
              </w:rPr>
              <w:t>日</w:t>
            </w:r>
          </w:p>
        </w:tc>
      </w:tr>
    </w:tbl>
    <w:p w14:paraId="764604AF" w14:textId="77777777" w:rsidR="0031346F" w:rsidRPr="009E7B2A" w:rsidRDefault="0031346F">
      <w:pPr>
        <w:rPr>
          <w:rFonts w:ascii="宋体" w:eastAsia="宋体" w:hAnsi="宋体" w:cs="宋体"/>
        </w:rPr>
      </w:pPr>
    </w:p>
    <w:sectPr w:rsidR="0031346F" w:rsidRPr="009E7B2A">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75F43" w14:textId="77777777" w:rsidR="00313D3C" w:rsidRDefault="00313D3C" w:rsidP="00967660">
      <w:r>
        <w:separator/>
      </w:r>
    </w:p>
  </w:endnote>
  <w:endnote w:type="continuationSeparator" w:id="0">
    <w:p w14:paraId="45A0DD0B" w14:textId="77777777" w:rsidR="00313D3C" w:rsidRDefault="00313D3C" w:rsidP="0096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FC075" w14:textId="77777777" w:rsidR="00313D3C" w:rsidRDefault="00313D3C" w:rsidP="00967660">
      <w:r>
        <w:separator/>
      </w:r>
    </w:p>
  </w:footnote>
  <w:footnote w:type="continuationSeparator" w:id="0">
    <w:p w14:paraId="79E3A229" w14:textId="77777777" w:rsidR="00313D3C" w:rsidRDefault="00313D3C" w:rsidP="00967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7725F"/>
    <w:multiLevelType w:val="hybridMultilevel"/>
    <w:tmpl w:val="06A8A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50E266A"/>
    <w:multiLevelType w:val="hybridMultilevel"/>
    <w:tmpl w:val="F3AE1706"/>
    <w:lvl w:ilvl="0" w:tplc="8AC04D2C">
      <w:start w:val="1"/>
      <w:numFmt w:val="decimal"/>
      <w:lvlText w:val="%1."/>
      <w:lvlJc w:val="left"/>
      <w:pPr>
        <w:ind w:left="330" w:hanging="3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CC20F5"/>
    <w:multiLevelType w:val="hybridMultilevel"/>
    <w:tmpl w:val="1AC676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CAA65CD"/>
    <w:multiLevelType w:val="hybridMultilevel"/>
    <w:tmpl w:val="6CC89BF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46F"/>
    <w:rsid w:val="00021E44"/>
    <w:rsid w:val="00024A48"/>
    <w:rsid w:val="00044D79"/>
    <w:rsid w:val="0004540C"/>
    <w:rsid w:val="00051181"/>
    <w:rsid w:val="0005545B"/>
    <w:rsid w:val="000606F6"/>
    <w:rsid w:val="00091B1A"/>
    <w:rsid w:val="000A7D1E"/>
    <w:rsid w:val="000C23F7"/>
    <w:rsid w:val="000E2550"/>
    <w:rsid w:val="000F2482"/>
    <w:rsid w:val="00110B1D"/>
    <w:rsid w:val="00131477"/>
    <w:rsid w:val="00150ECD"/>
    <w:rsid w:val="00165BF0"/>
    <w:rsid w:val="00175E91"/>
    <w:rsid w:val="00177B84"/>
    <w:rsid w:val="001A385D"/>
    <w:rsid w:val="001C0673"/>
    <w:rsid w:val="001C2A3C"/>
    <w:rsid w:val="0021298F"/>
    <w:rsid w:val="002154C3"/>
    <w:rsid w:val="00226D19"/>
    <w:rsid w:val="00265049"/>
    <w:rsid w:val="0027003E"/>
    <w:rsid w:val="0027331D"/>
    <w:rsid w:val="00284717"/>
    <w:rsid w:val="00296238"/>
    <w:rsid w:val="002A42A8"/>
    <w:rsid w:val="002B3C14"/>
    <w:rsid w:val="002E7056"/>
    <w:rsid w:val="002F6CD7"/>
    <w:rsid w:val="0031346F"/>
    <w:rsid w:val="00313D3C"/>
    <w:rsid w:val="003478C9"/>
    <w:rsid w:val="003570E5"/>
    <w:rsid w:val="003878B1"/>
    <w:rsid w:val="00392089"/>
    <w:rsid w:val="003B6913"/>
    <w:rsid w:val="004007CE"/>
    <w:rsid w:val="004914BC"/>
    <w:rsid w:val="00494C6F"/>
    <w:rsid w:val="0049680C"/>
    <w:rsid w:val="004B6BD0"/>
    <w:rsid w:val="004E410A"/>
    <w:rsid w:val="00520B96"/>
    <w:rsid w:val="00534B67"/>
    <w:rsid w:val="00535545"/>
    <w:rsid w:val="005504DE"/>
    <w:rsid w:val="0055222D"/>
    <w:rsid w:val="00565164"/>
    <w:rsid w:val="005C0DB7"/>
    <w:rsid w:val="006048B7"/>
    <w:rsid w:val="006052D7"/>
    <w:rsid w:val="006141B2"/>
    <w:rsid w:val="00620F73"/>
    <w:rsid w:val="00645B02"/>
    <w:rsid w:val="00671DCA"/>
    <w:rsid w:val="00683E97"/>
    <w:rsid w:val="0069410E"/>
    <w:rsid w:val="006A7835"/>
    <w:rsid w:val="006C4DC4"/>
    <w:rsid w:val="006C7F70"/>
    <w:rsid w:val="006D5DF7"/>
    <w:rsid w:val="006E4AA2"/>
    <w:rsid w:val="006E7D54"/>
    <w:rsid w:val="00714E15"/>
    <w:rsid w:val="007261E4"/>
    <w:rsid w:val="00726445"/>
    <w:rsid w:val="00743ECC"/>
    <w:rsid w:val="0075531C"/>
    <w:rsid w:val="00764FB0"/>
    <w:rsid w:val="007941FB"/>
    <w:rsid w:val="007A0ACE"/>
    <w:rsid w:val="007A2FD8"/>
    <w:rsid w:val="007B723B"/>
    <w:rsid w:val="007D2F06"/>
    <w:rsid w:val="007D36F1"/>
    <w:rsid w:val="00805780"/>
    <w:rsid w:val="008070FF"/>
    <w:rsid w:val="00830B23"/>
    <w:rsid w:val="0083454B"/>
    <w:rsid w:val="008419A0"/>
    <w:rsid w:val="00854AE9"/>
    <w:rsid w:val="008579C6"/>
    <w:rsid w:val="0087133F"/>
    <w:rsid w:val="00880F6B"/>
    <w:rsid w:val="008850E5"/>
    <w:rsid w:val="008A1020"/>
    <w:rsid w:val="008B516D"/>
    <w:rsid w:val="008C562F"/>
    <w:rsid w:val="008C7262"/>
    <w:rsid w:val="009038EB"/>
    <w:rsid w:val="00910ED7"/>
    <w:rsid w:val="009142AE"/>
    <w:rsid w:val="00967660"/>
    <w:rsid w:val="00985CB0"/>
    <w:rsid w:val="00987094"/>
    <w:rsid w:val="009A746D"/>
    <w:rsid w:val="009D4BEC"/>
    <w:rsid w:val="009E21EA"/>
    <w:rsid w:val="009E7B2A"/>
    <w:rsid w:val="009F1E4A"/>
    <w:rsid w:val="009F6054"/>
    <w:rsid w:val="009F749D"/>
    <w:rsid w:val="00A01F63"/>
    <w:rsid w:val="00A55AD4"/>
    <w:rsid w:val="00A6261B"/>
    <w:rsid w:val="00A9344E"/>
    <w:rsid w:val="00AA7ED7"/>
    <w:rsid w:val="00B052C6"/>
    <w:rsid w:val="00B1797B"/>
    <w:rsid w:val="00B210B0"/>
    <w:rsid w:val="00B258AE"/>
    <w:rsid w:val="00B45419"/>
    <w:rsid w:val="00B80229"/>
    <w:rsid w:val="00B81077"/>
    <w:rsid w:val="00B810BA"/>
    <w:rsid w:val="00BC4BF6"/>
    <w:rsid w:val="00BE6FDA"/>
    <w:rsid w:val="00BF0FE3"/>
    <w:rsid w:val="00C16330"/>
    <w:rsid w:val="00C354ED"/>
    <w:rsid w:val="00C35AC0"/>
    <w:rsid w:val="00C51EC9"/>
    <w:rsid w:val="00C52EA8"/>
    <w:rsid w:val="00C64633"/>
    <w:rsid w:val="00C76B07"/>
    <w:rsid w:val="00C84F04"/>
    <w:rsid w:val="00C85481"/>
    <w:rsid w:val="00C92403"/>
    <w:rsid w:val="00CC19A7"/>
    <w:rsid w:val="00CD0188"/>
    <w:rsid w:val="00CD403F"/>
    <w:rsid w:val="00CF4A2A"/>
    <w:rsid w:val="00D00432"/>
    <w:rsid w:val="00D12B62"/>
    <w:rsid w:val="00D26922"/>
    <w:rsid w:val="00D276D0"/>
    <w:rsid w:val="00D54DA9"/>
    <w:rsid w:val="00D60766"/>
    <w:rsid w:val="00D73704"/>
    <w:rsid w:val="00D80405"/>
    <w:rsid w:val="00D818D5"/>
    <w:rsid w:val="00D8416F"/>
    <w:rsid w:val="00D843C1"/>
    <w:rsid w:val="00DB6FCD"/>
    <w:rsid w:val="00DC07B2"/>
    <w:rsid w:val="00DC1D42"/>
    <w:rsid w:val="00DC42F4"/>
    <w:rsid w:val="00DD0FE8"/>
    <w:rsid w:val="00DD17A5"/>
    <w:rsid w:val="00DF2EF8"/>
    <w:rsid w:val="00E24A8A"/>
    <w:rsid w:val="00E52109"/>
    <w:rsid w:val="00E55950"/>
    <w:rsid w:val="00E601D0"/>
    <w:rsid w:val="00E84A45"/>
    <w:rsid w:val="00F15F82"/>
    <w:rsid w:val="00F251FD"/>
    <w:rsid w:val="00F42864"/>
    <w:rsid w:val="00F430BD"/>
    <w:rsid w:val="00F54B73"/>
    <w:rsid w:val="00FB05CC"/>
    <w:rsid w:val="00FE0730"/>
    <w:rsid w:val="00FF6EAF"/>
    <w:rsid w:val="09186774"/>
    <w:rsid w:val="12070CAE"/>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4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sz w:val="32"/>
      <w:szCs w:val="32"/>
    </w:rPr>
  </w:style>
  <w:style w:type="paragraph" w:customStyle="1" w:styleId="TableParagraph">
    <w:name w:val="Table Paragraph"/>
    <w:basedOn w:val="a"/>
    <w:uiPriority w:val="1"/>
    <w:qFormat/>
  </w:style>
  <w:style w:type="paragraph" w:styleId="a4">
    <w:name w:val="header"/>
    <w:basedOn w:val="a"/>
    <w:link w:val="Char"/>
    <w:rsid w:val="009676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67660"/>
    <w:rPr>
      <w:rFonts w:ascii="仿宋" w:eastAsia="仿宋" w:hAnsi="仿宋" w:cs="仿宋"/>
      <w:sz w:val="18"/>
      <w:szCs w:val="18"/>
      <w:lang w:val="zh-CN" w:bidi="zh-CN"/>
    </w:rPr>
  </w:style>
  <w:style w:type="paragraph" w:styleId="a5">
    <w:name w:val="footer"/>
    <w:basedOn w:val="a"/>
    <w:link w:val="Char0"/>
    <w:rsid w:val="00967660"/>
    <w:pPr>
      <w:tabs>
        <w:tab w:val="center" w:pos="4153"/>
        <w:tab w:val="right" w:pos="8306"/>
      </w:tabs>
      <w:snapToGrid w:val="0"/>
    </w:pPr>
    <w:rPr>
      <w:sz w:val="18"/>
      <w:szCs w:val="18"/>
    </w:rPr>
  </w:style>
  <w:style w:type="character" w:customStyle="1" w:styleId="Char0">
    <w:name w:val="页脚 Char"/>
    <w:basedOn w:val="a0"/>
    <w:link w:val="a5"/>
    <w:rsid w:val="00967660"/>
    <w:rPr>
      <w:rFonts w:ascii="仿宋" w:eastAsia="仿宋" w:hAnsi="仿宋" w:cs="仿宋"/>
      <w:sz w:val="18"/>
      <w:szCs w:val="18"/>
      <w:lang w:val="zh-CN" w:bidi="zh-CN"/>
    </w:rPr>
  </w:style>
  <w:style w:type="paragraph" w:styleId="a6">
    <w:name w:val="List Paragraph"/>
    <w:basedOn w:val="a"/>
    <w:uiPriority w:val="99"/>
    <w:rsid w:val="00B81077"/>
    <w:pPr>
      <w:ind w:firstLineChars="200" w:firstLine="420"/>
    </w:pPr>
  </w:style>
  <w:style w:type="paragraph" w:styleId="a7">
    <w:name w:val="Balloon Text"/>
    <w:basedOn w:val="a"/>
    <w:link w:val="Char1"/>
    <w:semiHidden/>
    <w:unhideWhenUsed/>
    <w:rsid w:val="003478C9"/>
    <w:rPr>
      <w:sz w:val="18"/>
      <w:szCs w:val="18"/>
    </w:rPr>
  </w:style>
  <w:style w:type="character" w:customStyle="1" w:styleId="Char1">
    <w:name w:val="批注框文本 Char"/>
    <w:basedOn w:val="a0"/>
    <w:link w:val="a7"/>
    <w:semiHidden/>
    <w:rsid w:val="003478C9"/>
    <w:rPr>
      <w:rFonts w:ascii="仿宋" w:eastAsia="仿宋" w:hAnsi="仿宋" w:cs="仿宋"/>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sz w:val="32"/>
      <w:szCs w:val="32"/>
    </w:rPr>
  </w:style>
  <w:style w:type="paragraph" w:customStyle="1" w:styleId="TableParagraph">
    <w:name w:val="Table Paragraph"/>
    <w:basedOn w:val="a"/>
    <w:uiPriority w:val="1"/>
    <w:qFormat/>
  </w:style>
  <w:style w:type="paragraph" w:styleId="a4">
    <w:name w:val="header"/>
    <w:basedOn w:val="a"/>
    <w:link w:val="Char"/>
    <w:rsid w:val="009676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67660"/>
    <w:rPr>
      <w:rFonts w:ascii="仿宋" w:eastAsia="仿宋" w:hAnsi="仿宋" w:cs="仿宋"/>
      <w:sz w:val="18"/>
      <w:szCs w:val="18"/>
      <w:lang w:val="zh-CN" w:bidi="zh-CN"/>
    </w:rPr>
  </w:style>
  <w:style w:type="paragraph" w:styleId="a5">
    <w:name w:val="footer"/>
    <w:basedOn w:val="a"/>
    <w:link w:val="Char0"/>
    <w:rsid w:val="00967660"/>
    <w:pPr>
      <w:tabs>
        <w:tab w:val="center" w:pos="4153"/>
        <w:tab w:val="right" w:pos="8306"/>
      </w:tabs>
      <w:snapToGrid w:val="0"/>
    </w:pPr>
    <w:rPr>
      <w:sz w:val="18"/>
      <w:szCs w:val="18"/>
    </w:rPr>
  </w:style>
  <w:style w:type="character" w:customStyle="1" w:styleId="Char0">
    <w:name w:val="页脚 Char"/>
    <w:basedOn w:val="a0"/>
    <w:link w:val="a5"/>
    <w:rsid w:val="00967660"/>
    <w:rPr>
      <w:rFonts w:ascii="仿宋" w:eastAsia="仿宋" w:hAnsi="仿宋" w:cs="仿宋"/>
      <w:sz w:val="18"/>
      <w:szCs w:val="18"/>
      <w:lang w:val="zh-CN" w:bidi="zh-CN"/>
    </w:rPr>
  </w:style>
  <w:style w:type="paragraph" w:styleId="a6">
    <w:name w:val="List Paragraph"/>
    <w:basedOn w:val="a"/>
    <w:uiPriority w:val="99"/>
    <w:rsid w:val="00B81077"/>
    <w:pPr>
      <w:ind w:firstLineChars="200" w:firstLine="420"/>
    </w:pPr>
  </w:style>
  <w:style w:type="paragraph" w:styleId="a7">
    <w:name w:val="Balloon Text"/>
    <w:basedOn w:val="a"/>
    <w:link w:val="Char1"/>
    <w:semiHidden/>
    <w:unhideWhenUsed/>
    <w:rsid w:val="003478C9"/>
    <w:rPr>
      <w:sz w:val="18"/>
      <w:szCs w:val="18"/>
    </w:rPr>
  </w:style>
  <w:style w:type="character" w:customStyle="1" w:styleId="Char1">
    <w:name w:val="批注框文本 Char"/>
    <w:basedOn w:val="a0"/>
    <w:link w:val="a7"/>
    <w:semiHidden/>
    <w:rsid w:val="003478C9"/>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837</Words>
  <Characters>4777</Characters>
  <Application>Microsoft Office Word</Application>
  <DocSecurity>0</DocSecurity>
  <Lines>39</Lines>
  <Paragraphs>11</Paragraphs>
  <ScaleCrop>false</ScaleCrop>
  <Company>Microsoft</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dc:creator>
  <cp:lastModifiedBy>menovo</cp:lastModifiedBy>
  <cp:revision>7</cp:revision>
  <cp:lastPrinted>2025-06-16T15:14:00Z</cp:lastPrinted>
  <dcterms:created xsi:type="dcterms:W3CDTF">2025-06-16T15:45:00Z</dcterms:created>
  <dcterms:modified xsi:type="dcterms:W3CDTF">2025-06-16T16:48:00Z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