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ED8AF" w14:textId="77777777" w:rsidR="00DA728D" w:rsidRDefault="007D24E4">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603037</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r>
        <w:rPr>
          <w:rFonts w:ascii="宋体" w:eastAsia="宋体" w:hAnsi="宋体" w:cs="宋体" w:hint="eastAsia"/>
          <w:sz w:val="20"/>
          <w:szCs w:val="20"/>
          <w:lang w:val="en-US"/>
        </w:rPr>
        <w:t>凯众股份</w:t>
      </w:r>
    </w:p>
    <w:p w14:paraId="70EE1404" w14:textId="77777777" w:rsidR="00DA728D" w:rsidRDefault="00DA728D">
      <w:pPr>
        <w:spacing w:line="360" w:lineRule="auto"/>
        <w:jc w:val="center"/>
        <w:rPr>
          <w:rFonts w:ascii="宋体" w:eastAsia="宋体" w:hAnsi="宋体" w:cs="宋体"/>
          <w:b/>
          <w:bCs/>
          <w:sz w:val="44"/>
          <w:szCs w:val="44"/>
        </w:rPr>
      </w:pPr>
    </w:p>
    <w:p w14:paraId="3A8F6F27" w14:textId="77777777" w:rsidR="00DA728D" w:rsidRDefault="007D24E4">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上海凯众材料科技股份有限公司</w:t>
      </w:r>
    </w:p>
    <w:p w14:paraId="6B555218" w14:textId="77777777" w:rsidR="00DA728D" w:rsidRDefault="007D24E4">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7357C8E6" w14:textId="16287F20" w:rsidR="00DA728D" w:rsidRDefault="00DA728D">
      <w:pPr>
        <w:spacing w:before="51" w:after="32"/>
        <w:ind w:right="619"/>
        <w:jc w:val="right"/>
        <w:rPr>
          <w:rFonts w:ascii="宋体" w:eastAsia="宋体" w:hAnsi="宋体" w:cs="宋体"/>
          <w:sz w:val="20"/>
          <w:szCs w:val="20"/>
        </w:rPr>
      </w:pPr>
      <w:bookmarkStart w:id="0" w:name="_GoBack"/>
      <w:bookmarkEnd w:id="0"/>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DA728D" w14:paraId="11884CE2" w14:textId="77777777">
        <w:trPr>
          <w:trHeight w:val="2801"/>
          <w:jc w:val="center"/>
        </w:trPr>
        <w:tc>
          <w:tcPr>
            <w:tcW w:w="2580" w:type="dxa"/>
          </w:tcPr>
          <w:p w14:paraId="13DFDDC8" w14:textId="77777777" w:rsidR="00DA728D" w:rsidRDefault="00DA728D">
            <w:pPr>
              <w:pStyle w:val="TableParagraph"/>
              <w:spacing w:before="7"/>
              <w:rPr>
                <w:rFonts w:ascii="宋体" w:eastAsia="宋体" w:hAnsi="宋体" w:cs="宋体"/>
                <w:b/>
                <w:bCs/>
                <w:sz w:val="20"/>
                <w:szCs w:val="20"/>
              </w:rPr>
            </w:pPr>
          </w:p>
          <w:p w14:paraId="6BC476F4" w14:textId="77777777" w:rsidR="00DA728D" w:rsidRDefault="007D24E4">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442D74E8" w14:textId="77777777" w:rsidR="00DA728D" w:rsidRDefault="00DA728D">
            <w:pPr>
              <w:pStyle w:val="TableParagraph"/>
              <w:spacing w:before="7"/>
              <w:rPr>
                <w:rFonts w:ascii="宋体" w:eastAsia="宋体" w:hAnsi="宋体" w:cs="宋体"/>
                <w:sz w:val="20"/>
                <w:szCs w:val="20"/>
              </w:rPr>
            </w:pPr>
          </w:p>
          <w:p w14:paraId="447CC128" w14:textId="77777777" w:rsidR="00DA728D" w:rsidRDefault="007D24E4">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19B08831" w14:textId="77777777" w:rsidR="00DA728D" w:rsidRDefault="00DA728D">
            <w:pPr>
              <w:pStyle w:val="TableParagraph"/>
              <w:spacing w:before="11"/>
              <w:rPr>
                <w:rFonts w:ascii="宋体" w:eastAsia="宋体" w:hAnsi="宋体" w:cs="宋体"/>
                <w:sz w:val="20"/>
                <w:szCs w:val="20"/>
              </w:rPr>
            </w:pPr>
          </w:p>
          <w:p w14:paraId="4D75DC80" w14:textId="77777777" w:rsidR="00DA728D" w:rsidRDefault="007D24E4">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0F24E5AD" w14:textId="77777777" w:rsidR="00DA728D" w:rsidRDefault="00DA728D">
            <w:pPr>
              <w:pStyle w:val="TableParagraph"/>
              <w:spacing w:before="8"/>
              <w:rPr>
                <w:rFonts w:ascii="宋体" w:eastAsia="宋体" w:hAnsi="宋体" w:cs="宋体"/>
                <w:sz w:val="20"/>
                <w:szCs w:val="20"/>
              </w:rPr>
            </w:pPr>
          </w:p>
          <w:p w14:paraId="1CB91848" w14:textId="77777777" w:rsidR="00DA728D" w:rsidRDefault="007D24E4">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37EF549A" w14:textId="77777777" w:rsidR="00DA728D" w:rsidRDefault="00DA728D">
            <w:pPr>
              <w:pStyle w:val="TableParagraph"/>
              <w:spacing w:before="8"/>
              <w:rPr>
                <w:rFonts w:ascii="宋体" w:eastAsia="宋体" w:hAnsi="宋体" w:cs="宋体"/>
                <w:sz w:val="20"/>
                <w:szCs w:val="20"/>
              </w:rPr>
            </w:pPr>
          </w:p>
          <w:p w14:paraId="60C2003B" w14:textId="77777777" w:rsidR="00DA728D" w:rsidRDefault="007D24E4">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5B9AA3DE" w14:textId="77777777" w:rsidR="00DA728D" w:rsidRDefault="00DA728D">
            <w:pPr>
              <w:pStyle w:val="TableParagraph"/>
              <w:spacing w:before="11"/>
              <w:rPr>
                <w:rFonts w:ascii="宋体" w:eastAsia="宋体" w:hAnsi="宋体" w:cs="宋体"/>
                <w:sz w:val="20"/>
                <w:szCs w:val="20"/>
              </w:rPr>
            </w:pPr>
          </w:p>
          <w:p w14:paraId="3D5DAD2E" w14:textId="77777777" w:rsidR="00DA728D" w:rsidRDefault="007D24E4">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DA728D" w14:paraId="690FC782" w14:textId="77777777">
        <w:trPr>
          <w:trHeight w:val="1120"/>
          <w:jc w:val="center"/>
        </w:trPr>
        <w:tc>
          <w:tcPr>
            <w:tcW w:w="2580" w:type="dxa"/>
            <w:vAlign w:val="center"/>
          </w:tcPr>
          <w:p w14:paraId="39410BCD" w14:textId="77777777" w:rsidR="00DA728D" w:rsidRDefault="007D24E4">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6E77130D" w14:textId="77777777" w:rsidR="00DA728D" w:rsidRDefault="007D24E4">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线上参加公司</w:t>
            </w:r>
            <w:r>
              <w:rPr>
                <w:rFonts w:asciiTheme="minorEastAsia" w:eastAsiaTheme="minorEastAsia" w:hAnsiTheme="minorEastAsia" w:cs="宋体" w:hint="eastAsia"/>
                <w:sz w:val="20"/>
                <w:szCs w:val="20"/>
                <w:lang w:val="en-US"/>
              </w:rPr>
              <w:t>2024</w:t>
            </w:r>
            <w:r>
              <w:rPr>
                <w:rFonts w:asciiTheme="minorEastAsia" w:eastAsiaTheme="minorEastAsia" w:hAnsiTheme="minorEastAsia" w:cs="宋体" w:hint="eastAsia"/>
                <w:sz w:val="20"/>
                <w:szCs w:val="20"/>
                <w:lang w:val="en-US"/>
              </w:rPr>
              <w:t>年度暨</w:t>
            </w:r>
            <w:r>
              <w:rPr>
                <w:rFonts w:asciiTheme="minorEastAsia" w:eastAsiaTheme="minorEastAsia" w:hAnsiTheme="minorEastAsia" w:cs="宋体" w:hint="eastAsia"/>
                <w:sz w:val="20"/>
                <w:szCs w:val="20"/>
                <w:lang w:val="en-US"/>
              </w:rPr>
              <w:t>2025</w:t>
            </w:r>
            <w:r>
              <w:rPr>
                <w:rFonts w:asciiTheme="minorEastAsia" w:eastAsiaTheme="minorEastAsia" w:hAnsiTheme="minorEastAsia" w:cs="宋体" w:hint="eastAsia"/>
                <w:sz w:val="20"/>
                <w:szCs w:val="20"/>
                <w:lang w:val="en-US"/>
              </w:rPr>
              <w:t>年一季度业绩说明会的全体投资者</w:t>
            </w:r>
          </w:p>
        </w:tc>
      </w:tr>
      <w:tr w:rsidR="00DA728D" w14:paraId="533AEE24" w14:textId="77777777">
        <w:trPr>
          <w:trHeight w:val="558"/>
          <w:jc w:val="center"/>
        </w:trPr>
        <w:tc>
          <w:tcPr>
            <w:tcW w:w="2580" w:type="dxa"/>
            <w:vAlign w:val="center"/>
          </w:tcPr>
          <w:p w14:paraId="4F6942E5" w14:textId="77777777" w:rsidR="00DA728D" w:rsidRDefault="007D24E4">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5927EF58" w14:textId="77777777" w:rsidR="00DA728D" w:rsidRDefault="007D24E4">
            <w:pPr>
              <w:spacing w:before="100" w:beforeAutospacing="1" w:line="360" w:lineRule="auto"/>
              <w:rPr>
                <w:sz w:val="20"/>
                <w:szCs w:val="20"/>
              </w:rPr>
            </w:pPr>
            <w:r>
              <w:rPr>
                <w:rFonts w:asciiTheme="minorEastAsia" w:eastAsiaTheme="minorEastAsia" w:hAnsiTheme="minorEastAsia" w:cstheme="minorEastAsia" w:hint="eastAsia"/>
                <w:sz w:val="20"/>
                <w:szCs w:val="20"/>
              </w:rPr>
              <w:t>2025</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06</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17</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15:00-16:30</w:t>
            </w:r>
          </w:p>
        </w:tc>
      </w:tr>
      <w:tr w:rsidR="00DA728D" w14:paraId="464E3108" w14:textId="77777777">
        <w:trPr>
          <w:trHeight w:val="561"/>
          <w:jc w:val="center"/>
        </w:trPr>
        <w:tc>
          <w:tcPr>
            <w:tcW w:w="2580" w:type="dxa"/>
            <w:vAlign w:val="center"/>
          </w:tcPr>
          <w:p w14:paraId="2E49E89B" w14:textId="77777777" w:rsidR="00DA728D" w:rsidRDefault="007D24E4">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66FCE756" w14:textId="77777777" w:rsidR="00DA728D" w:rsidRDefault="007D24E4">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DA728D" w14:paraId="3D426456" w14:textId="77777777">
        <w:trPr>
          <w:trHeight w:val="558"/>
          <w:jc w:val="center"/>
        </w:trPr>
        <w:tc>
          <w:tcPr>
            <w:tcW w:w="2580" w:type="dxa"/>
            <w:vAlign w:val="center"/>
          </w:tcPr>
          <w:p w14:paraId="6AEC988E" w14:textId="77777777" w:rsidR="00DA728D" w:rsidRDefault="007D24E4">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2D1C4936" w14:textId="77777777" w:rsidR="00DA728D" w:rsidRDefault="007D24E4">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w:t>
            </w:r>
            <w:r>
              <w:rPr>
                <w:rFonts w:ascii="宋体" w:eastAsia="宋体" w:hAnsi="宋体" w:cs="宋体"/>
                <w:sz w:val="20"/>
                <w:szCs w:val="20"/>
              </w:rPr>
              <w:t xml:space="preserve"> </w:t>
            </w:r>
            <w:r>
              <w:rPr>
                <w:rFonts w:ascii="宋体" w:eastAsia="宋体" w:hAnsi="宋体" w:cs="宋体"/>
                <w:sz w:val="20"/>
                <w:szCs w:val="20"/>
              </w:rPr>
              <w:t>杨建刚</w:t>
            </w:r>
            <w:r>
              <w:rPr>
                <w:rFonts w:ascii="宋体" w:eastAsia="宋体" w:hAnsi="宋体" w:cs="宋体"/>
                <w:sz w:val="20"/>
                <w:szCs w:val="20"/>
              </w:rPr>
              <w:br/>
            </w:r>
            <w:r>
              <w:rPr>
                <w:rFonts w:ascii="宋体" w:eastAsia="宋体" w:hAnsi="宋体" w:cs="宋体"/>
                <w:sz w:val="20"/>
                <w:szCs w:val="20"/>
              </w:rPr>
              <w:t>财务总监兼董事会秘书</w:t>
            </w:r>
            <w:r>
              <w:rPr>
                <w:rFonts w:ascii="宋体" w:eastAsia="宋体" w:hAnsi="宋体" w:cs="宋体"/>
                <w:sz w:val="20"/>
                <w:szCs w:val="20"/>
              </w:rPr>
              <w:t xml:space="preserve"> </w:t>
            </w:r>
            <w:r>
              <w:rPr>
                <w:rFonts w:ascii="宋体" w:eastAsia="宋体" w:hAnsi="宋体" w:cs="宋体"/>
                <w:sz w:val="20"/>
                <w:szCs w:val="20"/>
              </w:rPr>
              <w:t>贾洁</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周源康</w:t>
            </w:r>
          </w:p>
        </w:tc>
      </w:tr>
      <w:tr w:rsidR="00DA728D" w14:paraId="70704FCF" w14:textId="77777777">
        <w:trPr>
          <w:trHeight w:val="2800"/>
          <w:jc w:val="center"/>
        </w:trPr>
        <w:tc>
          <w:tcPr>
            <w:tcW w:w="2580" w:type="dxa"/>
          </w:tcPr>
          <w:p w14:paraId="308B4AC7" w14:textId="77777777" w:rsidR="00DA728D" w:rsidRDefault="00DA728D">
            <w:pPr>
              <w:pStyle w:val="TableParagraph"/>
              <w:rPr>
                <w:rFonts w:ascii="宋体" w:eastAsia="宋体" w:hAnsi="宋体" w:cs="宋体"/>
                <w:b/>
                <w:bCs/>
                <w:sz w:val="20"/>
                <w:szCs w:val="20"/>
              </w:rPr>
            </w:pPr>
          </w:p>
          <w:p w14:paraId="0E557C1B" w14:textId="77777777" w:rsidR="00DA728D" w:rsidRDefault="00DA728D">
            <w:pPr>
              <w:pStyle w:val="TableParagraph"/>
              <w:rPr>
                <w:rFonts w:ascii="宋体" w:eastAsia="宋体" w:hAnsi="宋体" w:cs="宋体"/>
                <w:b/>
                <w:bCs/>
                <w:sz w:val="20"/>
                <w:szCs w:val="20"/>
              </w:rPr>
            </w:pPr>
          </w:p>
          <w:p w14:paraId="08E24057" w14:textId="77777777" w:rsidR="00DA728D" w:rsidRDefault="00DA728D">
            <w:pPr>
              <w:pStyle w:val="TableParagraph"/>
              <w:spacing w:before="5"/>
              <w:rPr>
                <w:rFonts w:ascii="宋体" w:eastAsia="宋体" w:hAnsi="宋体" w:cs="宋体"/>
                <w:b/>
                <w:bCs/>
                <w:sz w:val="20"/>
                <w:szCs w:val="20"/>
              </w:rPr>
            </w:pPr>
          </w:p>
          <w:p w14:paraId="3519E050" w14:textId="77777777" w:rsidR="00DA728D" w:rsidRDefault="007D24E4">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7477348C" w14:textId="77777777" w:rsidR="00DA728D" w:rsidRDefault="007D24E4">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w:t>
            </w:r>
            <w:r>
              <w:rPr>
                <w:rFonts w:ascii="宋体" w:eastAsia="宋体" w:hAnsi="宋体" w:cs="宋体"/>
                <w:b/>
                <w:sz w:val="20"/>
              </w:rPr>
              <w:t>贵公司什么时候发行可转债？关于控股子公司线控刹车系统什么时候量产？线控刹车系统会为小米汽车供货嘛？线控刹车系统量产后可以为公司带来多大的营收？</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您好，公司可转债发行事宜正在有序推进中，目前已提交注册稿，后续进展敬请关注公司公告；公司投资的炯熠电子科技</w:t>
            </w:r>
            <w:r>
              <w:rPr>
                <w:rFonts w:ascii="宋体" w:eastAsia="宋体" w:hAnsi="宋体" w:cs="宋体"/>
                <w:sz w:val="20"/>
              </w:rPr>
              <w:t>(</w:t>
            </w:r>
            <w:r>
              <w:rPr>
                <w:rFonts w:ascii="宋体" w:eastAsia="宋体" w:hAnsi="宋体" w:cs="宋体"/>
                <w:sz w:val="20"/>
              </w:rPr>
              <w:t>苏州</w:t>
            </w:r>
            <w:r>
              <w:rPr>
                <w:rFonts w:ascii="宋体" w:eastAsia="宋体" w:hAnsi="宋体" w:cs="宋体"/>
                <w:sz w:val="20"/>
              </w:rPr>
              <w:t>)</w:t>
            </w:r>
            <w:r>
              <w:rPr>
                <w:rFonts w:ascii="宋体" w:eastAsia="宋体" w:hAnsi="宋体" w:cs="宋体"/>
                <w:sz w:val="20"/>
              </w:rPr>
              <w:t>有限公司主要从事线控制动系统相关业务，其进展请参考公司相关公告。感谢您的提问！</w:t>
            </w:r>
            <w:r>
              <w:rPr>
                <w:rFonts w:ascii="宋体" w:eastAsia="宋体" w:hAnsi="宋体" w:cs="宋体"/>
                <w:sz w:val="20"/>
              </w:rPr>
              <w:br/>
            </w:r>
            <w:r>
              <w:rPr>
                <w:rFonts w:ascii="宋体" w:eastAsia="宋体" w:hAnsi="宋体" w:cs="宋体"/>
                <w:b/>
                <w:sz w:val="20"/>
              </w:rPr>
              <w:t xml:space="preserve">    2.</w:t>
            </w:r>
            <w:r>
              <w:rPr>
                <w:rFonts w:ascii="宋体" w:eastAsia="宋体" w:hAnsi="宋体" w:cs="宋体"/>
                <w:b/>
                <w:sz w:val="20"/>
              </w:rPr>
              <w:t>公司年报提到</w:t>
            </w:r>
            <w:r>
              <w:rPr>
                <w:rFonts w:ascii="宋体" w:eastAsia="宋体" w:hAnsi="宋体" w:cs="宋体"/>
                <w:b/>
                <w:sz w:val="20"/>
              </w:rPr>
              <w:t>‘</w:t>
            </w:r>
            <w:r>
              <w:rPr>
                <w:rFonts w:ascii="宋体" w:eastAsia="宋体" w:hAnsi="宋体" w:cs="宋体"/>
                <w:b/>
                <w:sz w:val="20"/>
              </w:rPr>
              <w:t>电子油门业务拓展至国外知名电动车品牌</w:t>
            </w:r>
            <w:r>
              <w:rPr>
                <w:rFonts w:ascii="宋体" w:eastAsia="宋体" w:hAnsi="宋体" w:cs="宋体"/>
                <w:b/>
                <w:sz w:val="20"/>
              </w:rPr>
              <w:t>’</w:t>
            </w:r>
            <w:r>
              <w:rPr>
                <w:rFonts w:ascii="宋体" w:eastAsia="宋体" w:hAnsi="宋体" w:cs="宋体"/>
                <w:b/>
                <w:sz w:val="20"/>
              </w:rPr>
              <w:t>，且此前公告显示炯熠电子与小米汽车存在线控制动系统合作。请具体说明：</w:t>
            </w:r>
            <w:r>
              <w:rPr>
                <w:rFonts w:ascii="宋体" w:eastAsia="宋体" w:hAnsi="宋体" w:cs="宋体"/>
                <w:b/>
                <w:sz w:val="20"/>
              </w:rPr>
              <w:t xml:space="preserve">  1. </w:t>
            </w:r>
            <w:r>
              <w:rPr>
                <w:rFonts w:ascii="宋体" w:eastAsia="宋体" w:hAnsi="宋体" w:cs="宋体"/>
                <w:b/>
                <w:sz w:val="20"/>
              </w:rPr>
              <w:t>目前与小米汽车合作的线控制动产品是否已实现量产供货？具体覆盖哪些车型？</w:t>
            </w:r>
            <w:r>
              <w:rPr>
                <w:rFonts w:ascii="宋体" w:eastAsia="宋体" w:hAnsi="宋体" w:cs="宋体"/>
                <w:b/>
                <w:sz w:val="20"/>
              </w:rPr>
              <w:t xml:space="preserve"> 2. </w:t>
            </w:r>
            <w:r>
              <w:rPr>
                <w:rFonts w:ascii="宋体" w:eastAsia="宋体" w:hAnsi="宋体" w:cs="宋体"/>
                <w:b/>
                <w:sz w:val="20"/>
              </w:rPr>
              <w:t>除小米外，是否与其他</w:t>
            </w:r>
            <w:r>
              <w:rPr>
                <w:rFonts w:ascii="宋体" w:eastAsia="宋体" w:hAnsi="宋体" w:cs="宋体"/>
                <w:b/>
                <w:sz w:val="20"/>
              </w:rPr>
              <w:lastRenderedPageBreak/>
              <w:t>新势力车企（如特斯拉、理想、比亚迪）在电动化或智能化领域展开新合作</w:t>
            </w:r>
            <w:r>
              <w:rPr>
                <w:rFonts w:ascii="宋体" w:eastAsia="宋体" w:hAnsi="宋体" w:cs="宋体"/>
                <w:b/>
                <w:sz w:val="20"/>
              </w:rPr>
              <w:t>？例如轻量化踏板或线控底盘技术的联合开发进展如何？</w:t>
            </w:r>
            <w:r>
              <w:rPr>
                <w:rFonts w:ascii="宋体" w:eastAsia="宋体" w:hAnsi="宋体" w:cs="宋体"/>
                <w:b/>
                <w:sz w:val="20"/>
              </w:rPr>
              <w:t xml:space="preserve"> 3. </w:t>
            </w:r>
            <w:r>
              <w:rPr>
                <w:rFonts w:ascii="宋体" w:eastAsia="宋体" w:hAnsi="宋体" w:cs="宋体"/>
                <w:b/>
                <w:sz w:val="20"/>
              </w:rPr>
              <w:t>公司聚氨酯材料在新能源电池防护领域的应用是否已形成规模化订单？未来如何规划该业务的增长路径？</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您好，公司投资的炯熠电子科技（苏州）有限公司正在开发的</w:t>
            </w:r>
            <w:r>
              <w:rPr>
                <w:rFonts w:ascii="宋体" w:eastAsia="宋体" w:hAnsi="宋体" w:cs="宋体"/>
                <w:sz w:val="20"/>
              </w:rPr>
              <w:t>EMB</w:t>
            </w:r>
            <w:r>
              <w:rPr>
                <w:rFonts w:ascii="宋体" w:eastAsia="宋体" w:hAnsi="宋体" w:cs="宋体"/>
                <w:sz w:val="20"/>
              </w:rPr>
              <w:t>产品适应于智驾技术发展对汽车制动系统的需要，公司聚氨酯材料在新能源电池防护领域的应用已获得订单并量产，公司将继续加强产品研发投入，期待以高性能、高可靠性的产品为汽车行业智能化升级提供支撑。感谢您的提问！</w:t>
            </w:r>
            <w:r>
              <w:rPr>
                <w:rFonts w:ascii="宋体" w:eastAsia="宋体" w:hAnsi="宋体" w:cs="宋体"/>
                <w:sz w:val="20"/>
              </w:rPr>
              <w:br/>
            </w:r>
            <w:r>
              <w:rPr>
                <w:rFonts w:ascii="宋体" w:eastAsia="宋体" w:hAnsi="宋体" w:cs="宋体"/>
                <w:b/>
                <w:sz w:val="20"/>
              </w:rPr>
              <w:t xml:space="preserve">    3.</w:t>
            </w:r>
            <w:r>
              <w:rPr>
                <w:rFonts w:ascii="宋体" w:eastAsia="宋体" w:hAnsi="宋体" w:cs="宋体"/>
                <w:b/>
                <w:sz w:val="20"/>
              </w:rPr>
              <w:t>炯熠电子的</w:t>
            </w:r>
            <w:r>
              <w:rPr>
                <w:rFonts w:ascii="宋体" w:eastAsia="宋体" w:hAnsi="宋体" w:cs="宋体"/>
                <w:b/>
                <w:sz w:val="20"/>
              </w:rPr>
              <w:t>EMB</w:t>
            </w:r>
            <w:r>
              <w:rPr>
                <w:rFonts w:ascii="宋体" w:eastAsia="宋体" w:hAnsi="宋体" w:cs="宋体"/>
                <w:b/>
                <w:sz w:val="20"/>
              </w:rPr>
              <w:t>系统作为国内领先的线控技术方案，目前进展备受关注。请具体</w:t>
            </w:r>
            <w:r>
              <w:rPr>
                <w:rFonts w:ascii="宋体" w:eastAsia="宋体" w:hAnsi="宋体" w:cs="宋体"/>
                <w:b/>
                <w:sz w:val="20"/>
              </w:rPr>
              <w:t>说明：</w:t>
            </w:r>
            <w:r>
              <w:rPr>
                <w:rFonts w:ascii="宋体" w:eastAsia="宋体" w:hAnsi="宋体" w:cs="宋体"/>
                <w:b/>
                <w:sz w:val="20"/>
              </w:rPr>
              <w:t xml:space="preserve">  1. EMB</w:t>
            </w:r>
            <w:r>
              <w:rPr>
                <w:rFonts w:ascii="宋体" w:eastAsia="宋体" w:hAnsi="宋体" w:cs="宋体"/>
                <w:b/>
                <w:sz w:val="20"/>
              </w:rPr>
              <w:t>产品量产时间何时能够实现？当前生产线准备情况如何？</w:t>
            </w:r>
            <w:r>
              <w:rPr>
                <w:rFonts w:ascii="宋体" w:eastAsia="宋体" w:hAnsi="宋体" w:cs="宋体"/>
                <w:b/>
                <w:sz w:val="20"/>
              </w:rPr>
              <w:t xml:space="preserve"> 2. </w:t>
            </w:r>
            <w:r>
              <w:rPr>
                <w:rFonts w:ascii="宋体" w:eastAsia="宋体" w:hAnsi="宋体" w:cs="宋体"/>
                <w:b/>
                <w:sz w:val="20"/>
              </w:rPr>
              <w:t>已公布的</w:t>
            </w:r>
            <w:r>
              <w:rPr>
                <w:rFonts w:ascii="宋体" w:eastAsia="宋体" w:hAnsi="宋体" w:cs="宋体"/>
                <w:b/>
                <w:sz w:val="20"/>
              </w:rPr>
              <w:t>‘</w:t>
            </w:r>
            <w:r>
              <w:rPr>
                <w:rFonts w:ascii="宋体" w:eastAsia="宋体" w:hAnsi="宋体" w:cs="宋体"/>
                <w:b/>
                <w:sz w:val="20"/>
              </w:rPr>
              <w:t>超</w:t>
            </w:r>
            <w:r>
              <w:rPr>
                <w:rFonts w:ascii="宋体" w:eastAsia="宋体" w:hAnsi="宋体" w:cs="宋体"/>
                <w:b/>
                <w:sz w:val="20"/>
              </w:rPr>
              <w:t>10</w:t>
            </w:r>
            <w:r>
              <w:rPr>
                <w:rFonts w:ascii="宋体" w:eastAsia="宋体" w:hAnsi="宋体" w:cs="宋体"/>
                <w:b/>
                <w:sz w:val="20"/>
              </w:rPr>
              <w:t>家头部主机厂定点</w:t>
            </w:r>
            <w:r>
              <w:rPr>
                <w:rFonts w:ascii="宋体" w:eastAsia="宋体" w:hAnsi="宋体" w:cs="宋体"/>
                <w:b/>
                <w:sz w:val="20"/>
              </w:rPr>
              <w:t>’</w:t>
            </w:r>
            <w:r>
              <w:rPr>
                <w:rFonts w:ascii="宋体" w:eastAsia="宋体" w:hAnsi="宋体" w:cs="宋体"/>
                <w:b/>
                <w:sz w:val="20"/>
              </w:rPr>
              <w:t>中，能否透露主要客户类型（如自主品牌</w:t>
            </w:r>
            <w:r>
              <w:rPr>
                <w:rFonts w:ascii="宋体" w:eastAsia="宋体" w:hAnsi="宋体" w:cs="宋体"/>
                <w:b/>
                <w:sz w:val="20"/>
              </w:rPr>
              <w:t>/</w:t>
            </w:r>
            <w:r>
              <w:rPr>
                <w:rFonts w:ascii="宋体" w:eastAsia="宋体" w:hAnsi="宋体" w:cs="宋体"/>
                <w:b/>
                <w:sz w:val="20"/>
              </w:rPr>
              <w:t>合资车企）及合作模式（独家供应</w:t>
            </w:r>
            <w:r>
              <w:rPr>
                <w:rFonts w:ascii="宋体" w:eastAsia="宋体" w:hAnsi="宋体" w:cs="宋体"/>
                <w:b/>
                <w:sz w:val="20"/>
              </w:rPr>
              <w:t>/</w:t>
            </w:r>
            <w:r>
              <w:rPr>
                <w:rFonts w:ascii="宋体" w:eastAsia="宋体" w:hAnsi="宋体" w:cs="宋体"/>
                <w:b/>
                <w:sz w:val="20"/>
              </w:rPr>
              <w:t>联合开发）？</w:t>
            </w:r>
            <w:r>
              <w:rPr>
                <w:rFonts w:ascii="宋体" w:eastAsia="宋体" w:hAnsi="宋体" w:cs="宋体"/>
                <w:b/>
                <w:sz w:val="20"/>
              </w:rPr>
              <w:t xml:space="preserve"> 3. </w:t>
            </w:r>
            <w:r>
              <w:rPr>
                <w:rFonts w:ascii="宋体" w:eastAsia="宋体" w:hAnsi="宋体" w:cs="宋体"/>
                <w:b/>
                <w:sz w:val="20"/>
              </w:rPr>
              <w:t>公司与上汽联合完成的冬季测试中，</w:t>
            </w:r>
            <w:r>
              <w:rPr>
                <w:rFonts w:ascii="宋体" w:eastAsia="宋体" w:hAnsi="宋体" w:cs="宋体"/>
                <w:b/>
                <w:sz w:val="20"/>
              </w:rPr>
              <w:t>EMB</w:t>
            </w:r>
            <w:r>
              <w:rPr>
                <w:rFonts w:ascii="宋体" w:eastAsia="宋体" w:hAnsi="宋体" w:cs="宋体"/>
                <w:b/>
                <w:sz w:val="20"/>
              </w:rPr>
              <w:t>系统在极寒环境下的性能表现是否达到国际领先水平？相较于博世等竞争对手，技术优势体现在哪些方面？</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您好，公司投资的炯熠电子科技（苏州）有限公司正在开发的</w:t>
            </w:r>
            <w:r>
              <w:rPr>
                <w:rFonts w:ascii="宋体" w:eastAsia="宋体" w:hAnsi="宋体" w:cs="宋体"/>
                <w:sz w:val="20"/>
              </w:rPr>
              <w:t>EMB</w:t>
            </w:r>
            <w:r>
              <w:rPr>
                <w:rFonts w:ascii="宋体" w:eastAsia="宋体" w:hAnsi="宋体" w:cs="宋体"/>
                <w:sz w:val="20"/>
              </w:rPr>
              <w:t>产品适应于智驾技术发展对汽车制动系统的需要，公司将继续加强产品研发投入，期待以高性能、高可靠性的产品为</w:t>
            </w:r>
            <w:r>
              <w:rPr>
                <w:rFonts w:ascii="宋体" w:eastAsia="宋体" w:hAnsi="宋体" w:cs="宋体"/>
                <w:sz w:val="20"/>
              </w:rPr>
              <w:t>汽车行业智能化升级提供支撑。感谢您的提问！</w:t>
            </w:r>
            <w:r>
              <w:rPr>
                <w:rFonts w:ascii="宋体" w:eastAsia="宋体" w:hAnsi="宋体" w:cs="宋体"/>
                <w:sz w:val="20"/>
              </w:rPr>
              <w:br/>
            </w:r>
            <w:r>
              <w:rPr>
                <w:rFonts w:ascii="宋体" w:eastAsia="宋体" w:hAnsi="宋体" w:cs="宋体"/>
                <w:b/>
                <w:sz w:val="20"/>
              </w:rPr>
              <w:t xml:space="preserve">    4.</w:t>
            </w:r>
            <w:r>
              <w:rPr>
                <w:rFonts w:ascii="宋体" w:eastAsia="宋体" w:hAnsi="宋体" w:cs="宋体"/>
                <w:b/>
                <w:sz w:val="20"/>
              </w:rPr>
              <w:t>公司在机器人领域的布局备受期待。请说明：</w:t>
            </w:r>
            <w:r>
              <w:rPr>
                <w:rFonts w:ascii="宋体" w:eastAsia="宋体" w:hAnsi="宋体" w:cs="宋体"/>
                <w:b/>
                <w:sz w:val="20"/>
              </w:rPr>
              <w:t xml:space="preserve">  1. </w:t>
            </w:r>
            <w:r>
              <w:rPr>
                <w:rFonts w:ascii="宋体" w:eastAsia="宋体" w:hAnsi="宋体" w:cs="宋体"/>
                <w:b/>
                <w:sz w:val="20"/>
              </w:rPr>
              <w:t>子公司上海恺骥智能（或关联企业）是否已开展机器人核心零部件的研发？例如聚氨酯材料在机器人关节减震或灵巧手结构中的应用进展？</w:t>
            </w:r>
            <w:r>
              <w:rPr>
                <w:rFonts w:ascii="宋体" w:eastAsia="宋体" w:hAnsi="宋体" w:cs="宋体"/>
                <w:b/>
                <w:sz w:val="20"/>
              </w:rPr>
              <w:t xml:space="preserve"> 2. </w:t>
            </w:r>
            <w:r>
              <w:rPr>
                <w:rFonts w:ascii="宋体" w:eastAsia="宋体" w:hAnsi="宋体" w:cs="宋体"/>
                <w:b/>
                <w:sz w:val="20"/>
              </w:rPr>
              <w:t>是否与国内人形机器人企业（如傅利叶、智元机器人）建立技术或供应链合作？例如提供轻量化部件或传感器集成方案？</w:t>
            </w:r>
            <w:r>
              <w:rPr>
                <w:rFonts w:ascii="宋体" w:eastAsia="宋体" w:hAnsi="宋体" w:cs="宋体"/>
                <w:b/>
                <w:sz w:val="20"/>
              </w:rPr>
              <w:t xml:space="preserve"> </w:t>
            </w:r>
            <w:r>
              <w:rPr>
                <w:rFonts w:ascii="宋体" w:eastAsia="宋体" w:hAnsi="宋体" w:cs="宋体"/>
                <w:b/>
                <w:sz w:val="20"/>
              </w:rPr>
              <w:t>未来是否会通过并购或战略投资进一步切入机器人赛道？目前相关规划进展如何？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您好，关于公司新产品、新业务的情况，请以公司公告为准，感谢您的提问！</w:t>
            </w:r>
            <w:r>
              <w:rPr>
                <w:rFonts w:ascii="宋体" w:eastAsia="宋体" w:hAnsi="宋体" w:cs="宋体"/>
                <w:sz w:val="20"/>
              </w:rPr>
              <w:br/>
            </w:r>
            <w:r>
              <w:rPr>
                <w:rFonts w:ascii="宋体" w:eastAsia="宋体" w:hAnsi="宋体" w:cs="宋体"/>
                <w:b/>
                <w:sz w:val="20"/>
              </w:rPr>
              <w:t xml:space="preserve">    5.</w:t>
            </w:r>
            <w:r>
              <w:rPr>
                <w:rFonts w:ascii="宋体" w:eastAsia="宋体" w:hAnsi="宋体" w:cs="宋体"/>
                <w:b/>
                <w:sz w:val="20"/>
              </w:rPr>
              <w:t>面对当前行业的发展趋势，公司未来在市场拓展方面有哪些计划？</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将紧跟市场步伐，积极应对宏观经济变化，抓住新的业务机会，加强产品研发投入力度，加快基础建设和自动化装配产线建设，提升公司综合实力，增强核心竞争力；同时加大国际市场和国内重点市场开发力度，积极拓展全新客户，增大新产品</w:t>
            </w:r>
            <w:r>
              <w:rPr>
                <w:rFonts w:ascii="宋体" w:eastAsia="宋体" w:hAnsi="宋体" w:cs="宋体"/>
                <w:sz w:val="20"/>
              </w:rPr>
              <w:lastRenderedPageBreak/>
              <w:t>的市场份额。感谢您的提问！</w:t>
            </w:r>
            <w:r>
              <w:rPr>
                <w:rFonts w:ascii="宋体" w:eastAsia="宋体" w:hAnsi="宋体" w:cs="宋体"/>
                <w:sz w:val="20"/>
              </w:rPr>
              <w:br/>
            </w:r>
            <w:r>
              <w:rPr>
                <w:rFonts w:ascii="宋体" w:eastAsia="宋体" w:hAnsi="宋体" w:cs="宋体"/>
                <w:b/>
                <w:sz w:val="20"/>
              </w:rPr>
              <w:t xml:space="preserve">    6.</w:t>
            </w:r>
            <w:r>
              <w:rPr>
                <w:rFonts w:ascii="宋体" w:eastAsia="宋体" w:hAnsi="宋体" w:cs="宋体"/>
                <w:b/>
                <w:sz w:val="20"/>
              </w:rPr>
              <w:t>未来公司计划在哪些方面开拓业务增长点？</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您好！公司将结合汽车行业新</w:t>
            </w:r>
            <w:r>
              <w:rPr>
                <w:rFonts w:ascii="宋体" w:eastAsia="宋体" w:hAnsi="宋体" w:cs="宋体"/>
                <w:sz w:val="20"/>
              </w:rPr>
              <w:t>“</w:t>
            </w:r>
            <w:r>
              <w:rPr>
                <w:rFonts w:ascii="宋体" w:eastAsia="宋体" w:hAnsi="宋体" w:cs="宋体"/>
                <w:sz w:val="20"/>
              </w:rPr>
              <w:t>四化</w:t>
            </w:r>
            <w:r>
              <w:rPr>
                <w:rFonts w:ascii="宋体" w:eastAsia="宋体" w:hAnsi="宋体" w:cs="宋体"/>
                <w:sz w:val="20"/>
              </w:rPr>
              <w:t>”</w:t>
            </w:r>
            <w:r>
              <w:rPr>
                <w:rFonts w:ascii="宋体" w:eastAsia="宋体" w:hAnsi="宋体" w:cs="宋体"/>
                <w:sz w:val="20"/>
              </w:rPr>
              <w:t>和我国智能化装备及工业</w:t>
            </w:r>
            <w:r>
              <w:rPr>
                <w:rFonts w:ascii="宋体" w:eastAsia="宋体" w:hAnsi="宋体" w:cs="宋体"/>
                <w:sz w:val="20"/>
              </w:rPr>
              <w:t xml:space="preserve"> 4.0 </w:t>
            </w:r>
            <w:r>
              <w:rPr>
                <w:rFonts w:ascii="宋体" w:eastAsia="宋体" w:hAnsi="宋体" w:cs="宋体"/>
                <w:sz w:val="20"/>
              </w:rPr>
              <w:t>的发展浪潮，通过自主培育和投资并购相结合的方式，积极发展新</w:t>
            </w:r>
            <w:r>
              <w:rPr>
                <w:rFonts w:ascii="宋体" w:eastAsia="宋体" w:hAnsi="宋体" w:cs="宋体"/>
                <w:sz w:val="20"/>
              </w:rPr>
              <w:t>业务，在主动悬架系统、电子转向系统、线控制动系统等汽车智能底盘领域以及新材料在汽车的推广应用方面培育新的增长点。公司已增加一般工业产品的研发和市场开拓，聚焦聚氨酯功能性材料在新能源电池等领域的推广、应用。感谢您的提问！</w:t>
            </w:r>
            <w:r>
              <w:rPr>
                <w:rFonts w:ascii="宋体" w:eastAsia="宋体" w:hAnsi="宋体" w:cs="宋体"/>
                <w:sz w:val="20"/>
              </w:rPr>
              <w:br/>
            </w:r>
            <w:r>
              <w:rPr>
                <w:rFonts w:ascii="宋体" w:eastAsia="宋体" w:hAnsi="宋体" w:cs="宋体"/>
                <w:b/>
                <w:sz w:val="20"/>
              </w:rPr>
              <w:t xml:space="preserve">    7.</w:t>
            </w:r>
            <w:r>
              <w:rPr>
                <w:rFonts w:ascii="宋体" w:eastAsia="宋体" w:hAnsi="宋体" w:cs="宋体"/>
                <w:b/>
                <w:sz w:val="20"/>
              </w:rPr>
              <w:t>面对汽车零部件市场激烈的技术路线竞争与迭代风险，公司将如何保证客户的稳定性？</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面对汽车零部件激烈的市场竞争，公司将继续加强产品研发投入，不断提高产品质量，加强品牌建设，加强内部管理，提升生产效率和降低运营成本。同时贯彻事业部管理模式，切实推行快速反应小组，加大市</w:t>
            </w:r>
            <w:r>
              <w:rPr>
                <w:rFonts w:ascii="宋体" w:eastAsia="宋体" w:hAnsi="宋体" w:cs="宋体"/>
                <w:sz w:val="20"/>
              </w:rPr>
              <w:t>场一线的自主性、能动性，强化公司快速反应、优质服务的传统优势，促进客户满意。感谢您的提问！</w:t>
            </w:r>
            <w:r>
              <w:rPr>
                <w:rFonts w:ascii="宋体" w:eastAsia="宋体" w:hAnsi="宋体" w:cs="宋体"/>
                <w:sz w:val="20"/>
              </w:rPr>
              <w:br/>
            </w:r>
            <w:r>
              <w:rPr>
                <w:rFonts w:ascii="宋体" w:eastAsia="宋体" w:hAnsi="宋体" w:cs="宋体"/>
                <w:b/>
                <w:sz w:val="20"/>
              </w:rPr>
              <w:t xml:space="preserve">    8.</w:t>
            </w:r>
            <w:r>
              <w:rPr>
                <w:rFonts w:ascii="宋体" w:eastAsia="宋体" w:hAnsi="宋体" w:cs="宋体"/>
                <w:b/>
                <w:sz w:val="20"/>
              </w:rPr>
              <w:t>公司的海外战略布局的思路是？</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您好！公司通过在墨西哥、美国、欧洲德国、摩洛哥设立海外子公司，在日本设立办事处，实现贴近服务客户和全球化经营，履行以客户为本的经营理念。公司于</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1</w:t>
            </w:r>
            <w:r>
              <w:rPr>
                <w:rFonts w:ascii="宋体" w:eastAsia="宋体" w:hAnsi="宋体" w:cs="宋体"/>
                <w:sz w:val="20"/>
              </w:rPr>
              <w:t>月</w:t>
            </w:r>
            <w:r>
              <w:rPr>
                <w:rFonts w:ascii="宋体" w:eastAsia="宋体" w:hAnsi="宋体" w:cs="宋体"/>
                <w:sz w:val="20"/>
              </w:rPr>
              <w:t xml:space="preserve">24 </w:t>
            </w:r>
            <w:r>
              <w:rPr>
                <w:rFonts w:ascii="宋体" w:eastAsia="宋体" w:hAnsi="宋体" w:cs="宋体"/>
                <w:sz w:val="20"/>
              </w:rPr>
              <w:t>日通过了《关于对外投资设立摩洛哥子公司的议案》，根据公司</w:t>
            </w:r>
            <w:r>
              <w:rPr>
                <w:rFonts w:ascii="宋体" w:eastAsia="宋体" w:hAnsi="宋体" w:cs="宋体"/>
                <w:sz w:val="20"/>
              </w:rPr>
              <w:t xml:space="preserve"> 5 </w:t>
            </w:r>
            <w:r>
              <w:rPr>
                <w:rFonts w:ascii="宋体" w:eastAsia="宋体" w:hAnsi="宋体" w:cs="宋体"/>
                <w:sz w:val="20"/>
              </w:rPr>
              <w:t>年规划，欧洲市场将是公司实现未来市场拓展的重要部分，摩洛哥子公司建成后，公司的国际化布局雏形基本确立。国内工厂服务亚洲地区并为境外子公司提供支</w:t>
            </w:r>
            <w:r>
              <w:rPr>
                <w:rFonts w:ascii="宋体" w:eastAsia="宋体" w:hAnsi="宋体" w:cs="宋体"/>
                <w:sz w:val="20"/>
              </w:rPr>
              <w:t>持，墨西哥子公司服务南北美，摩洛哥子公司服务欧洲和非洲，公司的业务触角已能够覆盖世界大部分主要经济体。感谢您的提问！</w:t>
            </w:r>
            <w:r>
              <w:rPr>
                <w:rFonts w:ascii="宋体" w:eastAsia="宋体" w:hAnsi="宋体" w:cs="宋体"/>
                <w:sz w:val="20"/>
              </w:rPr>
              <w:br/>
            </w:r>
            <w:r>
              <w:rPr>
                <w:rFonts w:ascii="宋体" w:eastAsia="宋体" w:hAnsi="宋体" w:cs="宋体"/>
                <w:b/>
                <w:sz w:val="20"/>
              </w:rPr>
              <w:t xml:space="preserve">    9.</w:t>
            </w:r>
            <w:r>
              <w:rPr>
                <w:rFonts w:ascii="宋体" w:eastAsia="宋体" w:hAnsi="宋体" w:cs="宋体"/>
                <w:b/>
                <w:sz w:val="20"/>
              </w:rPr>
              <w:t>公司在提高主营业务利润方面有何措施？</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将进一步稳固现有市场，持续推进客户关系建设，加大国际市场和国内重点市场开发力度，积极拓展全新客户，抓住新的业务计划。同时，继续加强技术创新、完善内控体系、提升效率、降低成本，提升公司的盈利水平。感谢您的提问！</w:t>
            </w:r>
            <w:r>
              <w:rPr>
                <w:rFonts w:ascii="宋体" w:eastAsia="宋体" w:hAnsi="宋体" w:cs="宋体"/>
                <w:sz w:val="20"/>
              </w:rPr>
              <w:br/>
            </w:r>
            <w:r>
              <w:rPr>
                <w:rFonts w:ascii="宋体" w:eastAsia="宋体" w:hAnsi="宋体" w:cs="宋体"/>
                <w:b/>
                <w:sz w:val="20"/>
              </w:rPr>
              <w:t xml:space="preserve">    10.</w:t>
            </w:r>
            <w:r>
              <w:rPr>
                <w:rFonts w:ascii="宋体" w:eastAsia="宋体" w:hAnsi="宋体" w:cs="宋体"/>
                <w:b/>
                <w:sz w:val="20"/>
              </w:rPr>
              <w:t>小米</w:t>
            </w:r>
            <w:r>
              <w:rPr>
                <w:rFonts w:ascii="宋体" w:eastAsia="宋体" w:hAnsi="宋体" w:cs="宋体"/>
                <w:b/>
                <w:sz w:val="20"/>
              </w:rPr>
              <w:t>yu7</w:t>
            </w:r>
            <w:r>
              <w:rPr>
                <w:rFonts w:ascii="宋体" w:eastAsia="宋体" w:hAnsi="宋体" w:cs="宋体"/>
                <w:b/>
                <w:sz w:val="20"/>
              </w:rPr>
              <w:t>，公司有参与供应零部件吗？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您好！公司积极拓展客户，目前已进入多家知名厂商供</w:t>
            </w:r>
            <w:r>
              <w:rPr>
                <w:rFonts w:ascii="宋体" w:eastAsia="宋体" w:hAnsi="宋体" w:cs="宋体"/>
                <w:sz w:val="20"/>
              </w:rPr>
              <w:t>应链，产品应用及客户合作情况请以公司披露的定期报告或临时公告为准。感谢您的提问！</w:t>
            </w:r>
            <w:r>
              <w:rPr>
                <w:rFonts w:ascii="宋体" w:eastAsia="宋体" w:hAnsi="宋体" w:cs="宋体"/>
                <w:sz w:val="20"/>
              </w:rPr>
              <w:br/>
            </w:r>
            <w:r>
              <w:rPr>
                <w:rFonts w:ascii="宋体" w:eastAsia="宋体" w:hAnsi="宋体" w:cs="宋体"/>
                <w:b/>
                <w:sz w:val="20"/>
              </w:rPr>
              <w:t xml:space="preserve">    11.</w:t>
            </w:r>
            <w:r>
              <w:rPr>
                <w:rFonts w:ascii="宋体" w:eastAsia="宋体" w:hAnsi="宋体" w:cs="宋体"/>
                <w:b/>
                <w:sz w:val="20"/>
              </w:rPr>
              <w:t>此前车企把账期压缩到</w:t>
            </w:r>
            <w:r>
              <w:rPr>
                <w:rFonts w:ascii="宋体" w:eastAsia="宋体" w:hAnsi="宋体" w:cs="宋体"/>
                <w:b/>
                <w:sz w:val="20"/>
              </w:rPr>
              <w:t>60</w:t>
            </w:r>
            <w:r>
              <w:rPr>
                <w:rFonts w:ascii="宋体" w:eastAsia="宋体" w:hAnsi="宋体" w:cs="宋体"/>
                <w:b/>
                <w:sz w:val="20"/>
              </w:rPr>
              <w:t>日内，对公司的应收账款周转有</w:t>
            </w:r>
            <w:r>
              <w:rPr>
                <w:rFonts w:ascii="宋体" w:eastAsia="宋体" w:hAnsi="宋体" w:cs="宋体"/>
                <w:b/>
                <w:sz w:val="20"/>
              </w:rPr>
              <w:lastRenderedPageBreak/>
              <w:t>明显影响吗？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您好！公司主要客户是奇瑞汽车、上汽乘用车、比亚迪、长城汽车等国内外知名整车及汽车零部件企业。目前公司根据与客户协商的结果确定信用期，近期国内多家头部车企承诺支付账期不超过</w:t>
            </w:r>
            <w:r>
              <w:rPr>
                <w:rFonts w:ascii="宋体" w:eastAsia="宋体" w:hAnsi="宋体" w:cs="宋体"/>
                <w:sz w:val="20"/>
              </w:rPr>
              <w:t>60</w:t>
            </w:r>
            <w:r>
              <w:rPr>
                <w:rFonts w:ascii="宋体" w:eastAsia="宋体" w:hAnsi="宋体" w:cs="宋体"/>
                <w:sz w:val="20"/>
              </w:rPr>
              <w:t>天，从长期看将有利于优化汽车产业链生态和改善部分零部件企业现金流。感谢您的提问！</w:t>
            </w:r>
          </w:p>
        </w:tc>
      </w:tr>
      <w:tr w:rsidR="00DA728D" w14:paraId="0C42F28E" w14:textId="77777777">
        <w:trPr>
          <w:trHeight w:val="999"/>
          <w:jc w:val="center"/>
        </w:trPr>
        <w:tc>
          <w:tcPr>
            <w:tcW w:w="2580" w:type="dxa"/>
            <w:vAlign w:val="center"/>
          </w:tcPr>
          <w:p w14:paraId="52124C36" w14:textId="77777777" w:rsidR="00DA728D" w:rsidRDefault="007D24E4">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69E90D3A" w14:textId="77777777" w:rsidR="00DA728D" w:rsidRDefault="007D24E4">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18C2E9D2" w14:textId="77777777" w:rsidR="00DA728D" w:rsidRDefault="007D24E4">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DA728D" w14:paraId="64908F8E" w14:textId="77777777">
        <w:trPr>
          <w:trHeight w:val="558"/>
          <w:jc w:val="center"/>
        </w:trPr>
        <w:tc>
          <w:tcPr>
            <w:tcW w:w="2580" w:type="dxa"/>
            <w:vAlign w:val="center"/>
          </w:tcPr>
          <w:p w14:paraId="2571E365" w14:textId="77777777" w:rsidR="00DA728D" w:rsidRDefault="007D24E4">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654A70CA" w14:textId="77777777" w:rsidR="00DA728D" w:rsidRDefault="00DA728D">
            <w:pPr>
              <w:pStyle w:val="TableParagraph"/>
              <w:spacing w:before="100" w:beforeAutospacing="1" w:line="360" w:lineRule="auto"/>
              <w:rPr>
                <w:rFonts w:ascii="宋体" w:eastAsia="宋体" w:hAnsi="宋体" w:cs="宋体"/>
                <w:sz w:val="20"/>
                <w:szCs w:val="20"/>
              </w:rPr>
            </w:pPr>
          </w:p>
        </w:tc>
      </w:tr>
      <w:tr w:rsidR="00DA728D" w14:paraId="36BEF543" w14:textId="77777777">
        <w:trPr>
          <w:trHeight w:val="558"/>
          <w:jc w:val="center"/>
        </w:trPr>
        <w:tc>
          <w:tcPr>
            <w:tcW w:w="2580" w:type="dxa"/>
            <w:vAlign w:val="center"/>
          </w:tcPr>
          <w:p w14:paraId="4B07878E" w14:textId="77777777" w:rsidR="00DA728D" w:rsidRDefault="007D24E4">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783540EA" w14:textId="77777777" w:rsidR="00DA728D" w:rsidRDefault="007D24E4">
            <w:pPr>
              <w:pStyle w:val="TableParagraph"/>
              <w:spacing w:before="100" w:beforeAutospacing="1"/>
              <w:rPr>
                <w:rFonts w:ascii="宋体" w:eastAsia="宋体" w:hAnsi="宋体" w:cs="宋体"/>
                <w:sz w:val="20"/>
                <w:szCs w:val="20"/>
              </w:rPr>
            </w:pPr>
            <w:r>
              <w:rPr>
                <w:rFonts w:ascii="宋体" w:eastAsia="宋体" w:hAnsi="宋体" w:cs="宋体"/>
                <w:sz w:val="20"/>
                <w:szCs w:val="20"/>
              </w:rPr>
              <w:t>2025</w:t>
            </w:r>
            <w:r>
              <w:rPr>
                <w:rFonts w:ascii="宋体" w:eastAsia="宋体" w:hAnsi="宋体" w:cs="宋体"/>
                <w:sz w:val="20"/>
                <w:szCs w:val="20"/>
              </w:rPr>
              <w:t>年</w:t>
            </w:r>
            <w:r>
              <w:rPr>
                <w:rFonts w:ascii="宋体" w:eastAsia="宋体" w:hAnsi="宋体" w:cs="宋体"/>
                <w:sz w:val="20"/>
                <w:szCs w:val="20"/>
              </w:rPr>
              <w:t>06</w:t>
            </w:r>
            <w:r>
              <w:rPr>
                <w:rFonts w:ascii="宋体" w:eastAsia="宋体" w:hAnsi="宋体" w:cs="宋体"/>
                <w:sz w:val="20"/>
                <w:szCs w:val="20"/>
              </w:rPr>
              <w:t>月</w:t>
            </w:r>
            <w:r>
              <w:rPr>
                <w:rFonts w:ascii="宋体" w:eastAsia="宋体" w:hAnsi="宋体" w:cs="宋体"/>
                <w:sz w:val="20"/>
                <w:szCs w:val="20"/>
              </w:rPr>
              <w:t>17</w:t>
            </w:r>
            <w:r>
              <w:rPr>
                <w:rFonts w:ascii="宋体" w:eastAsia="宋体" w:hAnsi="宋体" w:cs="宋体"/>
                <w:sz w:val="20"/>
                <w:szCs w:val="20"/>
              </w:rPr>
              <w:t>日</w:t>
            </w:r>
          </w:p>
        </w:tc>
      </w:tr>
    </w:tbl>
    <w:p w14:paraId="773DA500" w14:textId="77777777" w:rsidR="00DA728D" w:rsidRDefault="00DA728D">
      <w:pPr>
        <w:rPr>
          <w:rFonts w:ascii="宋体" w:eastAsia="宋体" w:hAnsi="宋体" w:cs="宋体"/>
          <w:sz w:val="28"/>
          <w:szCs w:val="36"/>
        </w:rPr>
      </w:pPr>
    </w:p>
    <w:sectPr w:rsidR="00DA728D">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25899" w14:textId="77777777" w:rsidR="007D24E4" w:rsidRDefault="007D24E4" w:rsidP="00B77D15">
      <w:r>
        <w:separator/>
      </w:r>
    </w:p>
  </w:endnote>
  <w:endnote w:type="continuationSeparator" w:id="0">
    <w:p w14:paraId="6E1AA304" w14:textId="77777777" w:rsidR="007D24E4" w:rsidRDefault="007D24E4" w:rsidP="00B7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FC1E1" w14:textId="77777777" w:rsidR="007D24E4" w:rsidRDefault="007D24E4" w:rsidP="00B77D15">
      <w:r>
        <w:separator/>
      </w:r>
    </w:p>
  </w:footnote>
  <w:footnote w:type="continuationSeparator" w:id="0">
    <w:p w14:paraId="437B462E" w14:textId="77777777" w:rsidR="007D24E4" w:rsidRDefault="007D24E4" w:rsidP="00B77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24E4"/>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77D15"/>
    <w:rsid w:val="00B85B00"/>
    <w:rsid w:val="00BF132F"/>
    <w:rsid w:val="00C13878"/>
    <w:rsid w:val="00CA1705"/>
    <w:rsid w:val="00CE1A54"/>
    <w:rsid w:val="00CF5FB6"/>
    <w:rsid w:val="00D02518"/>
    <w:rsid w:val="00D17454"/>
    <w:rsid w:val="00D33FBC"/>
    <w:rsid w:val="00D7535C"/>
    <w:rsid w:val="00D76302"/>
    <w:rsid w:val="00DA5CE2"/>
    <w:rsid w:val="00DA728D"/>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65F4AFD"/>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AA6B21-0A64-4362-87D5-E0E69EAE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545B-A51F-4E32-9343-82E94592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喻会</cp:lastModifiedBy>
  <cp:revision>8</cp:revision>
  <dcterms:created xsi:type="dcterms:W3CDTF">2022-04-12T06:10:00Z</dcterms:created>
  <dcterms:modified xsi:type="dcterms:W3CDTF">2025-06-17T08:41:00Z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57D148DF2F764966BF4E1C38A6255FA2</vt:lpwstr>
  </property>
  <property fmtid="{D5CDD505-2E9C-101B-9397-08002B2CF9AE}" pid="4" name="KSOTemplateDocerSaveRecord">
    <vt:lpwstr>eyJoZGlkIjoiODRlYzcyYjBhYjdiNDQ2NjdiODY5YmM2NjQ0YWRiYTUiLCJ1c2VySWQiOiIzNzg0MjgzNjQifQ==</vt:lpwstr>
  </property>
</Properties>
</file>