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952E4">
      <w:pPr>
        <w:spacing w:before="156" w:beforeLines="50" w:after="156" w:afterLines="50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600717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天津港</w:t>
      </w:r>
    </w:p>
    <w:p w14:paraId="6F90E495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天津港股份有限公司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09D6358"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28B4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2EF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1ADC4DF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10AD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 w:ascii="MS Mincho" w:hAnsi="MS Mincho" w:cs="MS Mincho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37A8AF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6D5D292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4876B2F8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7C506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 w14:paraId="39F9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25F8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4DB83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17</w:t>
            </w:r>
            <w:r>
              <w:rPr>
                <w:rFonts w:asciiTheme="minorEastAsia" w:hAnsiTheme="minorEastAsia" w:eastAsiaTheme="minorEastAsia"/>
                <w:sz w:val="24"/>
              </w:rPr>
              <w:t>日 (周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二</w:t>
            </w:r>
            <w:r>
              <w:rPr>
                <w:rFonts w:asciiTheme="minorEastAsia" w:hAnsiTheme="minorEastAsia" w:eastAsiaTheme="minorEastAsia"/>
                <w:sz w:val="24"/>
              </w:rPr>
              <w:t>) 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5</w:t>
            </w:r>
            <w:r>
              <w:rPr>
                <w:rFonts w:asciiTheme="minorEastAsia" w:hAnsiTheme="minorEastAsia" w:eastAsiaTheme="minorEastAsia"/>
                <w:sz w:val="24"/>
              </w:rPr>
              <w:t>:00</w:t>
            </w:r>
            <w:r>
              <w:rPr>
                <w:rFonts w:hint="eastAsia" w:asciiTheme="minorEastAsia" w:hAnsiTheme="minorEastAsia" w:eastAsiaTheme="minorEastAsia"/>
                <w:sz w:val="24"/>
              </w:rPr>
              <w:t>-</w:t>
            </w: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6</w:t>
            </w:r>
            <w:r>
              <w:rPr>
                <w:rFonts w:asciiTheme="minorEastAsia" w:hAnsiTheme="minorEastAsia" w:eastAsiaTheme="minorEastAsia"/>
                <w:sz w:val="24"/>
              </w:rPr>
              <w:t>:30</w:t>
            </w:r>
          </w:p>
          <w:p w14:paraId="775C2530">
            <w:pPr>
              <w:spacing w:line="460" w:lineRule="exact"/>
              <w:rPr>
                <w:rFonts w:hint="default" w:eastAsia="宋体"/>
                <w:bCs/>
                <w:iCs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信达证券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黄安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泰康资产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王子昂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中意资产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李丝萌 诺安基金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吕铀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人保养老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王艺憬 建信养老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尚廷鲲 弘康人寿 乔林建 上证固收 陈茜 海通资管 李玥璘</w:t>
            </w:r>
          </w:p>
        </w:tc>
      </w:tr>
      <w:tr w14:paraId="77B9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E2AE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719F7">
            <w:pPr>
              <w:spacing w:before="156" w:beforeLines="50" w:after="156" w:afterLines="50" w:line="420" w:lineRule="exact"/>
              <w:rPr>
                <w:rFonts w:hint="eastAsia" w:eastAsia="宋体"/>
                <w:bCs/>
                <w:iCs/>
                <w:color w:val="000000"/>
                <w:sz w:val="24"/>
                <w:lang w:eastAsia="zh-CN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eastAsia="zh-CN"/>
              </w:rPr>
              <w:t>公司调研</w:t>
            </w:r>
          </w:p>
        </w:tc>
      </w:tr>
      <w:tr w14:paraId="06F15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7004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177E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1、董事会秘书：郭小薇</w:t>
            </w:r>
          </w:p>
          <w:p w14:paraId="18E5B120">
            <w:pPr>
              <w:spacing w:line="46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2、资本运作管理经理：张伟</w:t>
            </w:r>
          </w:p>
        </w:tc>
      </w:tr>
      <w:tr w14:paraId="61F1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C635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803228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28077">
            <w:pPr>
              <w:spacing w:before="156" w:beforeLines="50" w:line="4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机构</w:t>
            </w: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5051F5E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1</w:t>
            </w:r>
            <w:r>
              <w:rPr>
                <w:rFonts w:hint="eastAsia" w:asciiTheme="minorEastAsia" w:hAnsiTheme="minorEastAsia" w:eastAsiaTheme="minorEastAsia"/>
                <w:sz w:val="24"/>
              </w:rPr>
              <w:t>.202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公司整体经营情况</w:t>
            </w:r>
          </w:p>
          <w:p w14:paraId="3AAA4AA5">
            <w:pPr>
              <w:spacing w:line="460" w:lineRule="exact"/>
              <w:ind w:firstLine="480" w:firstLineChars="200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2024年公司完成货物吐量4.53亿吨，同比增长1.80%。其中：集装箱吞吐量2047万TEU，同比增长2.25%。公司实现营业收入120.70亿元，同比增长3.13%；利润总额19.10亿元，同比增长8.49%；实现归属于上市公司股东的净利润9.94亿元，同比增长1.22%。2024年归属于上市公司股东的净资产达193.89亿元，同比增长4.06%，总资产规模也扩大至360.19亿元，较上年增长2.68%。毛利率从2020年的20.83%攀升至2024年的28.60%，净资产收益率（ROE）达到5.23%。</w:t>
            </w:r>
          </w:p>
          <w:p w14:paraId="313B0DDA">
            <w:pPr>
              <w:numPr>
                <w:ilvl w:val="0"/>
                <w:numId w:val="1"/>
              </w:numPr>
              <w:spacing w:line="460" w:lineRule="exact"/>
              <w:ind w:left="0" w:leftChars="0" w:firstLine="480" w:firstLineChars="0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公司的</w:t>
            </w:r>
            <w:r>
              <w:rPr>
                <w:rFonts w:asciiTheme="minorEastAsia" w:hAnsiTheme="minorEastAsia" w:eastAsiaTheme="minorEastAsia"/>
                <w:sz w:val="24"/>
              </w:rPr>
              <w:t>主要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货类</w:t>
            </w:r>
            <w:r>
              <w:rPr>
                <w:rFonts w:asciiTheme="minorEastAsia" w:hAnsiTheme="minorEastAsia" w:eastAsiaTheme="minorEastAsia"/>
                <w:sz w:val="24"/>
              </w:rPr>
              <w:t>及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吞吐量中的货种结构对比过去变化情况</w:t>
            </w:r>
          </w:p>
          <w:p w14:paraId="5FEC6CF1">
            <w:pPr>
              <w:pStyle w:val="8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公司货类分为集装箱、干散货、液体散货、滚装汽车、件杂货等。集装箱运输货类范围较广，进口货物主要包括冷冻牛肉、水果、粮食、橡胶、矿石等，出口货物则有日用品、化工品、食品药品、塑料制品、机械设备及汽车零配件等；散杂货类中，干散货涵盖金属矿石、煤、焦炭、非金属矿石、粮食、化肥、饲料、铝矾土等，液体散货包含原油、成品油、食用油等，件杂货主要为钢材、大型机器设备等。</w:t>
            </w:r>
          </w:p>
          <w:p w14:paraId="4A5D1495">
            <w:pPr>
              <w:numPr>
                <w:ilvl w:val="0"/>
                <w:numId w:val="1"/>
              </w:numPr>
              <w:spacing w:line="460" w:lineRule="exact"/>
              <w:ind w:left="0" w:leftChars="0" w:firstLine="480" w:firstLineChars="0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公司与美国直接相关的吞吐量占比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情况，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4月关税波动窗口期内，公司吞吐量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变化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情况</w:t>
            </w:r>
          </w:p>
          <w:p w14:paraId="7E307A5A">
            <w:pPr>
              <w:pStyle w:val="8"/>
              <w:rPr>
                <w:rFonts w:hint="eastAsia"/>
              </w:rPr>
            </w:pPr>
            <w:r>
              <w:rPr>
                <w:rFonts w:hint="eastAsia"/>
              </w:rPr>
              <w:t>天津港与美国港口</w:t>
            </w:r>
            <w:r>
              <w:rPr>
                <w:rFonts w:hint="eastAsia"/>
                <w:lang w:val="en-US" w:eastAsia="zh-CN"/>
              </w:rPr>
              <w:t>直接</w:t>
            </w:r>
            <w:r>
              <w:rPr>
                <w:rFonts w:hint="eastAsia"/>
              </w:rPr>
              <w:t>往来货物</w:t>
            </w:r>
            <w:r>
              <w:rPr>
                <w:rFonts w:hint="eastAsia"/>
                <w:lang w:val="en-US" w:eastAsia="zh-CN"/>
              </w:rPr>
              <w:t>仅涉及钢材、集装箱的少数货类，整体</w:t>
            </w:r>
            <w:bookmarkStart w:id="0" w:name="_GoBack"/>
            <w:bookmarkEnd w:id="0"/>
            <w:r>
              <w:rPr>
                <w:rFonts w:hint="eastAsia"/>
              </w:rPr>
              <w:t>占比</w:t>
            </w:r>
            <w:r>
              <w:rPr>
                <w:rFonts w:hint="eastAsia"/>
                <w:lang w:val="en-US" w:eastAsia="zh-CN"/>
              </w:rPr>
              <w:t>较低</w:t>
            </w:r>
            <w:r>
              <w:rPr>
                <w:rFonts w:hint="eastAsia"/>
              </w:rPr>
              <w:t>。提高关税的影响将通过"制造业-航运业-港口业"链条逐步传导显现，公司将持续关注后续发展，并积极提升服务效率、拓展重点航线、深挖货源潜力、强化营销推介、深化口岸协同等应对措施。</w:t>
            </w:r>
          </w:p>
          <w:p w14:paraId="24987C81">
            <w:pPr>
              <w:pStyle w:val="8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.公司装卸业务主要覆盖地区</w:t>
            </w:r>
          </w:p>
          <w:p w14:paraId="3FDC5432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/>
              </w:rPr>
            </w:pPr>
            <w:r>
              <w:rPr>
                <w:rFonts w:hint="eastAsia"/>
              </w:rPr>
              <w:t>天津港的装卸业务货量来源广泛，覆盖了多个地区和产业链的需求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同世界上180多个国家和地区的500多个港口保持贸易往来；辐射京津冀及中西部地区14个省、市、自治区，腹地面积近500万平方公里，占全国总面积的52％；70%左右的货物吞吐量和50%以上的口岸进出口货值来自天津以外的各省、市、自治区。</w:t>
            </w:r>
          </w:p>
          <w:p w14:paraId="101A38B0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5.20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25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Q1的利润总额对比往年没有很大的差异，但所得税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同比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增加很多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原因</w:t>
            </w:r>
          </w:p>
          <w:p w14:paraId="36197657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年度归属于母公司的净利润累计2.75亿元，较同期减少0.30亿元，下降9.94%，主要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原因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为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部分下属公司因税收政策调整，导致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所得税费用较上期增加。</w:t>
            </w:r>
          </w:p>
          <w:p w14:paraId="1D1FE1B1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公司4月发布《2025年度“提质增效重回报”行动方案的公告》，提到提升股东回报水平，公司后续分红计划</w:t>
            </w:r>
          </w:p>
          <w:p w14:paraId="2CDA9C4A">
            <w:pPr>
              <w:pStyle w:val="8"/>
              <w:numPr>
                <w:ilvl w:val="0"/>
                <w:numId w:val="0"/>
              </w:numPr>
              <w:ind w:firstLine="480" w:firstLineChars="200"/>
              <w:rPr>
                <w:rFonts w:hint="eastAsia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公司积极响应现金分红政策导向，严格按照监管要求构建利润分配机制。通过在《公司章程》等制度中明确现金分红优先原则，建立了科学透明的决策体系，保障利润分配政策的连续性与稳定性，又统筹兼顾公司可持续发展需求与全体股东长远利益。公司自1996年上市以来始终坚持回馈投资者，已累计完成现金分红26次，分红金额达到51.42亿元。其中，2024年拟向全体股东每10股派发现金红利1.04元人民币（含税），现金分红金额合计3.01亿元。未来，公司将持续研究加大分红力度的可行性，合理制定利润分配方案，高效合规履行审议和实施程序。</w:t>
            </w:r>
          </w:p>
          <w:p w14:paraId="6363CF58">
            <w:pPr>
              <w:pStyle w:val="8"/>
              <w:numPr>
                <w:ilvl w:val="0"/>
                <w:numId w:val="0"/>
              </w:numPr>
              <w:ind w:firstLine="480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7.公司未来投资计划</w:t>
            </w:r>
          </w:p>
          <w:p w14:paraId="1BE8A065">
            <w:pPr>
              <w:pStyle w:val="8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2024年公司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实际</w:t>
            </w:r>
            <w:r>
              <w:rPr>
                <w:rFonts w:hint="eastAsia" w:asciiTheme="minorEastAsia" w:hAnsiTheme="minorEastAsia" w:eastAsiaTheme="minorEastAsia"/>
              </w:rPr>
              <w:t>完成投资额11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/>
              </w:rPr>
              <w:t>08</w:t>
            </w:r>
            <w:r>
              <w:rPr>
                <w:rFonts w:hint="eastAsia" w:asciiTheme="minorEastAsia" w:hAnsiTheme="minorEastAsia" w:eastAsiaTheme="minorEastAsia"/>
                <w:lang w:val="en-US" w:eastAsia="zh-CN"/>
              </w:rPr>
              <w:t>亿元</w:t>
            </w:r>
            <w:r>
              <w:rPr>
                <w:rFonts w:hint="eastAsia" w:asciiTheme="minorEastAsia" w:hAnsiTheme="minorEastAsia" w:eastAsiaTheme="minorEastAsia"/>
              </w:rPr>
              <w:t>。2025年预计完成固定资产投资23.74亿元。主要包括基本建设项目18.22亿元，设备投资3.66亿元，数字化建设项目1.86亿元。基本建设项目主要为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所属公司</w:t>
            </w:r>
            <w:r>
              <w:rPr>
                <w:rFonts w:hint="eastAsia" w:asciiTheme="minorEastAsia" w:hAnsiTheme="minorEastAsia" w:eastAsiaTheme="minorEastAsia"/>
              </w:rPr>
              <w:t>堆场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扩建</w:t>
            </w:r>
            <w:r>
              <w:rPr>
                <w:rFonts w:hint="eastAsia" w:asciiTheme="minorEastAsia" w:hAnsiTheme="minorEastAsia" w:eastAsiaTheme="minorEastAsia"/>
              </w:rPr>
              <w:t>、码头改造等项目。</w:t>
            </w:r>
          </w:p>
          <w:p w14:paraId="3A81109A">
            <w:pPr>
              <w:pStyle w:val="8"/>
              <w:rPr>
                <w:rFonts w:hint="eastAsia" w:asciiTheme="minorEastAsia" w:hAnsiTheme="minorEastAsia" w:eastAsiaTheme="minorEastAsia"/>
                <w:lang w:val="en-US" w:eastAsia="zh-CN"/>
              </w:rPr>
            </w:pPr>
          </w:p>
        </w:tc>
      </w:tr>
    </w:tbl>
    <w:p w14:paraId="50580E8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1460C">
    <w:pPr>
      <w:pStyle w:val="4"/>
      <w:pBdr>
        <w:bottom w:val="none" w:color="auto" w:sz="0" w:space="0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146394"/>
    <w:multiLevelType w:val="singleLevel"/>
    <w:tmpl w:val="D1146394"/>
    <w:lvl w:ilvl="0" w:tentative="0">
      <w:start w:val="2"/>
      <w:numFmt w:val="decimal"/>
      <w:suff w:val="nothing"/>
      <w:lvlText w:val="%1."/>
      <w:lvlJc w:val="left"/>
      <w:pPr>
        <w:ind w:left="0" w:firstLine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NzQzMzBiM2IyN2YxMjM0NjFkY2UzMzNiZDMzMjEifQ=="/>
  </w:docVars>
  <w:rsids>
    <w:rsidRoot w:val="006861C7"/>
    <w:rsid w:val="0000695E"/>
    <w:rsid w:val="000268C0"/>
    <w:rsid w:val="00026A12"/>
    <w:rsid w:val="000363B5"/>
    <w:rsid w:val="00036D9D"/>
    <w:rsid w:val="000375D7"/>
    <w:rsid w:val="00043015"/>
    <w:rsid w:val="00044B01"/>
    <w:rsid w:val="00046DDE"/>
    <w:rsid w:val="000479D0"/>
    <w:rsid w:val="00047EB9"/>
    <w:rsid w:val="00053546"/>
    <w:rsid w:val="00060A74"/>
    <w:rsid w:val="00067110"/>
    <w:rsid w:val="00090C36"/>
    <w:rsid w:val="0009298A"/>
    <w:rsid w:val="000A2808"/>
    <w:rsid w:val="000A3707"/>
    <w:rsid w:val="000A3BAC"/>
    <w:rsid w:val="000C26FD"/>
    <w:rsid w:val="000C2D85"/>
    <w:rsid w:val="000C6E35"/>
    <w:rsid w:val="000D09A0"/>
    <w:rsid w:val="000E4C6C"/>
    <w:rsid w:val="000E5700"/>
    <w:rsid w:val="000F0C4B"/>
    <w:rsid w:val="000F0E22"/>
    <w:rsid w:val="000F179D"/>
    <w:rsid w:val="00105A04"/>
    <w:rsid w:val="00111E72"/>
    <w:rsid w:val="001169A9"/>
    <w:rsid w:val="00125EB2"/>
    <w:rsid w:val="00126315"/>
    <w:rsid w:val="0012749D"/>
    <w:rsid w:val="0013054E"/>
    <w:rsid w:val="00132DAF"/>
    <w:rsid w:val="00142A4C"/>
    <w:rsid w:val="00144279"/>
    <w:rsid w:val="001452FF"/>
    <w:rsid w:val="001526E8"/>
    <w:rsid w:val="0015477A"/>
    <w:rsid w:val="00154EA0"/>
    <w:rsid w:val="00161916"/>
    <w:rsid w:val="0016530E"/>
    <w:rsid w:val="0016617A"/>
    <w:rsid w:val="00167E99"/>
    <w:rsid w:val="00176B4E"/>
    <w:rsid w:val="0019658A"/>
    <w:rsid w:val="001975AB"/>
    <w:rsid w:val="001A00F5"/>
    <w:rsid w:val="001A1F65"/>
    <w:rsid w:val="001A5CE9"/>
    <w:rsid w:val="001C33DC"/>
    <w:rsid w:val="001C50AD"/>
    <w:rsid w:val="001D198C"/>
    <w:rsid w:val="001D22EE"/>
    <w:rsid w:val="001D4C89"/>
    <w:rsid w:val="001E1838"/>
    <w:rsid w:val="001E3145"/>
    <w:rsid w:val="001E6509"/>
    <w:rsid w:val="001E71FF"/>
    <w:rsid w:val="001E7968"/>
    <w:rsid w:val="001F60CA"/>
    <w:rsid w:val="00220790"/>
    <w:rsid w:val="0022180A"/>
    <w:rsid w:val="00223ABC"/>
    <w:rsid w:val="002241B9"/>
    <w:rsid w:val="002264E0"/>
    <w:rsid w:val="002274D9"/>
    <w:rsid w:val="0023455A"/>
    <w:rsid w:val="00237994"/>
    <w:rsid w:val="0024470D"/>
    <w:rsid w:val="0024713E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3F50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2497"/>
    <w:rsid w:val="003030BF"/>
    <w:rsid w:val="00304F89"/>
    <w:rsid w:val="00306023"/>
    <w:rsid w:val="00311823"/>
    <w:rsid w:val="003226FD"/>
    <w:rsid w:val="00327D5D"/>
    <w:rsid w:val="00340039"/>
    <w:rsid w:val="0034372F"/>
    <w:rsid w:val="00344914"/>
    <w:rsid w:val="00345B51"/>
    <w:rsid w:val="00346917"/>
    <w:rsid w:val="0035084D"/>
    <w:rsid w:val="00354A7B"/>
    <w:rsid w:val="00360FDA"/>
    <w:rsid w:val="00363075"/>
    <w:rsid w:val="0036329C"/>
    <w:rsid w:val="00365BD1"/>
    <w:rsid w:val="00367D18"/>
    <w:rsid w:val="00372A1C"/>
    <w:rsid w:val="0037435A"/>
    <w:rsid w:val="00376CE5"/>
    <w:rsid w:val="00377D8F"/>
    <w:rsid w:val="00383679"/>
    <w:rsid w:val="003A1E68"/>
    <w:rsid w:val="003B0122"/>
    <w:rsid w:val="003B0BE5"/>
    <w:rsid w:val="003B4F6E"/>
    <w:rsid w:val="003C2D53"/>
    <w:rsid w:val="003C6E6E"/>
    <w:rsid w:val="003D18F1"/>
    <w:rsid w:val="003D205A"/>
    <w:rsid w:val="003E001E"/>
    <w:rsid w:val="003E1C22"/>
    <w:rsid w:val="003F0DEA"/>
    <w:rsid w:val="003F297A"/>
    <w:rsid w:val="003F7C4D"/>
    <w:rsid w:val="0040075F"/>
    <w:rsid w:val="00403300"/>
    <w:rsid w:val="0041012E"/>
    <w:rsid w:val="004118C0"/>
    <w:rsid w:val="00417A31"/>
    <w:rsid w:val="0042004B"/>
    <w:rsid w:val="00433384"/>
    <w:rsid w:val="0043777D"/>
    <w:rsid w:val="00441F3B"/>
    <w:rsid w:val="00441FD0"/>
    <w:rsid w:val="00444828"/>
    <w:rsid w:val="00455AC4"/>
    <w:rsid w:val="0045767F"/>
    <w:rsid w:val="00463E9B"/>
    <w:rsid w:val="00464924"/>
    <w:rsid w:val="00467414"/>
    <w:rsid w:val="00473F30"/>
    <w:rsid w:val="0048591A"/>
    <w:rsid w:val="00486D86"/>
    <w:rsid w:val="004871BB"/>
    <w:rsid w:val="0048721A"/>
    <w:rsid w:val="0049352F"/>
    <w:rsid w:val="004A0BD5"/>
    <w:rsid w:val="004A1BBF"/>
    <w:rsid w:val="004A73E5"/>
    <w:rsid w:val="004A7EAE"/>
    <w:rsid w:val="004C19BF"/>
    <w:rsid w:val="004D1001"/>
    <w:rsid w:val="004D7640"/>
    <w:rsid w:val="004E1A9B"/>
    <w:rsid w:val="004E1BB3"/>
    <w:rsid w:val="004E7CCE"/>
    <w:rsid w:val="004F0E07"/>
    <w:rsid w:val="004F1E7A"/>
    <w:rsid w:val="00500AB6"/>
    <w:rsid w:val="005155FB"/>
    <w:rsid w:val="0052077F"/>
    <w:rsid w:val="00522763"/>
    <w:rsid w:val="005228A2"/>
    <w:rsid w:val="00523907"/>
    <w:rsid w:val="00535D86"/>
    <w:rsid w:val="00537C53"/>
    <w:rsid w:val="00540787"/>
    <w:rsid w:val="005438F5"/>
    <w:rsid w:val="00544901"/>
    <w:rsid w:val="00544AF0"/>
    <w:rsid w:val="005474D3"/>
    <w:rsid w:val="00550737"/>
    <w:rsid w:val="00555DD2"/>
    <w:rsid w:val="00556D03"/>
    <w:rsid w:val="00565ED9"/>
    <w:rsid w:val="005760C6"/>
    <w:rsid w:val="00585A1B"/>
    <w:rsid w:val="00587AC2"/>
    <w:rsid w:val="00591260"/>
    <w:rsid w:val="00591314"/>
    <w:rsid w:val="00593727"/>
    <w:rsid w:val="00593D40"/>
    <w:rsid w:val="00595187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5F344E"/>
    <w:rsid w:val="005F6CCF"/>
    <w:rsid w:val="006039E2"/>
    <w:rsid w:val="00607734"/>
    <w:rsid w:val="0060779A"/>
    <w:rsid w:val="00610534"/>
    <w:rsid w:val="00622F13"/>
    <w:rsid w:val="00623396"/>
    <w:rsid w:val="00625503"/>
    <w:rsid w:val="0062662D"/>
    <w:rsid w:val="00632E78"/>
    <w:rsid w:val="006344F1"/>
    <w:rsid w:val="00637186"/>
    <w:rsid w:val="0064616F"/>
    <w:rsid w:val="00646DF4"/>
    <w:rsid w:val="00651DE6"/>
    <w:rsid w:val="006523BB"/>
    <w:rsid w:val="0065347E"/>
    <w:rsid w:val="00654B49"/>
    <w:rsid w:val="00662505"/>
    <w:rsid w:val="0066433C"/>
    <w:rsid w:val="0066674C"/>
    <w:rsid w:val="00674B14"/>
    <w:rsid w:val="006760F7"/>
    <w:rsid w:val="006861C7"/>
    <w:rsid w:val="00686DDF"/>
    <w:rsid w:val="00697B12"/>
    <w:rsid w:val="006A55BB"/>
    <w:rsid w:val="006A7613"/>
    <w:rsid w:val="006B0CC1"/>
    <w:rsid w:val="006B278E"/>
    <w:rsid w:val="006B661A"/>
    <w:rsid w:val="006B7CE7"/>
    <w:rsid w:val="006B7D00"/>
    <w:rsid w:val="006C6BC5"/>
    <w:rsid w:val="006D0C68"/>
    <w:rsid w:val="006D61A2"/>
    <w:rsid w:val="006E128B"/>
    <w:rsid w:val="006E1DB4"/>
    <w:rsid w:val="00712CE1"/>
    <w:rsid w:val="007167C5"/>
    <w:rsid w:val="0075113D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7F19CC"/>
    <w:rsid w:val="0080525B"/>
    <w:rsid w:val="00805F53"/>
    <w:rsid w:val="008062C5"/>
    <w:rsid w:val="00806B50"/>
    <w:rsid w:val="0080741A"/>
    <w:rsid w:val="00812E79"/>
    <w:rsid w:val="00814B5B"/>
    <w:rsid w:val="008175E6"/>
    <w:rsid w:val="00821D8F"/>
    <w:rsid w:val="00836F34"/>
    <w:rsid w:val="00843E73"/>
    <w:rsid w:val="00844EBF"/>
    <w:rsid w:val="00852842"/>
    <w:rsid w:val="00853C20"/>
    <w:rsid w:val="00854F61"/>
    <w:rsid w:val="00864202"/>
    <w:rsid w:val="00870637"/>
    <w:rsid w:val="00873B59"/>
    <w:rsid w:val="00876DC1"/>
    <w:rsid w:val="0087701F"/>
    <w:rsid w:val="0089283D"/>
    <w:rsid w:val="008949D9"/>
    <w:rsid w:val="0089627C"/>
    <w:rsid w:val="008A0ADC"/>
    <w:rsid w:val="008A1BAB"/>
    <w:rsid w:val="008A255F"/>
    <w:rsid w:val="008A30E1"/>
    <w:rsid w:val="008B38B7"/>
    <w:rsid w:val="008B458E"/>
    <w:rsid w:val="008C4D4A"/>
    <w:rsid w:val="008E0A0F"/>
    <w:rsid w:val="008E11AE"/>
    <w:rsid w:val="008E1708"/>
    <w:rsid w:val="008E4844"/>
    <w:rsid w:val="008F427C"/>
    <w:rsid w:val="00904492"/>
    <w:rsid w:val="00904DFB"/>
    <w:rsid w:val="00910774"/>
    <w:rsid w:val="00912D2B"/>
    <w:rsid w:val="0091457B"/>
    <w:rsid w:val="00923763"/>
    <w:rsid w:val="00924A4B"/>
    <w:rsid w:val="00930ED6"/>
    <w:rsid w:val="0093293F"/>
    <w:rsid w:val="00933105"/>
    <w:rsid w:val="00936C19"/>
    <w:rsid w:val="009410F5"/>
    <w:rsid w:val="00946BB5"/>
    <w:rsid w:val="009474EF"/>
    <w:rsid w:val="00951C24"/>
    <w:rsid w:val="00962626"/>
    <w:rsid w:val="00975A2C"/>
    <w:rsid w:val="009767DD"/>
    <w:rsid w:val="00977AF2"/>
    <w:rsid w:val="00981759"/>
    <w:rsid w:val="00985FC5"/>
    <w:rsid w:val="00993BDD"/>
    <w:rsid w:val="00993D05"/>
    <w:rsid w:val="009A6DFB"/>
    <w:rsid w:val="009B3036"/>
    <w:rsid w:val="009B6EC0"/>
    <w:rsid w:val="009C7FAF"/>
    <w:rsid w:val="009D4199"/>
    <w:rsid w:val="009E5E6A"/>
    <w:rsid w:val="009F01A2"/>
    <w:rsid w:val="009F0DD5"/>
    <w:rsid w:val="009F1B95"/>
    <w:rsid w:val="009F6C05"/>
    <w:rsid w:val="00A13CB6"/>
    <w:rsid w:val="00A14A1A"/>
    <w:rsid w:val="00A22CDD"/>
    <w:rsid w:val="00A253AB"/>
    <w:rsid w:val="00A25AEE"/>
    <w:rsid w:val="00A31EB1"/>
    <w:rsid w:val="00A33AEA"/>
    <w:rsid w:val="00A353F9"/>
    <w:rsid w:val="00A408EF"/>
    <w:rsid w:val="00A461CD"/>
    <w:rsid w:val="00A469C5"/>
    <w:rsid w:val="00A5317D"/>
    <w:rsid w:val="00A6284E"/>
    <w:rsid w:val="00A63E81"/>
    <w:rsid w:val="00A6692E"/>
    <w:rsid w:val="00A8094C"/>
    <w:rsid w:val="00A8172A"/>
    <w:rsid w:val="00A856AB"/>
    <w:rsid w:val="00A8775A"/>
    <w:rsid w:val="00A9184E"/>
    <w:rsid w:val="00A92D96"/>
    <w:rsid w:val="00AA5998"/>
    <w:rsid w:val="00AB07E7"/>
    <w:rsid w:val="00AD1BA8"/>
    <w:rsid w:val="00AD61A3"/>
    <w:rsid w:val="00AE4078"/>
    <w:rsid w:val="00AF7C89"/>
    <w:rsid w:val="00B02A29"/>
    <w:rsid w:val="00B03522"/>
    <w:rsid w:val="00B04AD6"/>
    <w:rsid w:val="00B14CAA"/>
    <w:rsid w:val="00B228F1"/>
    <w:rsid w:val="00B257CE"/>
    <w:rsid w:val="00B350AD"/>
    <w:rsid w:val="00B350CC"/>
    <w:rsid w:val="00B4746C"/>
    <w:rsid w:val="00B54527"/>
    <w:rsid w:val="00B6265E"/>
    <w:rsid w:val="00B65354"/>
    <w:rsid w:val="00B71A0E"/>
    <w:rsid w:val="00B76D61"/>
    <w:rsid w:val="00B81765"/>
    <w:rsid w:val="00B832F5"/>
    <w:rsid w:val="00B91A0A"/>
    <w:rsid w:val="00BA1895"/>
    <w:rsid w:val="00BA2FAB"/>
    <w:rsid w:val="00BB5E28"/>
    <w:rsid w:val="00BD15F3"/>
    <w:rsid w:val="00BD53EF"/>
    <w:rsid w:val="00BD7986"/>
    <w:rsid w:val="00BD79D3"/>
    <w:rsid w:val="00BF5884"/>
    <w:rsid w:val="00C04F82"/>
    <w:rsid w:val="00C15AC0"/>
    <w:rsid w:val="00C17277"/>
    <w:rsid w:val="00C23847"/>
    <w:rsid w:val="00C26030"/>
    <w:rsid w:val="00C40681"/>
    <w:rsid w:val="00C41091"/>
    <w:rsid w:val="00C4401B"/>
    <w:rsid w:val="00C51D58"/>
    <w:rsid w:val="00C63056"/>
    <w:rsid w:val="00C661D1"/>
    <w:rsid w:val="00C71D51"/>
    <w:rsid w:val="00C7553C"/>
    <w:rsid w:val="00C775BA"/>
    <w:rsid w:val="00C85331"/>
    <w:rsid w:val="00C85500"/>
    <w:rsid w:val="00C85A50"/>
    <w:rsid w:val="00C92DFE"/>
    <w:rsid w:val="00C94D46"/>
    <w:rsid w:val="00CA1A9A"/>
    <w:rsid w:val="00CA443A"/>
    <w:rsid w:val="00CB2461"/>
    <w:rsid w:val="00CB37FD"/>
    <w:rsid w:val="00CC4D65"/>
    <w:rsid w:val="00CC61E7"/>
    <w:rsid w:val="00CD25AD"/>
    <w:rsid w:val="00CD3FFC"/>
    <w:rsid w:val="00CE61BF"/>
    <w:rsid w:val="00CF011B"/>
    <w:rsid w:val="00CF0129"/>
    <w:rsid w:val="00CF565C"/>
    <w:rsid w:val="00D016A3"/>
    <w:rsid w:val="00D0314C"/>
    <w:rsid w:val="00D14E74"/>
    <w:rsid w:val="00D251AA"/>
    <w:rsid w:val="00D512E3"/>
    <w:rsid w:val="00D525F9"/>
    <w:rsid w:val="00D573C1"/>
    <w:rsid w:val="00D602C9"/>
    <w:rsid w:val="00D807DA"/>
    <w:rsid w:val="00DA26A9"/>
    <w:rsid w:val="00DA433D"/>
    <w:rsid w:val="00DB01FF"/>
    <w:rsid w:val="00DB5AA6"/>
    <w:rsid w:val="00DC261A"/>
    <w:rsid w:val="00DC7778"/>
    <w:rsid w:val="00DD366B"/>
    <w:rsid w:val="00DE7391"/>
    <w:rsid w:val="00DF2DB5"/>
    <w:rsid w:val="00DF6560"/>
    <w:rsid w:val="00E04CC0"/>
    <w:rsid w:val="00E136FF"/>
    <w:rsid w:val="00E32528"/>
    <w:rsid w:val="00E35F26"/>
    <w:rsid w:val="00E53165"/>
    <w:rsid w:val="00E557B1"/>
    <w:rsid w:val="00E61EF7"/>
    <w:rsid w:val="00E663B4"/>
    <w:rsid w:val="00E71759"/>
    <w:rsid w:val="00E73C19"/>
    <w:rsid w:val="00E80CEB"/>
    <w:rsid w:val="00E816ED"/>
    <w:rsid w:val="00EA5103"/>
    <w:rsid w:val="00EA6FB9"/>
    <w:rsid w:val="00EB2E28"/>
    <w:rsid w:val="00EB5E6A"/>
    <w:rsid w:val="00EC2AD7"/>
    <w:rsid w:val="00ED7DE0"/>
    <w:rsid w:val="00ED7F01"/>
    <w:rsid w:val="00EE171D"/>
    <w:rsid w:val="00EE7891"/>
    <w:rsid w:val="00EF49FE"/>
    <w:rsid w:val="00EF5341"/>
    <w:rsid w:val="00EF5E71"/>
    <w:rsid w:val="00F01D38"/>
    <w:rsid w:val="00F022C1"/>
    <w:rsid w:val="00F04908"/>
    <w:rsid w:val="00F07C21"/>
    <w:rsid w:val="00F12EF6"/>
    <w:rsid w:val="00F21065"/>
    <w:rsid w:val="00F225A5"/>
    <w:rsid w:val="00F24CB4"/>
    <w:rsid w:val="00F27847"/>
    <w:rsid w:val="00F31E44"/>
    <w:rsid w:val="00F355EF"/>
    <w:rsid w:val="00F43465"/>
    <w:rsid w:val="00F45475"/>
    <w:rsid w:val="00F64E72"/>
    <w:rsid w:val="00F65424"/>
    <w:rsid w:val="00F70C7D"/>
    <w:rsid w:val="00F72042"/>
    <w:rsid w:val="00F9272E"/>
    <w:rsid w:val="00F97743"/>
    <w:rsid w:val="00FA6DAF"/>
    <w:rsid w:val="00FB56E9"/>
    <w:rsid w:val="00FC6884"/>
    <w:rsid w:val="00FE566B"/>
    <w:rsid w:val="00FE62F3"/>
    <w:rsid w:val="00FF71D2"/>
    <w:rsid w:val="02B81FC4"/>
    <w:rsid w:val="05C0366A"/>
    <w:rsid w:val="05C14C3D"/>
    <w:rsid w:val="06D870D9"/>
    <w:rsid w:val="09293304"/>
    <w:rsid w:val="0CEE4F60"/>
    <w:rsid w:val="0DB43078"/>
    <w:rsid w:val="1329460C"/>
    <w:rsid w:val="13877630"/>
    <w:rsid w:val="140C1569"/>
    <w:rsid w:val="189F1804"/>
    <w:rsid w:val="19040FC4"/>
    <w:rsid w:val="19196E74"/>
    <w:rsid w:val="1B2418A5"/>
    <w:rsid w:val="1B750E0A"/>
    <w:rsid w:val="1D0640F7"/>
    <w:rsid w:val="1DB63878"/>
    <w:rsid w:val="1F9000F9"/>
    <w:rsid w:val="1FBFC074"/>
    <w:rsid w:val="20243BCC"/>
    <w:rsid w:val="21283172"/>
    <w:rsid w:val="255F2A47"/>
    <w:rsid w:val="25652EDE"/>
    <w:rsid w:val="31014425"/>
    <w:rsid w:val="33645A78"/>
    <w:rsid w:val="33B14BC3"/>
    <w:rsid w:val="35902FA2"/>
    <w:rsid w:val="36C720A4"/>
    <w:rsid w:val="36FB9E1F"/>
    <w:rsid w:val="37335AE2"/>
    <w:rsid w:val="381946E1"/>
    <w:rsid w:val="39B003B6"/>
    <w:rsid w:val="3A50345B"/>
    <w:rsid w:val="3AE27603"/>
    <w:rsid w:val="3B9D79CE"/>
    <w:rsid w:val="3BFA2109"/>
    <w:rsid w:val="3BFA3B96"/>
    <w:rsid w:val="3CEF3472"/>
    <w:rsid w:val="3E120292"/>
    <w:rsid w:val="3EFF16E9"/>
    <w:rsid w:val="40E57E4D"/>
    <w:rsid w:val="420E5181"/>
    <w:rsid w:val="434A043B"/>
    <w:rsid w:val="4705676D"/>
    <w:rsid w:val="47FA75D9"/>
    <w:rsid w:val="48594C7C"/>
    <w:rsid w:val="4A8232F8"/>
    <w:rsid w:val="4B7C7600"/>
    <w:rsid w:val="4E2D2E33"/>
    <w:rsid w:val="519A07DF"/>
    <w:rsid w:val="546649A9"/>
    <w:rsid w:val="567D5022"/>
    <w:rsid w:val="578829A2"/>
    <w:rsid w:val="5A0C5FF2"/>
    <w:rsid w:val="5B7F07AB"/>
    <w:rsid w:val="5DA14CA4"/>
    <w:rsid w:val="5EE94B54"/>
    <w:rsid w:val="620D46B6"/>
    <w:rsid w:val="63100A20"/>
    <w:rsid w:val="644A563F"/>
    <w:rsid w:val="64AA4AE5"/>
    <w:rsid w:val="67F02A95"/>
    <w:rsid w:val="6910200B"/>
    <w:rsid w:val="6E8757F0"/>
    <w:rsid w:val="715776FB"/>
    <w:rsid w:val="71954707"/>
    <w:rsid w:val="7206621D"/>
    <w:rsid w:val="73AF2A42"/>
    <w:rsid w:val="76676633"/>
    <w:rsid w:val="77CF73AC"/>
    <w:rsid w:val="78FF0116"/>
    <w:rsid w:val="7B915F00"/>
    <w:rsid w:val="7D320274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5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_Style 6"/>
    <w:basedOn w:val="1"/>
    <w:autoRedefine/>
    <w:qFormat/>
    <w:uiPriority w:val="34"/>
    <w:pPr>
      <w:spacing w:line="460" w:lineRule="exact"/>
      <w:ind w:firstLine="480" w:firstLineChars="200"/>
    </w:pPr>
    <w:rPr>
      <w:rFonts w:ascii="宋体" w:hAnsi="宋体"/>
      <w:sz w:val="24"/>
    </w:rPr>
  </w:style>
  <w:style w:type="paragraph" w:customStyle="1" w:styleId="9">
    <w:name w:val="Char Char Char"/>
    <w:basedOn w:val="1"/>
    <w:autoRedefine/>
    <w:qFormat/>
    <w:uiPriority w:val="0"/>
    <w:rPr>
      <w:szCs w:val="21"/>
    </w:rPr>
  </w:style>
  <w:style w:type="paragraph" w:customStyle="1" w:styleId="10">
    <w:name w:val="Char Char Char Char Char Char Char Char Char Char Char Char Char Char Char Char"/>
    <w:basedOn w:val="1"/>
    <w:autoRedefine/>
    <w:qFormat/>
    <w:uiPriority w:val="0"/>
  </w:style>
  <w:style w:type="paragraph" w:customStyle="1" w:styleId="11">
    <w:name w:val="Char Char Char1"/>
    <w:basedOn w:val="1"/>
    <w:autoRedefine/>
    <w:qFormat/>
    <w:uiPriority w:val="0"/>
  </w:style>
  <w:style w:type="character" w:customStyle="1" w:styleId="12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HTML 预设格式 Char"/>
    <w:basedOn w:val="7"/>
    <w:link w:val="5"/>
    <w:autoRedefine/>
    <w:qFormat/>
    <w:uiPriority w:val="99"/>
    <w:rPr>
      <w:rFonts w:ascii="宋体" w:hAnsi="宋体"/>
      <w:sz w:val="24"/>
      <w:szCs w:val="24"/>
    </w:rPr>
  </w:style>
  <w:style w:type="character" w:customStyle="1" w:styleId="16">
    <w:name w:val="批注框文本 Char"/>
    <w:basedOn w:val="7"/>
    <w:link w:val="2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B2591-143A-4414-A0D5-F569163E81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1835</Words>
  <Characters>2050</Characters>
  <Lines>12</Lines>
  <Paragraphs>3</Paragraphs>
  <TotalTime>118</TotalTime>
  <ScaleCrop>false</ScaleCrop>
  <LinksUpToDate>false</LinksUpToDate>
  <CharactersWithSpaces>2195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2024-12-25T08:28:00Z</dcterms:created>
  <dc:creator>微软用户</dc:creator>
  <cp:lastModifiedBy>任禹达</cp:lastModifiedBy>
  <cp:lastPrinted>2025-06-18T07:34:42Z</cp:lastPrinted>
  <dcterms:modified xsi:type="dcterms:W3CDTF">2025-06-18T08:26:57Z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B51CD5A76C8B445DAEB368A6A422F962_13</vt:lpwstr>
  </property>
  <property fmtid="{D5CDD505-2E9C-101B-9397-08002B2CF9AE}" pid="4" name="KSOTemplateDocerSaveRecord">
    <vt:lpwstr>eyJoZGlkIjoiNDk1NzQzMzBiM2IyN2YxMjM0NjFkY2UzMzNiZDMzMjEiLCJ1c2VySWQiOiIxNjc1MTc1NTIyIn0=</vt:lpwstr>
  </property>
</Properties>
</file>