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677" w14:textId="77777777" w:rsidR="00B96FA1" w:rsidRDefault="00000000">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6C5DD870" w14:textId="77777777" w:rsidR="00B96FA1"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2C9AEFA2" w14:textId="77777777" w:rsidR="00B96FA1"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12A62BD2" w14:textId="77777777" w:rsidR="00B96FA1" w:rsidRDefault="00000000">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编号：2025-007</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B96FA1" w14:paraId="57070E9C" w14:textId="77777777">
        <w:tc>
          <w:tcPr>
            <w:tcW w:w="2411" w:type="dxa"/>
            <w:vAlign w:val="center"/>
          </w:tcPr>
          <w:p w14:paraId="034080E7"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4CB8528A" w14:textId="77777777" w:rsidR="00B96FA1"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771D4756" w14:textId="77777777" w:rsidR="00B96FA1"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Pr>
                <w:rFonts w:ascii="宋体" w:hAnsi="宋体" w:cs="仿宋_GB2312" w:hint="eastAsia"/>
                <w:bCs/>
                <w:iCs/>
                <w:sz w:val="24"/>
                <w:szCs w:val="24"/>
              </w:rPr>
              <w:t>□</w:t>
            </w:r>
            <w:r>
              <w:rPr>
                <w:rFonts w:ascii="宋体" w:hAnsi="宋体" w:cs="仿宋_GB2312" w:hint="eastAsia"/>
                <w:sz w:val="24"/>
                <w:szCs w:val="24"/>
              </w:rPr>
              <w:t>业绩说明会</w:t>
            </w:r>
          </w:p>
          <w:p w14:paraId="6AA14D57" w14:textId="77777777" w:rsidR="00B96FA1"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宋体" w:hAnsi="宋体" w:cs="仿宋_GB2312" w:hint="eastAsia"/>
                <w:bCs/>
                <w:iCs/>
                <w:sz w:val="24"/>
                <w:szCs w:val="24"/>
              </w:rPr>
              <w:t>☑</w:t>
            </w:r>
            <w:r>
              <w:rPr>
                <w:rFonts w:ascii="宋体" w:hAnsi="宋体" w:cs="仿宋_GB2312" w:hint="eastAsia"/>
                <w:sz w:val="24"/>
                <w:szCs w:val="24"/>
              </w:rPr>
              <w:t>路演活动</w:t>
            </w:r>
          </w:p>
          <w:p w14:paraId="610D54DB" w14:textId="77777777" w:rsidR="00B96FA1" w:rsidRDefault="00000000">
            <w:pPr>
              <w:tabs>
                <w:tab w:val="left" w:pos="2690"/>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现场参观            </w:t>
            </w:r>
            <w:r>
              <w:rPr>
                <w:rFonts w:ascii="宋体" w:hAnsi="宋体" w:cs="仿宋_GB2312" w:hint="eastAsia"/>
                <w:bCs/>
                <w:iCs/>
                <w:sz w:val="24"/>
                <w:szCs w:val="24"/>
              </w:rPr>
              <w:t>☑</w:t>
            </w:r>
            <w:r>
              <w:rPr>
                <w:rFonts w:ascii="宋体" w:hAnsi="宋体" w:cs="仿宋_GB2312" w:hint="eastAsia"/>
                <w:sz w:val="24"/>
                <w:szCs w:val="24"/>
              </w:rPr>
              <w:t>电话会议</w:t>
            </w:r>
          </w:p>
          <w:p w14:paraId="156C2FE1" w14:textId="77777777" w:rsidR="00B96FA1" w:rsidRDefault="00000000">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proofErr w:type="gramStart"/>
            <w:r>
              <w:rPr>
                <w:rFonts w:ascii="宋体" w:hAnsi="宋体" w:cs="仿宋_GB2312" w:hint="eastAsia"/>
                <w:sz w:val="24"/>
                <w:szCs w:val="24"/>
                <w:u w:val="single"/>
              </w:rPr>
              <w:t>请文字</w:t>
            </w:r>
            <w:proofErr w:type="gramEnd"/>
            <w:r>
              <w:rPr>
                <w:rFonts w:ascii="宋体" w:hAnsi="宋体" w:cs="仿宋_GB2312" w:hint="eastAsia"/>
                <w:sz w:val="24"/>
                <w:szCs w:val="24"/>
                <w:u w:val="single"/>
              </w:rPr>
              <w:t>说明其他活动内容）</w:t>
            </w:r>
          </w:p>
        </w:tc>
      </w:tr>
      <w:tr w:rsidR="00B96FA1" w14:paraId="7C51E963" w14:textId="77777777">
        <w:tc>
          <w:tcPr>
            <w:tcW w:w="2411" w:type="dxa"/>
            <w:vAlign w:val="center"/>
          </w:tcPr>
          <w:p w14:paraId="70FAC1EB"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5B9AEA38" w14:textId="3605E0BB" w:rsidR="00B96FA1" w:rsidRDefault="00000000">
            <w:pPr>
              <w:tabs>
                <w:tab w:val="center" w:pos="2798"/>
              </w:tabs>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中国人寿保险、博时基金、中天自营、平安基金、太平基金、信达基金、天九投资、宝盈基金、富国基金、交银施罗德基金、中</w:t>
            </w:r>
            <w:proofErr w:type="gramStart"/>
            <w:r>
              <w:rPr>
                <w:rFonts w:ascii="仿宋_GB2312" w:eastAsia="仿宋_GB2312" w:hAnsi="仿宋_GB2312" w:cs="仿宋_GB2312" w:hint="eastAsia"/>
                <w:bCs/>
                <w:iCs/>
                <w:sz w:val="24"/>
                <w:szCs w:val="24"/>
              </w:rPr>
              <w:t>信股衍</w:t>
            </w:r>
            <w:proofErr w:type="gramEnd"/>
            <w:r>
              <w:rPr>
                <w:rFonts w:ascii="仿宋_GB2312" w:eastAsia="仿宋_GB2312" w:hAnsi="仿宋_GB2312" w:cs="仿宋_GB2312" w:hint="eastAsia"/>
                <w:bCs/>
                <w:iCs/>
                <w:sz w:val="24"/>
                <w:szCs w:val="24"/>
              </w:rPr>
              <w:t>、东方资管、淡马锡富敦、太平养老、</w:t>
            </w:r>
            <w:proofErr w:type="gramStart"/>
            <w:r>
              <w:rPr>
                <w:rFonts w:ascii="仿宋_GB2312" w:eastAsia="仿宋_GB2312" w:hAnsi="仿宋_GB2312" w:cs="仿宋_GB2312" w:hint="eastAsia"/>
                <w:bCs/>
                <w:iCs/>
                <w:sz w:val="24"/>
                <w:szCs w:val="24"/>
              </w:rPr>
              <w:t>瀚</w:t>
            </w:r>
            <w:proofErr w:type="gramEnd"/>
            <w:r>
              <w:rPr>
                <w:rFonts w:ascii="仿宋_GB2312" w:eastAsia="仿宋_GB2312" w:hAnsi="仿宋_GB2312" w:cs="仿宋_GB2312" w:hint="eastAsia"/>
                <w:bCs/>
                <w:iCs/>
                <w:sz w:val="24"/>
                <w:szCs w:val="24"/>
              </w:rPr>
              <w:t>亚投资（香港）、瑞华投资、准星私募、中信证金、农银汇理基金、景林资产、保银投资、</w:t>
            </w:r>
            <w:proofErr w:type="gramStart"/>
            <w:r>
              <w:rPr>
                <w:rFonts w:ascii="仿宋_GB2312" w:eastAsia="仿宋_GB2312" w:hAnsi="仿宋_GB2312" w:cs="仿宋_GB2312" w:hint="eastAsia"/>
                <w:bCs/>
                <w:iCs/>
                <w:sz w:val="24"/>
                <w:szCs w:val="24"/>
              </w:rPr>
              <w:t>敦</w:t>
            </w:r>
            <w:proofErr w:type="gramEnd"/>
            <w:r>
              <w:rPr>
                <w:rFonts w:ascii="仿宋_GB2312" w:eastAsia="仿宋_GB2312" w:hAnsi="仿宋_GB2312" w:cs="仿宋_GB2312" w:hint="eastAsia"/>
                <w:bCs/>
                <w:iCs/>
                <w:sz w:val="24"/>
                <w:szCs w:val="24"/>
              </w:rPr>
              <w:t>和</w:t>
            </w:r>
            <w:proofErr w:type="gramStart"/>
            <w:r>
              <w:rPr>
                <w:rFonts w:ascii="仿宋_GB2312" w:eastAsia="仿宋_GB2312" w:hAnsi="仿宋_GB2312" w:cs="仿宋_GB2312" w:hint="eastAsia"/>
                <w:bCs/>
                <w:iCs/>
                <w:sz w:val="24"/>
                <w:szCs w:val="24"/>
              </w:rPr>
              <w:t>资管</w:t>
            </w:r>
            <w:proofErr w:type="gramEnd"/>
            <w:r>
              <w:rPr>
                <w:rFonts w:ascii="仿宋_GB2312" w:eastAsia="仿宋_GB2312" w:hAnsi="仿宋_GB2312" w:cs="仿宋_GB2312" w:hint="eastAsia"/>
                <w:bCs/>
                <w:iCs/>
                <w:sz w:val="24"/>
                <w:szCs w:val="24"/>
              </w:rPr>
              <w:t xml:space="preserve">、工银安盛人寿、Brilliance、国信证券、泰康资产、兴全基金、中信资管、Principal Asset </w:t>
            </w:r>
            <w:r>
              <w:rPr>
                <w:rFonts w:ascii="仿宋_GB2312" w:eastAsia="仿宋_GB2312" w:hAnsi="仿宋_GB2312" w:cs="仿宋_GB2312"/>
                <w:bCs/>
                <w:iCs/>
                <w:sz w:val="24"/>
                <w:szCs w:val="24"/>
              </w:rPr>
              <w:t>Management</w:t>
            </w:r>
            <w:r>
              <w:rPr>
                <w:rFonts w:ascii="仿宋_GB2312" w:eastAsia="仿宋_GB2312" w:hAnsi="仿宋_GB2312" w:cs="仿宋_GB2312" w:hint="eastAsia"/>
                <w:bCs/>
                <w:iCs/>
                <w:sz w:val="24"/>
                <w:szCs w:val="24"/>
              </w:rPr>
              <w:t xml:space="preserve">、Dymon </w:t>
            </w:r>
            <w:r>
              <w:rPr>
                <w:rFonts w:ascii="仿宋_GB2312" w:eastAsia="仿宋_GB2312" w:hAnsi="仿宋_GB2312" w:cs="仿宋_GB2312"/>
                <w:bCs/>
                <w:iCs/>
                <w:sz w:val="24"/>
                <w:szCs w:val="24"/>
              </w:rPr>
              <w:t>Asia</w:t>
            </w:r>
            <w:r>
              <w:rPr>
                <w:rFonts w:ascii="仿宋_GB2312" w:eastAsia="仿宋_GB2312" w:hAnsi="仿宋_GB2312" w:cs="仿宋_GB2312" w:hint="eastAsia"/>
                <w:bCs/>
                <w:iCs/>
                <w:sz w:val="24"/>
                <w:szCs w:val="24"/>
              </w:rPr>
              <w:t>、Allianz Global Investors、</w:t>
            </w:r>
            <w:r>
              <w:rPr>
                <w:rFonts w:ascii="仿宋_GB2312" w:eastAsia="仿宋_GB2312" w:hAnsi="仿宋_GB2312" w:cs="仿宋_GB2312"/>
                <w:bCs/>
                <w:iCs/>
                <w:sz w:val="24"/>
                <w:szCs w:val="24"/>
              </w:rPr>
              <w:t>North Rock</w:t>
            </w:r>
            <w:r>
              <w:rPr>
                <w:rFonts w:ascii="仿宋_GB2312" w:eastAsia="仿宋_GB2312" w:hAnsi="仿宋_GB2312" w:cs="仿宋_GB2312" w:hint="eastAsia"/>
                <w:bCs/>
                <w:iCs/>
                <w:sz w:val="24"/>
                <w:szCs w:val="24"/>
              </w:rPr>
              <w:t xml:space="preserve">、Point72、Keystone Investors、LMR、Wellington、Antipodes Partners、Apeiron Capital、Neumann Advisors、Pinpoint Asset Management、Bin </w:t>
            </w:r>
            <w:r>
              <w:rPr>
                <w:rFonts w:ascii="仿宋_GB2312" w:eastAsia="仿宋_GB2312" w:hAnsi="仿宋_GB2312" w:cs="仿宋_GB2312"/>
                <w:bCs/>
                <w:iCs/>
                <w:sz w:val="24"/>
                <w:szCs w:val="24"/>
              </w:rPr>
              <w:t>Yuan</w:t>
            </w:r>
            <w:r>
              <w:rPr>
                <w:rFonts w:ascii="仿宋_GB2312" w:eastAsia="仿宋_GB2312" w:hAnsi="仿宋_GB2312" w:cs="仿宋_GB2312" w:hint="eastAsia"/>
                <w:bCs/>
                <w:iCs/>
                <w:sz w:val="24"/>
                <w:szCs w:val="24"/>
              </w:rPr>
              <w:t>、China Universal Asset Management、Citi Private Bank、First Beijing、Nan Fung Trinity、Nomura Asset Management、Polymer、Ward Ferry、Ninety One UK Limited、</w:t>
            </w:r>
            <w:proofErr w:type="spellStart"/>
            <w:r>
              <w:rPr>
                <w:rFonts w:ascii="仿宋_GB2312" w:eastAsia="仿宋_GB2312" w:hAnsi="仿宋_GB2312" w:cs="仿宋_GB2312" w:hint="eastAsia"/>
                <w:bCs/>
                <w:iCs/>
                <w:sz w:val="24"/>
                <w:szCs w:val="24"/>
              </w:rPr>
              <w:t>Candriam</w:t>
            </w:r>
            <w:proofErr w:type="spellEnd"/>
            <w:r>
              <w:rPr>
                <w:rFonts w:ascii="仿宋_GB2312" w:eastAsia="仿宋_GB2312" w:hAnsi="仿宋_GB2312" w:cs="仿宋_GB2312" w:hint="eastAsia"/>
                <w:bCs/>
                <w:iCs/>
                <w:sz w:val="24"/>
                <w:szCs w:val="24"/>
              </w:rPr>
              <w:t>、Polunin Capital Partners Limited、</w:t>
            </w:r>
            <w:proofErr w:type="spellStart"/>
            <w:r>
              <w:rPr>
                <w:rFonts w:ascii="仿宋_GB2312" w:eastAsia="仿宋_GB2312" w:hAnsi="仿宋_GB2312" w:cs="仿宋_GB2312" w:hint="eastAsia"/>
                <w:bCs/>
                <w:iCs/>
                <w:sz w:val="24"/>
                <w:szCs w:val="24"/>
              </w:rPr>
              <w:t>Eurizon</w:t>
            </w:r>
            <w:proofErr w:type="spellEnd"/>
            <w:r>
              <w:rPr>
                <w:rFonts w:ascii="仿宋_GB2312" w:eastAsia="仿宋_GB2312" w:hAnsi="仿宋_GB2312" w:cs="仿宋_GB2312" w:hint="eastAsia"/>
                <w:bCs/>
                <w:iCs/>
                <w:sz w:val="24"/>
                <w:szCs w:val="24"/>
              </w:rPr>
              <w:t xml:space="preserve"> SLJ Capital Limited、Fiera Capital(UK) Limited、SANPAOLO IMI等机构。</w:t>
            </w:r>
          </w:p>
        </w:tc>
      </w:tr>
      <w:tr w:rsidR="00B96FA1" w14:paraId="12C96176" w14:textId="77777777">
        <w:tc>
          <w:tcPr>
            <w:tcW w:w="2411" w:type="dxa"/>
            <w:vAlign w:val="center"/>
          </w:tcPr>
          <w:p w14:paraId="7E9BE2D3"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6239FCCD" w14:textId="77777777"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2025年5月26日-6月20日</w:t>
            </w:r>
          </w:p>
        </w:tc>
      </w:tr>
      <w:tr w:rsidR="00B96FA1" w14:paraId="58AC16BB" w14:textId="77777777">
        <w:tc>
          <w:tcPr>
            <w:tcW w:w="2411" w:type="dxa"/>
            <w:vAlign w:val="center"/>
          </w:tcPr>
          <w:p w14:paraId="760B77AE"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会议地点</w:t>
            </w:r>
          </w:p>
        </w:tc>
        <w:tc>
          <w:tcPr>
            <w:tcW w:w="6379" w:type="dxa"/>
            <w:vAlign w:val="center"/>
          </w:tcPr>
          <w:p w14:paraId="5B3D10F3" w14:textId="77777777"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商城集团大厦会议室等</w:t>
            </w:r>
          </w:p>
        </w:tc>
      </w:tr>
      <w:tr w:rsidR="00B96FA1" w14:paraId="7EEB0211" w14:textId="77777777">
        <w:tc>
          <w:tcPr>
            <w:tcW w:w="2411" w:type="dxa"/>
            <w:vAlign w:val="center"/>
          </w:tcPr>
          <w:p w14:paraId="64C1F394"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53E2336E" w14:textId="77777777"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董事会秘书：许杭</w:t>
            </w:r>
          </w:p>
          <w:p w14:paraId="6F59FBB6" w14:textId="77777777"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证券事务代表：何志超</w:t>
            </w:r>
          </w:p>
          <w:p w14:paraId="5F88B3E4" w14:textId="77777777"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公司证券部</w:t>
            </w:r>
          </w:p>
        </w:tc>
      </w:tr>
      <w:tr w:rsidR="00B96FA1" w14:paraId="533FEED3" w14:textId="77777777">
        <w:trPr>
          <w:trHeight w:val="490"/>
        </w:trPr>
        <w:tc>
          <w:tcPr>
            <w:tcW w:w="2411" w:type="dxa"/>
            <w:vAlign w:val="center"/>
          </w:tcPr>
          <w:p w14:paraId="19770D12"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投资者关系活动主要内容介绍</w:t>
            </w:r>
          </w:p>
        </w:tc>
        <w:tc>
          <w:tcPr>
            <w:tcW w:w="6379" w:type="dxa"/>
          </w:tcPr>
          <w:p w14:paraId="162D4BE4" w14:textId="77777777" w:rsidR="00B96FA1" w:rsidRDefault="00000000">
            <w:pPr>
              <w:spacing w:line="360" w:lineRule="auto"/>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 xml:space="preserve">    1.</w:t>
            </w:r>
            <w:proofErr w:type="gramStart"/>
            <w:r>
              <w:rPr>
                <w:rFonts w:ascii="仿宋_GB2312" w:eastAsia="仿宋_GB2312" w:hAnsi="仿宋_GB2312" w:cs="仿宋_GB2312" w:hint="eastAsia"/>
                <w:b/>
                <w:iCs/>
                <w:sz w:val="24"/>
                <w:szCs w:val="24"/>
              </w:rPr>
              <w:t>全球数贸中心</w:t>
            </w:r>
            <w:proofErr w:type="gramEnd"/>
            <w:r>
              <w:rPr>
                <w:rFonts w:ascii="仿宋_GB2312" w:eastAsia="仿宋_GB2312" w:hAnsi="仿宋_GB2312" w:cs="仿宋_GB2312" w:hint="eastAsia"/>
                <w:b/>
                <w:iCs/>
                <w:sz w:val="24"/>
                <w:szCs w:val="24"/>
              </w:rPr>
              <w:t>的市场板块开始招商了吗？有哪些行业？</w:t>
            </w:r>
          </w:p>
          <w:p w14:paraId="7487C3EB" w14:textId="1F2B6F20" w:rsidR="00B96FA1"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 xml:space="preserve">    答：基于消费趋势，</w:t>
            </w:r>
            <w:proofErr w:type="gramStart"/>
            <w:r>
              <w:rPr>
                <w:rFonts w:ascii="仿宋_GB2312" w:eastAsia="仿宋_GB2312" w:hAnsi="仿宋_GB2312" w:cs="仿宋_GB2312" w:hint="eastAsia"/>
                <w:bCs/>
                <w:iCs/>
                <w:sz w:val="24"/>
                <w:szCs w:val="24"/>
              </w:rPr>
              <w:t>全球数贸中心</w:t>
            </w:r>
            <w:proofErr w:type="gramEnd"/>
            <w:r>
              <w:rPr>
                <w:rFonts w:ascii="仿宋_GB2312" w:eastAsia="仿宋_GB2312" w:hAnsi="仿宋_GB2312" w:cs="仿宋_GB2312" w:hint="eastAsia"/>
                <w:bCs/>
                <w:iCs/>
                <w:sz w:val="24"/>
                <w:szCs w:val="24"/>
              </w:rPr>
              <w:t>确定了五大行业方向。一是，随着“她经济”“悦己消费”兴起，品牌化、时尚化女性配饰需求愈发旺盛，布局时尚珠宝、护肤及</w:t>
            </w:r>
            <w:proofErr w:type="gramStart"/>
            <w:r>
              <w:rPr>
                <w:rFonts w:ascii="仿宋_GB2312" w:eastAsia="仿宋_GB2312" w:hAnsi="仿宋_GB2312" w:cs="仿宋_GB2312" w:hint="eastAsia"/>
                <w:bCs/>
                <w:iCs/>
                <w:sz w:val="24"/>
                <w:szCs w:val="24"/>
              </w:rPr>
              <w:t>医</w:t>
            </w:r>
            <w:proofErr w:type="gramEnd"/>
            <w:r>
              <w:rPr>
                <w:rFonts w:ascii="仿宋_GB2312" w:eastAsia="仿宋_GB2312" w:hAnsi="仿宋_GB2312" w:cs="仿宋_GB2312" w:hint="eastAsia"/>
                <w:bCs/>
                <w:iCs/>
                <w:sz w:val="24"/>
                <w:szCs w:val="24"/>
              </w:rPr>
              <w:t>美用品、女性</w:t>
            </w:r>
            <w:proofErr w:type="gramStart"/>
            <w:r>
              <w:rPr>
                <w:rFonts w:ascii="仿宋_GB2312" w:eastAsia="仿宋_GB2312" w:hAnsi="仿宋_GB2312" w:cs="仿宋_GB2312" w:hint="eastAsia"/>
                <w:bCs/>
                <w:iCs/>
                <w:sz w:val="24"/>
                <w:szCs w:val="24"/>
              </w:rPr>
              <w:t>时尚服配行业</w:t>
            </w:r>
            <w:proofErr w:type="gramEnd"/>
            <w:r>
              <w:rPr>
                <w:rFonts w:ascii="仿宋_GB2312" w:eastAsia="仿宋_GB2312" w:hAnsi="仿宋_GB2312" w:cs="仿宋_GB2312" w:hint="eastAsia"/>
                <w:bCs/>
                <w:iCs/>
                <w:sz w:val="24"/>
                <w:szCs w:val="24"/>
              </w:rPr>
              <w:t>；二是，“品质育儿”带动“宝宝经济”，布局</w:t>
            </w:r>
            <w:proofErr w:type="gramStart"/>
            <w:r>
              <w:rPr>
                <w:rFonts w:ascii="仿宋_GB2312" w:eastAsia="仿宋_GB2312" w:hAnsi="仿宋_GB2312" w:cs="仿宋_GB2312" w:hint="eastAsia"/>
                <w:bCs/>
                <w:iCs/>
                <w:sz w:val="24"/>
                <w:szCs w:val="24"/>
              </w:rPr>
              <w:t>婴</w:t>
            </w:r>
            <w:proofErr w:type="gramEnd"/>
            <w:r>
              <w:rPr>
                <w:rFonts w:ascii="仿宋_GB2312" w:eastAsia="仿宋_GB2312" w:hAnsi="仿宋_GB2312" w:cs="仿宋_GB2312" w:hint="eastAsia"/>
                <w:bCs/>
                <w:iCs/>
                <w:sz w:val="24"/>
                <w:szCs w:val="24"/>
              </w:rPr>
              <w:t>幼童生活用品、婴幼童成长用品行业；三是，CityWalk、户外休闲运动全球盛行，</w:t>
            </w:r>
            <w:proofErr w:type="gramStart"/>
            <w:r>
              <w:rPr>
                <w:rFonts w:ascii="仿宋_GB2312" w:eastAsia="仿宋_GB2312" w:hAnsi="仿宋_GB2312" w:cs="仿宋_GB2312" w:hint="eastAsia"/>
                <w:bCs/>
                <w:iCs/>
                <w:sz w:val="24"/>
                <w:szCs w:val="24"/>
              </w:rPr>
              <w:t>银龄消费</w:t>
            </w:r>
            <w:proofErr w:type="gramEnd"/>
            <w:r>
              <w:rPr>
                <w:rFonts w:ascii="仿宋_GB2312" w:eastAsia="仿宋_GB2312" w:hAnsi="仿宋_GB2312" w:cs="仿宋_GB2312" w:hint="eastAsia"/>
                <w:bCs/>
                <w:iCs/>
                <w:sz w:val="24"/>
                <w:szCs w:val="24"/>
              </w:rPr>
              <w:t>步入增长快车道，布局旅行好物、健康医疗用品、家庭生活用品行业；四是，新质生产力催生贸易增长点，引领带动贸易高质量发展，布局无人机及</w:t>
            </w:r>
            <w:proofErr w:type="gramStart"/>
            <w:r>
              <w:rPr>
                <w:rFonts w:ascii="仿宋_GB2312" w:eastAsia="仿宋_GB2312" w:hAnsi="仿宋_GB2312" w:cs="仿宋_GB2312" w:hint="eastAsia"/>
                <w:bCs/>
                <w:iCs/>
                <w:sz w:val="24"/>
                <w:szCs w:val="24"/>
              </w:rPr>
              <w:t>无人化装备</w:t>
            </w:r>
            <w:proofErr w:type="gramEnd"/>
            <w:r>
              <w:rPr>
                <w:rFonts w:ascii="仿宋_GB2312" w:eastAsia="仿宋_GB2312" w:hAnsi="仿宋_GB2312" w:cs="仿宋_GB2312" w:hint="eastAsia"/>
                <w:bCs/>
                <w:iCs/>
                <w:sz w:val="24"/>
                <w:szCs w:val="24"/>
              </w:rPr>
              <w:t>、机器人及人工智能装备、AR/VR装备行业；五是，时尚日用消费品上游产品需求日益增长，布局时尚服饰面料行业。</w:t>
            </w:r>
          </w:p>
          <w:p w14:paraId="06E53D15" w14:textId="7304E06D" w:rsidR="00B96FA1" w:rsidRDefault="00000000" w:rsidP="00DA0057">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义乌</w:t>
            </w:r>
            <w:proofErr w:type="gramStart"/>
            <w:r>
              <w:rPr>
                <w:rFonts w:ascii="仿宋_GB2312" w:eastAsia="仿宋_GB2312" w:hAnsi="仿宋_GB2312" w:cs="仿宋_GB2312" w:hint="eastAsia"/>
                <w:bCs/>
                <w:iCs/>
                <w:sz w:val="24"/>
                <w:szCs w:val="24"/>
              </w:rPr>
              <w:t>全球数贸中心</w:t>
            </w:r>
            <w:proofErr w:type="gramEnd"/>
            <w:r>
              <w:rPr>
                <w:rFonts w:ascii="仿宋_GB2312" w:eastAsia="仿宋_GB2312" w:hAnsi="仿宋_GB2312" w:cs="仿宋_GB2312" w:hint="eastAsia"/>
                <w:bCs/>
                <w:iCs/>
                <w:sz w:val="24"/>
                <w:szCs w:val="24"/>
              </w:rPr>
              <w:t>（市场板块）时尚珠宝行业招商工作于6月1日正式开启报名，超4</w:t>
            </w:r>
            <w:r w:rsidR="002342FF">
              <w:rPr>
                <w:rFonts w:ascii="仿宋_GB2312" w:eastAsia="仿宋_GB2312" w:hAnsi="仿宋_GB2312" w:cs="仿宋_GB2312" w:hint="eastAsia"/>
                <w:bCs/>
                <w:iCs/>
                <w:sz w:val="24"/>
                <w:szCs w:val="24"/>
              </w:rPr>
              <w:t>,</w:t>
            </w:r>
            <w:r>
              <w:rPr>
                <w:rFonts w:ascii="仿宋_GB2312" w:eastAsia="仿宋_GB2312" w:hAnsi="仿宋_GB2312" w:cs="仿宋_GB2312" w:hint="eastAsia"/>
                <w:bCs/>
                <w:iCs/>
                <w:sz w:val="24"/>
                <w:szCs w:val="24"/>
              </w:rPr>
              <w:t>400个报名，初审后约2</w:t>
            </w:r>
            <w:r w:rsidR="002342FF">
              <w:rPr>
                <w:rFonts w:ascii="仿宋_GB2312" w:eastAsia="仿宋_GB2312" w:hAnsi="仿宋_GB2312" w:cs="仿宋_GB2312" w:hint="eastAsia"/>
                <w:bCs/>
                <w:iCs/>
                <w:sz w:val="24"/>
                <w:szCs w:val="24"/>
              </w:rPr>
              <w:t>,</w:t>
            </w:r>
            <w:r>
              <w:rPr>
                <w:rFonts w:ascii="仿宋_GB2312" w:eastAsia="仿宋_GB2312" w:hAnsi="仿宋_GB2312" w:cs="仿宋_GB2312" w:hint="eastAsia"/>
                <w:bCs/>
                <w:iCs/>
                <w:sz w:val="24"/>
                <w:szCs w:val="24"/>
              </w:rPr>
              <w:t>000个资格主体角逐389个铺位，商位选择定位工作已于6月19日圆满完成，</w:t>
            </w:r>
            <w:proofErr w:type="gramStart"/>
            <w:r>
              <w:rPr>
                <w:rFonts w:ascii="仿宋_GB2312" w:eastAsia="仿宋_GB2312" w:hAnsi="仿宋_GB2312" w:cs="仿宋_GB2312" w:hint="eastAsia"/>
                <w:bCs/>
                <w:iCs/>
                <w:sz w:val="24"/>
                <w:szCs w:val="24"/>
              </w:rPr>
              <w:t>其余行业</w:t>
            </w:r>
            <w:proofErr w:type="gramEnd"/>
            <w:r>
              <w:rPr>
                <w:rFonts w:ascii="仿宋_GB2312" w:eastAsia="仿宋_GB2312" w:hAnsi="仿宋_GB2312" w:cs="仿宋_GB2312" w:hint="eastAsia"/>
                <w:bCs/>
                <w:iCs/>
                <w:sz w:val="24"/>
                <w:szCs w:val="24"/>
              </w:rPr>
              <w:t>的招商工作也将陆续开展，更多信息可关注“义乌全球数贸中心”公众号进行查阅。</w:t>
            </w:r>
          </w:p>
          <w:p w14:paraId="45BEDC5A" w14:textId="77777777" w:rsidR="00B96FA1" w:rsidRDefault="00000000">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2.公司去香港设立公司，并申请TCSP牌照是为了去香港发行稳定币吗？</w:t>
            </w:r>
          </w:p>
          <w:p w14:paraId="2E365B1B" w14:textId="77777777" w:rsidR="00B96FA1" w:rsidRDefault="00000000">
            <w:pPr>
              <w:spacing w:line="360" w:lineRule="auto"/>
              <w:ind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答：公司</w:t>
            </w:r>
            <w:proofErr w:type="gramStart"/>
            <w:r>
              <w:rPr>
                <w:rFonts w:ascii="仿宋_GB2312" w:eastAsia="仿宋_GB2312" w:hAnsi="仿宋_GB2312" w:cs="仿宋_GB2312" w:hint="eastAsia"/>
                <w:bCs/>
                <w:iCs/>
                <w:sz w:val="24"/>
                <w:szCs w:val="24"/>
              </w:rPr>
              <w:t>运营着</w:t>
            </w:r>
            <w:proofErr w:type="gramEnd"/>
            <w:r>
              <w:rPr>
                <w:rFonts w:ascii="仿宋_GB2312" w:eastAsia="仿宋_GB2312" w:hAnsi="仿宋_GB2312" w:cs="仿宋_GB2312" w:hint="eastAsia"/>
                <w:bCs/>
                <w:iCs/>
                <w:sz w:val="24"/>
                <w:szCs w:val="24"/>
              </w:rPr>
              <w:t>全球最大的小商品交易市场，与230多个国家和地区保持贸易往来，其中“一带一路”共建国家贸易</w:t>
            </w:r>
            <w:proofErr w:type="gramStart"/>
            <w:r>
              <w:rPr>
                <w:rFonts w:ascii="仿宋_GB2312" w:eastAsia="仿宋_GB2312" w:hAnsi="仿宋_GB2312" w:cs="仿宋_GB2312" w:hint="eastAsia"/>
                <w:bCs/>
                <w:iCs/>
                <w:sz w:val="24"/>
                <w:szCs w:val="24"/>
              </w:rPr>
              <w:t>占比较</w:t>
            </w:r>
            <w:proofErr w:type="gramEnd"/>
            <w:r>
              <w:rPr>
                <w:rFonts w:ascii="仿宋_GB2312" w:eastAsia="仿宋_GB2312" w:hAnsi="仿宋_GB2312" w:cs="仿宋_GB2312" w:hint="eastAsia"/>
                <w:bCs/>
                <w:iCs/>
                <w:sz w:val="24"/>
                <w:szCs w:val="24"/>
              </w:rPr>
              <w:t>高，天然拥有海量、高频的跨境商贸结算场景。公司积极探索利用金融科技提升贸易便利化水平。稳定币等创新支付工具有潜力为全球客商，特别是中小微企业，提供更</w:t>
            </w:r>
            <w:r>
              <w:rPr>
                <w:rFonts w:ascii="仿宋_GB2312" w:eastAsia="仿宋_GB2312" w:hAnsi="仿宋_GB2312" w:cs="仿宋_GB2312" w:hint="eastAsia"/>
                <w:bCs/>
                <w:iCs/>
                <w:sz w:val="24"/>
                <w:szCs w:val="24"/>
              </w:rPr>
              <w:lastRenderedPageBreak/>
              <w:t>高效、低成本的跨境支付解决方案，契合我们服务实体贸易的宗旨。</w:t>
            </w:r>
          </w:p>
          <w:p w14:paraId="499B8353" w14:textId="02764D82" w:rsidR="00B96FA1" w:rsidRDefault="00000000">
            <w:pPr>
              <w:spacing w:line="360" w:lineRule="auto"/>
              <w:ind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我们欢迎并支持香港在稳定币监管框架上的积极进展，公司旗下跨境支付平台“义支付”（Yiwu</w:t>
            </w:r>
            <w:r w:rsidR="00361B57">
              <w:rPr>
                <w:rFonts w:ascii="仿宋_GB2312" w:eastAsia="仿宋_GB2312" w:hAnsi="仿宋_GB2312" w:cs="仿宋_GB2312" w:hint="eastAsia"/>
                <w:bCs/>
                <w:iCs/>
                <w:sz w:val="24"/>
                <w:szCs w:val="24"/>
              </w:rPr>
              <w:t xml:space="preserve"> </w:t>
            </w:r>
            <w:r>
              <w:rPr>
                <w:rFonts w:ascii="仿宋_GB2312" w:eastAsia="仿宋_GB2312" w:hAnsi="仿宋_GB2312" w:cs="仿宋_GB2312" w:hint="eastAsia"/>
                <w:bCs/>
                <w:iCs/>
                <w:sz w:val="24"/>
                <w:szCs w:val="24"/>
              </w:rPr>
              <w:t>Pay）将持续关注相关法规进程，并将在法规明确、路径畅通后，积极评估并尽快提交相关申请。我们致力于将自身庞大的实体贸易场景优势与金融科技创新相结合，为全球客商创造更大价值，为提升日用消费品流通贡献力量。</w:t>
            </w:r>
          </w:p>
          <w:p w14:paraId="615EE8A8" w14:textId="695A19AA" w:rsidR="00B96FA1" w:rsidRDefault="00000000">
            <w:pPr>
              <w:spacing w:line="360" w:lineRule="auto"/>
              <w:ind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香港TCSP牌照的核心价值在于：法律合</w:t>
            </w:r>
            <w:proofErr w:type="gramStart"/>
            <w:r>
              <w:rPr>
                <w:rFonts w:ascii="仿宋_GB2312" w:eastAsia="仿宋_GB2312" w:hAnsi="仿宋_GB2312" w:cs="仿宋_GB2312" w:hint="eastAsia"/>
                <w:bCs/>
                <w:iCs/>
                <w:sz w:val="24"/>
                <w:szCs w:val="24"/>
              </w:rPr>
              <w:t>规</w:t>
            </w:r>
            <w:proofErr w:type="gramEnd"/>
            <w:r>
              <w:rPr>
                <w:rFonts w:ascii="仿宋_GB2312" w:eastAsia="仿宋_GB2312" w:hAnsi="仿宋_GB2312" w:cs="仿宋_GB2312" w:hint="eastAsia"/>
                <w:bCs/>
                <w:iCs/>
                <w:sz w:val="24"/>
                <w:szCs w:val="24"/>
              </w:rPr>
              <w:t>性</w:t>
            </w:r>
            <w:proofErr w:type="gramStart"/>
            <w:r>
              <w:rPr>
                <w:rFonts w:ascii="仿宋_GB2312" w:eastAsia="仿宋_GB2312" w:hAnsi="仿宋_GB2312" w:cs="仿宋_GB2312" w:hint="eastAsia"/>
                <w:bCs/>
                <w:iCs/>
                <w:sz w:val="24"/>
                <w:szCs w:val="24"/>
              </w:rPr>
              <w:t>—确保</w:t>
            </w:r>
            <w:proofErr w:type="gramEnd"/>
            <w:r>
              <w:rPr>
                <w:rFonts w:ascii="仿宋_GB2312" w:eastAsia="仿宋_GB2312" w:hAnsi="仿宋_GB2312" w:cs="仿宋_GB2312" w:hint="eastAsia"/>
                <w:bCs/>
                <w:iCs/>
                <w:sz w:val="24"/>
                <w:szCs w:val="24"/>
              </w:rPr>
              <w:t>业务符合香港及国际反洗钱法规；业务合法性—授权开展公司/信托服务；风险防控</w:t>
            </w:r>
            <w:proofErr w:type="gramStart"/>
            <w:r>
              <w:rPr>
                <w:rFonts w:ascii="仿宋_GB2312" w:eastAsia="仿宋_GB2312" w:hAnsi="仿宋_GB2312" w:cs="仿宋_GB2312" w:hint="eastAsia"/>
                <w:bCs/>
                <w:iCs/>
                <w:sz w:val="24"/>
                <w:szCs w:val="24"/>
              </w:rPr>
              <w:t>—通过</w:t>
            </w:r>
            <w:proofErr w:type="gramEnd"/>
            <w:r>
              <w:rPr>
                <w:rFonts w:ascii="仿宋_GB2312" w:eastAsia="仿宋_GB2312" w:hAnsi="仿宋_GB2312" w:cs="仿宋_GB2312" w:hint="eastAsia"/>
                <w:bCs/>
                <w:iCs/>
                <w:sz w:val="24"/>
                <w:szCs w:val="24"/>
              </w:rPr>
              <w:t>严格KYC/AML程序降低金融犯罪风险；市场竞争力—持牌资质是吸引高端客户（如家族办公室、跨境投资）的关键凭证。结合跨境支付基础，申请TCSP牌照有助于为有需求的客户设计提供定制化财富管理及金融解决方案，这将进一步</w:t>
            </w:r>
            <w:proofErr w:type="gramStart"/>
            <w:r>
              <w:rPr>
                <w:rFonts w:ascii="仿宋_GB2312" w:eastAsia="仿宋_GB2312" w:hAnsi="仿宋_GB2312" w:cs="仿宋_GB2312" w:hint="eastAsia"/>
                <w:bCs/>
                <w:iCs/>
                <w:sz w:val="24"/>
                <w:szCs w:val="24"/>
              </w:rPr>
              <w:t>丰富义支付</w:t>
            </w:r>
            <w:proofErr w:type="gramEnd"/>
            <w:r>
              <w:rPr>
                <w:rFonts w:ascii="仿宋_GB2312" w:eastAsia="仿宋_GB2312" w:hAnsi="仿宋_GB2312" w:cs="仿宋_GB2312" w:hint="eastAsia"/>
                <w:bCs/>
                <w:iCs/>
                <w:sz w:val="24"/>
                <w:szCs w:val="24"/>
              </w:rPr>
              <w:t>的服务维度，使其从支付工具升级为具备更全面金融功能的</w:t>
            </w:r>
            <w:r w:rsidR="00700A3C">
              <w:rPr>
                <w:rFonts w:ascii="仿宋_GB2312" w:eastAsia="仿宋_GB2312" w:hAnsi="仿宋_GB2312" w:cs="仿宋_GB2312" w:hint="eastAsia"/>
                <w:bCs/>
                <w:iCs/>
                <w:sz w:val="24"/>
                <w:szCs w:val="24"/>
              </w:rPr>
              <w:t>服务</w:t>
            </w:r>
            <w:r>
              <w:rPr>
                <w:rFonts w:ascii="仿宋_GB2312" w:eastAsia="仿宋_GB2312" w:hAnsi="仿宋_GB2312" w:cs="仿宋_GB2312" w:hint="eastAsia"/>
                <w:bCs/>
                <w:iCs/>
                <w:sz w:val="24"/>
                <w:szCs w:val="24"/>
              </w:rPr>
              <w:t>平台，增强竞争力并开辟新增长点。</w:t>
            </w:r>
          </w:p>
          <w:p w14:paraId="3A3090A1" w14:textId="77777777" w:rsidR="00B96FA1" w:rsidRDefault="00000000">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3.公司的</w:t>
            </w:r>
            <w:proofErr w:type="spellStart"/>
            <w:r>
              <w:rPr>
                <w:rFonts w:ascii="仿宋_GB2312" w:eastAsia="仿宋_GB2312" w:hAnsi="仿宋_GB2312" w:cs="仿宋_GB2312"/>
                <w:b/>
                <w:iCs/>
                <w:sz w:val="24"/>
                <w:szCs w:val="24"/>
              </w:rPr>
              <w:t>Chinagoods</w:t>
            </w:r>
            <w:proofErr w:type="spellEnd"/>
            <w:r>
              <w:rPr>
                <w:rFonts w:ascii="仿宋_GB2312" w:eastAsia="仿宋_GB2312" w:hAnsi="仿宋_GB2312" w:cs="仿宋_GB2312" w:hint="eastAsia"/>
                <w:b/>
                <w:iCs/>
                <w:sz w:val="24"/>
                <w:szCs w:val="24"/>
              </w:rPr>
              <w:t>线上平台未来发展是如何规划的？</w:t>
            </w:r>
          </w:p>
          <w:p w14:paraId="691C1718" w14:textId="77777777" w:rsidR="00B96FA1" w:rsidRDefault="00000000">
            <w:pPr>
              <w:spacing w:line="360" w:lineRule="auto"/>
              <w:ind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w:t>
            </w:r>
            <w:r>
              <w:rPr>
                <w:rFonts w:ascii="仿宋_GB2312" w:eastAsia="仿宋_GB2312" w:hAnsi="仿宋_GB2312" w:cs="仿宋_GB2312"/>
                <w:bCs/>
                <w:iCs/>
                <w:sz w:val="24"/>
                <w:szCs w:val="24"/>
              </w:rPr>
              <w:t>公司通过人工智能生成内容（AIGC）赋能小商品商贸应用领域，覆盖商品展示、贸易撮合、流量营销等关键贸易环节，推动传统市场与外贸生态场景的深度结合。</w:t>
            </w:r>
            <w:proofErr w:type="spellStart"/>
            <w:r>
              <w:rPr>
                <w:rFonts w:ascii="仿宋_GB2312" w:eastAsia="仿宋_GB2312" w:hAnsi="仿宋_GB2312" w:cs="仿宋_GB2312"/>
                <w:bCs/>
                <w:iCs/>
                <w:sz w:val="24"/>
                <w:szCs w:val="24"/>
              </w:rPr>
              <w:t>Chinagoods</w:t>
            </w:r>
            <w:proofErr w:type="spellEnd"/>
            <w:r>
              <w:rPr>
                <w:rFonts w:ascii="仿宋_GB2312" w:eastAsia="仿宋_GB2312" w:hAnsi="仿宋_GB2312" w:cs="仿宋_GB2312"/>
                <w:bCs/>
                <w:iCs/>
                <w:sz w:val="24"/>
                <w:szCs w:val="24"/>
              </w:rPr>
              <w:t>平台自2023年10月以来发布了一系列AI数字应用，包括小商AI视频翻译，AI翻译官，AI店铺助理，小商AI设计，AI独立站，小商AI名片和小商AI</w:t>
            </w:r>
            <w:proofErr w:type="gramStart"/>
            <w:r>
              <w:rPr>
                <w:rFonts w:ascii="仿宋_GB2312" w:eastAsia="仿宋_GB2312" w:hAnsi="仿宋_GB2312" w:cs="仿宋_GB2312"/>
                <w:bCs/>
                <w:iCs/>
                <w:sz w:val="24"/>
                <w:szCs w:val="24"/>
              </w:rPr>
              <w:t>视创等</w:t>
            </w:r>
            <w:proofErr w:type="gramEnd"/>
            <w:r>
              <w:rPr>
                <w:rFonts w:ascii="仿宋_GB2312" w:eastAsia="仿宋_GB2312" w:hAnsi="仿宋_GB2312" w:cs="仿宋_GB2312"/>
                <w:bCs/>
                <w:iCs/>
                <w:sz w:val="24"/>
                <w:szCs w:val="24"/>
              </w:rPr>
              <w:t>，累计使用及访问</w:t>
            </w:r>
            <w:proofErr w:type="gramStart"/>
            <w:r>
              <w:rPr>
                <w:rFonts w:ascii="仿宋_GB2312" w:eastAsia="仿宋_GB2312" w:hAnsi="仿宋_GB2312" w:cs="仿宋_GB2312"/>
                <w:bCs/>
                <w:iCs/>
                <w:sz w:val="24"/>
                <w:szCs w:val="24"/>
              </w:rPr>
              <w:t>次数超</w:t>
            </w:r>
            <w:proofErr w:type="gramEnd"/>
            <w:r>
              <w:rPr>
                <w:rFonts w:ascii="仿宋_GB2312" w:eastAsia="仿宋_GB2312" w:hAnsi="仿宋_GB2312" w:cs="仿宋_GB2312"/>
                <w:bCs/>
                <w:iCs/>
                <w:sz w:val="24"/>
                <w:szCs w:val="24"/>
              </w:rPr>
              <w:t>10亿人次</w:t>
            </w:r>
            <w:r>
              <w:rPr>
                <w:rFonts w:ascii="仿宋_GB2312" w:eastAsia="仿宋_GB2312" w:hAnsi="仿宋_GB2312" w:cs="仿宋_GB2312" w:hint="eastAsia"/>
                <w:bCs/>
                <w:iCs/>
                <w:sz w:val="24"/>
                <w:szCs w:val="24"/>
              </w:rPr>
              <w:t>，</w:t>
            </w:r>
            <w:r>
              <w:rPr>
                <w:rFonts w:ascii="仿宋_GB2312" w:eastAsia="仿宋_GB2312" w:hAnsi="仿宋_GB2312" w:cs="仿宋_GB2312"/>
                <w:bCs/>
                <w:iCs/>
                <w:sz w:val="24"/>
                <w:szCs w:val="24"/>
              </w:rPr>
              <w:t>用户数累计超20万，经营</w:t>
            </w:r>
            <w:proofErr w:type="gramStart"/>
            <w:r>
              <w:rPr>
                <w:rFonts w:ascii="仿宋_GB2312" w:eastAsia="仿宋_GB2312" w:hAnsi="仿宋_GB2312" w:cs="仿宋_GB2312"/>
                <w:bCs/>
                <w:iCs/>
                <w:sz w:val="24"/>
                <w:szCs w:val="24"/>
              </w:rPr>
              <w:t>户私域</w:t>
            </w:r>
            <w:proofErr w:type="gramEnd"/>
            <w:r>
              <w:rPr>
                <w:rFonts w:ascii="仿宋_GB2312" w:eastAsia="仿宋_GB2312" w:hAnsi="仿宋_GB2312" w:cs="仿宋_GB2312"/>
                <w:bCs/>
                <w:iCs/>
                <w:sz w:val="24"/>
                <w:szCs w:val="24"/>
              </w:rPr>
              <w:t>流量活跃度增长72%，深度使用用户订单增长20%以上。平台还构建统一大会员体系，联动公司市场板块、会展板块、酒店板块、</w:t>
            </w:r>
            <w:proofErr w:type="gramStart"/>
            <w:r>
              <w:rPr>
                <w:rFonts w:ascii="仿宋_GB2312" w:eastAsia="仿宋_GB2312" w:hAnsi="仿宋_GB2312" w:cs="仿宋_GB2312"/>
                <w:bCs/>
                <w:iCs/>
                <w:sz w:val="24"/>
                <w:szCs w:val="24"/>
              </w:rPr>
              <w:t>爱喜猫</w:t>
            </w:r>
            <w:proofErr w:type="gramEnd"/>
            <w:r>
              <w:rPr>
                <w:rFonts w:ascii="仿宋_GB2312" w:eastAsia="仿宋_GB2312" w:hAnsi="仿宋_GB2312" w:cs="仿宋_GB2312"/>
                <w:bCs/>
                <w:iCs/>
                <w:sz w:val="24"/>
                <w:szCs w:val="24"/>
              </w:rPr>
              <w:t>和指尖食堂品牌等六大业务场景及</w:t>
            </w:r>
            <w:r>
              <w:rPr>
                <w:rFonts w:ascii="仿宋_GB2312" w:eastAsia="仿宋_GB2312" w:hAnsi="仿宋_GB2312" w:cs="仿宋_GB2312"/>
                <w:bCs/>
                <w:iCs/>
                <w:sz w:val="24"/>
                <w:szCs w:val="24"/>
              </w:rPr>
              <w:lastRenderedPageBreak/>
              <w:t>外商餐厅服务场景，开发“义乌小商品城会员”系列服务应用。2025年公司加速</w:t>
            </w:r>
            <w:proofErr w:type="spellStart"/>
            <w:r>
              <w:rPr>
                <w:rFonts w:ascii="仿宋_GB2312" w:eastAsia="仿宋_GB2312" w:hAnsi="仿宋_GB2312" w:cs="仿宋_GB2312"/>
                <w:bCs/>
                <w:iCs/>
                <w:sz w:val="24"/>
                <w:szCs w:val="24"/>
              </w:rPr>
              <w:t>Chinagoods</w:t>
            </w:r>
            <w:proofErr w:type="spellEnd"/>
            <w:r>
              <w:rPr>
                <w:rFonts w:ascii="仿宋_GB2312" w:eastAsia="仿宋_GB2312" w:hAnsi="仿宋_GB2312" w:cs="仿宋_GB2312"/>
                <w:bCs/>
                <w:iCs/>
                <w:sz w:val="24"/>
                <w:szCs w:val="24"/>
              </w:rPr>
              <w:t>平台智能化升级，强化市场数字化履约与供应链能力。</w:t>
            </w:r>
          </w:p>
        </w:tc>
      </w:tr>
      <w:tr w:rsidR="00B96FA1" w14:paraId="3A534501" w14:textId="77777777">
        <w:trPr>
          <w:trHeight w:val="90"/>
        </w:trPr>
        <w:tc>
          <w:tcPr>
            <w:tcW w:w="2411" w:type="dxa"/>
            <w:vAlign w:val="center"/>
          </w:tcPr>
          <w:p w14:paraId="524BB622" w14:textId="77777777" w:rsidR="00B96FA1"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1302A170" w14:textId="77777777" w:rsidR="00B96FA1"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否</w:t>
            </w:r>
          </w:p>
        </w:tc>
      </w:tr>
      <w:tr w:rsidR="00B96FA1" w14:paraId="3103E0D8" w14:textId="77777777">
        <w:trPr>
          <w:trHeight w:val="1130"/>
        </w:trPr>
        <w:tc>
          <w:tcPr>
            <w:tcW w:w="2411" w:type="dxa"/>
            <w:vAlign w:val="center"/>
          </w:tcPr>
          <w:p w14:paraId="0153FD0C" w14:textId="77777777" w:rsidR="002D6D1D" w:rsidRDefault="00000000">
            <w:pPr>
              <w:spacing w:line="360" w:lineRule="auto"/>
              <w:jc w:val="center"/>
              <w:rPr>
                <w:rFonts w:ascii="宋体" w:hAnsi="宋体" w:cs="黑体"/>
                <w:iCs/>
                <w:sz w:val="24"/>
                <w:szCs w:val="24"/>
              </w:rPr>
            </w:pPr>
            <w:r>
              <w:rPr>
                <w:rFonts w:ascii="宋体" w:hAnsi="宋体" w:cs="黑体" w:hint="eastAsia"/>
                <w:iCs/>
                <w:sz w:val="24"/>
                <w:szCs w:val="24"/>
              </w:rPr>
              <w:t>附件清单</w:t>
            </w:r>
          </w:p>
          <w:p w14:paraId="304202EB" w14:textId="0E1F7128" w:rsidR="00B96FA1" w:rsidRDefault="00000000" w:rsidP="002D6D1D">
            <w:pPr>
              <w:spacing w:line="360" w:lineRule="auto"/>
              <w:jc w:val="center"/>
              <w:rPr>
                <w:rFonts w:ascii="宋体" w:hAnsi="宋体" w:cs="黑体"/>
                <w:iCs/>
                <w:sz w:val="24"/>
                <w:szCs w:val="24"/>
              </w:rPr>
            </w:pPr>
            <w:r>
              <w:rPr>
                <w:rFonts w:ascii="宋体" w:hAnsi="宋体" w:cs="黑体" w:hint="eastAsia"/>
                <w:iCs/>
                <w:sz w:val="24"/>
                <w:szCs w:val="24"/>
              </w:rPr>
              <w:t>（如有）</w:t>
            </w:r>
          </w:p>
        </w:tc>
        <w:tc>
          <w:tcPr>
            <w:tcW w:w="6379" w:type="dxa"/>
            <w:vAlign w:val="center"/>
          </w:tcPr>
          <w:p w14:paraId="378B2756" w14:textId="77777777" w:rsidR="00B96FA1"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无</w:t>
            </w:r>
          </w:p>
        </w:tc>
      </w:tr>
    </w:tbl>
    <w:p w14:paraId="4FF77972" w14:textId="77777777" w:rsidR="00B96FA1" w:rsidRDefault="00B96FA1">
      <w:pPr>
        <w:spacing w:line="360" w:lineRule="auto"/>
      </w:pPr>
    </w:p>
    <w:sectPr w:rsidR="00B96FA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A1"/>
    <w:rsid w:val="002342FF"/>
    <w:rsid w:val="002D4DA1"/>
    <w:rsid w:val="002D6D1D"/>
    <w:rsid w:val="00361B57"/>
    <w:rsid w:val="00394446"/>
    <w:rsid w:val="00700A3C"/>
    <w:rsid w:val="00835A4F"/>
    <w:rsid w:val="008B2F49"/>
    <w:rsid w:val="00903A71"/>
    <w:rsid w:val="00B96FA1"/>
    <w:rsid w:val="00C34806"/>
    <w:rsid w:val="00DA0057"/>
    <w:rsid w:val="11F8571C"/>
    <w:rsid w:val="63FB399E"/>
    <w:rsid w:val="7852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EB36C"/>
  <w15:docId w15:val="{48E7BB35-3C9D-46AB-8A36-C11020A0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1"/>
    <w:unhideWhenUsed/>
    <w:qFormat/>
    <w:rPr>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qFormat/>
    <w:rPr>
      <w:color w:val="467886"/>
      <w:u w:val="single"/>
    </w:rPr>
  </w:style>
  <w:style w:type="character" w:styleId="af1">
    <w:name w:val="annotation reference"/>
    <w:uiPriority w:val="99"/>
    <w:unhideWhenUsed/>
    <w:qFormat/>
    <w:rPr>
      <w:sz w:val="21"/>
      <w:szCs w:val="21"/>
    </w:rPr>
  </w:style>
  <w:style w:type="character" w:customStyle="1" w:styleId="a9">
    <w:name w:val="页脚 字符"/>
    <w:link w:val="a8"/>
    <w:uiPriority w:val="99"/>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10">
    <w:name w:val="未处理的提及1"/>
    <w:uiPriority w:val="99"/>
    <w:unhideWhenUsed/>
    <w:qFormat/>
    <w:rPr>
      <w:color w:val="605E5C"/>
      <w:shd w:val="clear" w:color="auto" w:fill="E1DFDD"/>
    </w:rPr>
  </w:style>
  <w:style w:type="character" w:customStyle="1" w:styleId="ab">
    <w:name w:val="页眉 字符"/>
    <w:link w:val="aa"/>
    <w:uiPriority w:val="99"/>
    <w:qFormat/>
    <w:rPr>
      <w:kern w:val="2"/>
      <w:sz w:val="18"/>
      <w:szCs w:val="18"/>
    </w:rPr>
  </w:style>
  <w:style w:type="character" w:customStyle="1" w:styleId="ae">
    <w:name w:val="批注主题 字符"/>
    <w:link w:val="ad"/>
    <w:uiPriority w:val="99"/>
    <w:semiHidden/>
    <w:qFormat/>
    <w:rPr>
      <w:b/>
      <w:bCs/>
      <w:kern w:val="2"/>
      <w:sz w:val="21"/>
      <w:szCs w:val="22"/>
    </w:rPr>
  </w:style>
  <w:style w:type="character" w:customStyle="1" w:styleId="a7">
    <w:name w:val="批注框文本 字符"/>
    <w:link w:val="a6"/>
    <w:uiPriority w:val="99"/>
    <w:semiHidden/>
    <w:qFormat/>
    <w:rPr>
      <w:kern w:val="2"/>
      <w:sz w:val="18"/>
      <w:szCs w:val="18"/>
    </w:rPr>
  </w:style>
  <w:style w:type="paragraph" w:customStyle="1" w:styleId="11">
    <w:name w:val="修订1"/>
    <w:uiPriority w:val="99"/>
    <w:unhideWhenUsed/>
    <w:qFormat/>
    <w:rPr>
      <w:kern w:val="2"/>
      <w:sz w:val="21"/>
      <w:szCs w:val="22"/>
    </w:rPr>
  </w:style>
  <w:style w:type="paragraph" w:customStyle="1" w:styleId="12">
    <w:name w:val="列表段落1"/>
    <w:basedOn w:val="a"/>
    <w:uiPriority w:val="99"/>
    <w:qFormat/>
    <w:pPr>
      <w:ind w:firstLineChars="200" w:firstLine="420"/>
    </w:pPr>
  </w:style>
  <w:style w:type="paragraph" w:customStyle="1" w:styleId="Style6">
    <w:name w:val="_Style 6"/>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小商品城投资者关系活动记录表（20250620）</dc:title>
  <dc:creator>余懿</dc:creator>
  <cp:lastModifiedBy>Nail He</cp:lastModifiedBy>
  <cp:revision>19</cp:revision>
  <dcterms:created xsi:type="dcterms:W3CDTF">2025-04-14T05:24:00Z</dcterms:created>
  <dcterms:modified xsi:type="dcterms:W3CDTF">2025-06-20T07:14:00Z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FF486A6D907449C19E38EB3492FD3B02_13</vt:lpwstr>
  </property>
  <property fmtid="{D5CDD505-2E9C-101B-9397-08002B2CF9AE}" pid="4" name="KSOTemplateDocerSaveRecord">
    <vt:lpwstr>eyJoZGlkIjoiNzI1YjE4OTI0MGI4NWYzNGE1MzcyM2FkZWJlMWU4YWUiLCJ1c2VySWQiOiIxMjE5Mjc0MTQ1In0=</vt:lpwstr>
  </property>
</Properties>
</file>