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7D60" w14:textId="77777777" w:rsidR="001925D8" w:rsidRDefault="00000000">
      <w:pPr>
        <w:pStyle w:val="a4"/>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7217F422" w14:textId="77777777" w:rsidR="001925D8" w:rsidRDefault="00000000">
      <w:pPr>
        <w:pStyle w:val="a4"/>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7833DA00" w14:textId="77777777" w:rsidR="001925D8" w:rsidRDefault="001925D8">
      <w:pPr>
        <w:pStyle w:val="a4"/>
        <w:spacing w:before="1" w:line="480" w:lineRule="exact"/>
        <w:ind w:left="0" w:right="453"/>
        <w:rPr>
          <w:rFonts w:hint="eastAsia"/>
          <w:b/>
        </w:rPr>
      </w:pPr>
    </w:p>
    <w:p w14:paraId="13D2A4FC" w14:textId="77777777" w:rsidR="001925D8" w:rsidRDefault="00000000">
      <w:pPr>
        <w:pStyle w:val="a4"/>
        <w:spacing w:before="1" w:line="48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59ACE4DC" w14:textId="77777777" w:rsidR="001925D8" w:rsidRDefault="00000000">
      <w:pPr>
        <w:pStyle w:val="a4"/>
        <w:spacing w:before="1" w:line="480" w:lineRule="exact"/>
        <w:ind w:right="453" w:firstLine="479"/>
        <w:jc w:val="center"/>
        <w:rPr>
          <w:rFonts w:hint="eastAsia"/>
          <w:b/>
          <w:bCs/>
          <w:sz w:val="36"/>
          <w:szCs w:val="36"/>
        </w:rPr>
      </w:pPr>
      <w:r>
        <w:rPr>
          <w:b/>
          <w:bCs/>
          <w:sz w:val="36"/>
          <w:szCs w:val="36"/>
        </w:rPr>
        <w:t>投资者关系活动记录表</w:t>
      </w:r>
    </w:p>
    <w:p w14:paraId="566268F4" w14:textId="77777777" w:rsidR="001925D8" w:rsidRDefault="001925D8">
      <w:pPr>
        <w:tabs>
          <w:tab w:val="left" w:pos="6306"/>
        </w:tabs>
        <w:spacing w:before="74" w:line="480" w:lineRule="exact"/>
        <w:rPr>
          <w:rFonts w:eastAsia="等线" w:hint="eastAsia"/>
          <w:b/>
          <w:bCs/>
          <w:sz w:val="21"/>
          <w:szCs w:val="21"/>
        </w:rPr>
      </w:pPr>
    </w:p>
    <w:tbl>
      <w:tblPr>
        <w:tblW w:w="6365"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565"/>
        <w:gridCol w:w="2532"/>
        <w:gridCol w:w="2663"/>
        <w:gridCol w:w="2775"/>
      </w:tblGrid>
      <w:tr w:rsidR="001925D8" w14:paraId="6C763376" w14:textId="77777777">
        <w:trPr>
          <w:trHeight w:val="1161"/>
          <w:jc w:val="center"/>
        </w:trPr>
        <w:tc>
          <w:tcPr>
            <w:tcW w:w="1217" w:type="pct"/>
            <w:tcBorders>
              <w:bottom w:val="single" w:sz="6" w:space="0" w:color="000000"/>
              <w:right w:val="single" w:sz="6" w:space="0" w:color="000000"/>
            </w:tcBorders>
            <w:vAlign w:val="center"/>
          </w:tcPr>
          <w:p w14:paraId="0937FD25" w14:textId="77777777" w:rsidR="001925D8" w:rsidRDefault="00000000">
            <w:pPr>
              <w:pStyle w:val="TableParagraph"/>
              <w:spacing w:line="480" w:lineRule="exact"/>
              <w:ind w:firstLineChars="100" w:firstLine="221"/>
              <w:rPr>
                <w:rFonts w:hint="eastAsia"/>
                <w:b/>
                <w:bCs/>
              </w:rPr>
            </w:pPr>
            <w:r>
              <w:rPr>
                <w:rFonts w:hint="eastAsia"/>
                <w:b/>
                <w:bCs/>
              </w:rPr>
              <w:t>投资者关系活动类别</w:t>
            </w:r>
          </w:p>
        </w:tc>
        <w:tc>
          <w:tcPr>
            <w:tcW w:w="1201" w:type="pct"/>
            <w:tcBorders>
              <w:left w:val="single" w:sz="6" w:space="0" w:color="000000"/>
              <w:bottom w:val="single" w:sz="6" w:space="0" w:color="000000"/>
              <w:right w:val="nil"/>
            </w:tcBorders>
          </w:tcPr>
          <w:p w14:paraId="27832B7E" w14:textId="77777777" w:rsidR="001925D8" w:rsidRDefault="00000000">
            <w:pPr>
              <w:pStyle w:val="TableParagraph"/>
              <w:spacing w:line="480" w:lineRule="exact"/>
              <w:rPr>
                <w:rFonts w:hint="eastAsia"/>
              </w:rPr>
            </w:pPr>
            <w:r>
              <w:sym w:font="Wingdings 2" w:char="00A3"/>
            </w:r>
            <w:r>
              <w:t xml:space="preserve">特定对象调研 </w:t>
            </w:r>
          </w:p>
          <w:p w14:paraId="19E1EDA0" w14:textId="77777777" w:rsidR="001925D8" w:rsidRDefault="00000000">
            <w:pPr>
              <w:pStyle w:val="TableParagraph"/>
              <w:spacing w:line="480" w:lineRule="exact"/>
              <w:rPr>
                <w:rFonts w:hint="eastAsia"/>
              </w:rPr>
            </w:pPr>
            <w:r>
              <w:sym w:font="Wingdings 2" w:char="00A3"/>
            </w:r>
            <w:r>
              <w:t xml:space="preserve">业绩说明会 </w:t>
            </w:r>
          </w:p>
          <w:p w14:paraId="594CD914" w14:textId="77777777" w:rsidR="001925D8" w:rsidRDefault="00000000">
            <w:pPr>
              <w:pStyle w:val="TableParagraph"/>
              <w:spacing w:line="480" w:lineRule="exact"/>
              <w:rPr>
                <w:rFonts w:hint="eastAsia"/>
              </w:rPr>
            </w:pPr>
            <w:r>
              <w:sym w:font="Wingdings 2" w:char="0052"/>
            </w:r>
            <w:r>
              <w:t xml:space="preserve">现场参观 </w:t>
            </w:r>
          </w:p>
        </w:tc>
        <w:tc>
          <w:tcPr>
            <w:tcW w:w="1264" w:type="pct"/>
            <w:tcBorders>
              <w:left w:val="nil"/>
              <w:bottom w:val="single" w:sz="6" w:space="0" w:color="000000"/>
              <w:right w:val="nil"/>
            </w:tcBorders>
          </w:tcPr>
          <w:p w14:paraId="4048AE7B" w14:textId="77777777" w:rsidR="001925D8" w:rsidRDefault="00000000">
            <w:pPr>
              <w:pStyle w:val="TableParagraph"/>
              <w:spacing w:line="480" w:lineRule="exact"/>
              <w:rPr>
                <w:rFonts w:hint="eastAsia"/>
              </w:rPr>
            </w:pPr>
            <w:r>
              <w:sym w:font="Wingdings 2" w:char="0052"/>
            </w:r>
            <w:r>
              <w:t xml:space="preserve">分析师会议 </w:t>
            </w:r>
          </w:p>
          <w:p w14:paraId="5D5800CE" w14:textId="77777777" w:rsidR="001925D8" w:rsidRDefault="00000000">
            <w:pPr>
              <w:pStyle w:val="TableParagraph"/>
              <w:spacing w:line="480" w:lineRule="exact"/>
              <w:rPr>
                <w:rFonts w:hint="eastAsia"/>
              </w:rPr>
            </w:pPr>
            <w:r>
              <w:t xml:space="preserve">□新闻发布会 </w:t>
            </w:r>
          </w:p>
          <w:p w14:paraId="1A741E90" w14:textId="77777777" w:rsidR="001925D8" w:rsidRDefault="00000000">
            <w:pPr>
              <w:pStyle w:val="TableParagraph"/>
              <w:spacing w:line="480" w:lineRule="exact"/>
              <w:rPr>
                <w:rFonts w:hint="eastAsia"/>
                <w:lang w:val="en-US"/>
              </w:rPr>
            </w:pPr>
            <w:r>
              <w:sym w:font="Wingdings 2" w:char="0052"/>
            </w:r>
            <w:r>
              <w:t>其他</w:t>
            </w:r>
            <w:r>
              <w:rPr>
                <w:rFonts w:hint="eastAsia"/>
              </w:rPr>
              <w:t>（</w:t>
            </w:r>
            <w:r>
              <w:rPr>
                <w:rFonts w:hint="eastAsia"/>
                <w:lang w:val="en-US"/>
              </w:rPr>
              <w:t>券商策略会、</w:t>
            </w:r>
          </w:p>
          <w:p w14:paraId="1C235BFD" w14:textId="77777777" w:rsidR="001925D8" w:rsidRDefault="00000000">
            <w:pPr>
              <w:pStyle w:val="TableParagraph"/>
              <w:spacing w:line="480" w:lineRule="exact"/>
              <w:rPr>
                <w:rFonts w:hint="eastAsia"/>
                <w:lang w:val="en-US"/>
              </w:rPr>
            </w:pPr>
            <w:proofErr w:type="gramStart"/>
            <w:r>
              <w:rPr>
                <w:rFonts w:hint="eastAsia"/>
                <w:lang w:val="en-US"/>
              </w:rPr>
              <w:t>反路演</w:t>
            </w:r>
            <w:proofErr w:type="gramEnd"/>
            <w:r>
              <w:rPr>
                <w:rFonts w:hint="eastAsia"/>
                <w:lang w:val="en-US"/>
              </w:rPr>
              <w:t>活动、电话会议</w:t>
            </w:r>
            <w:r>
              <w:rPr>
                <w:rFonts w:hint="eastAsia"/>
              </w:rPr>
              <w:t>）</w:t>
            </w:r>
            <w:r>
              <w:rPr>
                <w:rFonts w:hint="eastAsia"/>
                <w:lang w:val="en-US"/>
              </w:rPr>
              <w:t xml:space="preserve">       </w:t>
            </w:r>
          </w:p>
        </w:tc>
        <w:tc>
          <w:tcPr>
            <w:tcW w:w="1317" w:type="pct"/>
            <w:tcBorders>
              <w:left w:val="nil"/>
              <w:bottom w:val="single" w:sz="6" w:space="0" w:color="000000"/>
            </w:tcBorders>
          </w:tcPr>
          <w:p w14:paraId="6968F6C6" w14:textId="77777777" w:rsidR="001925D8" w:rsidRDefault="00000000">
            <w:pPr>
              <w:pStyle w:val="TableParagraph"/>
              <w:spacing w:line="480" w:lineRule="exact"/>
              <w:rPr>
                <w:rFonts w:hint="eastAsia"/>
              </w:rPr>
            </w:pPr>
            <w:r>
              <w:sym w:font="Wingdings 2" w:char="00A3"/>
            </w:r>
            <w:r>
              <w:t>媒</w:t>
            </w:r>
            <w:r>
              <w:rPr>
                <w:rFonts w:hint="eastAsia"/>
              </w:rPr>
              <w:t>体采访</w:t>
            </w:r>
          </w:p>
          <w:p w14:paraId="382D6AEA" w14:textId="77777777" w:rsidR="001925D8" w:rsidRDefault="00000000">
            <w:pPr>
              <w:pStyle w:val="TableParagraph"/>
              <w:spacing w:line="480" w:lineRule="exact"/>
              <w:rPr>
                <w:rFonts w:hint="eastAsia"/>
                <w:lang w:val="en-US"/>
              </w:rPr>
            </w:pPr>
            <w:r>
              <w:sym w:font="Wingdings 2" w:char="00A3"/>
            </w:r>
            <w:r>
              <w:t>路</w:t>
            </w:r>
            <w:r>
              <w:rPr>
                <w:rFonts w:hint="eastAsia"/>
              </w:rPr>
              <w:t>演</w:t>
            </w:r>
            <w:r>
              <w:t xml:space="preserve">活动 </w:t>
            </w:r>
          </w:p>
          <w:p w14:paraId="5E378F1C" w14:textId="77777777" w:rsidR="001925D8" w:rsidRDefault="001925D8">
            <w:pPr>
              <w:pStyle w:val="TableParagraph"/>
              <w:spacing w:line="480" w:lineRule="exact"/>
              <w:rPr>
                <w:rFonts w:hint="eastAsia"/>
              </w:rPr>
            </w:pPr>
          </w:p>
        </w:tc>
      </w:tr>
      <w:tr w:rsidR="001925D8" w14:paraId="1385343A" w14:textId="77777777">
        <w:trPr>
          <w:trHeight w:val="565"/>
          <w:jc w:val="center"/>
        </w:trPr>
        <w:tc>
          <w:tcPr>
            <w:tcW w:w="1217" w:type="pct"/>
            <w:tcBorders>
              <w:top w:val="single" w:sz="6" w:space="0" w:color="000000"/>
              <w:bottom w:val="single" w:sz="6" w:space="0" w:color="000000"/>
              <w:right w:val="single" w:sz="6" w:space="0" w:color="000000"/>
            </w:tcBorders>
            <w:vAlign w:val="center"/>
          </w:tcPr>
          <w:p w14:paraId="4F1E156F" w14:textId="77777777" w:rsidR="001925D8" w:rsidRDefault="00000000">
            <w:pPr>
              <w:pStyle w:val="TableParagraph"/>
              <w:spacing w:line="480" w:lineRule="exact"/>
              <w:ind w:firstLineChars="100" w:firstLine="221"/>
              <w:rPr>
                <w:rFonts w:hint="eastAsia"/>
                <w:b/>
                <w:bCs/>
              </w:rPr>
            </w:pPr>
            <w:r>
              <w:rPr>
                <w:rFonts w:hint="eastAsia"/>
                <w:b/>
                <w:bCs/>
              </w:rPr>
              <w:t>参与单位</w:t>
            </w:r>
          </w:p>
        </w:tc>
        <w:tc>
          <w:tcPr>
            <w:tcW w:w="3782" w:type="pct"/>
            <w:gridSpan w:val="3"/>
            <w:tcBorders>
              <w:top w:val="single" w:sz="6" w:space="0" w:color="000000"/>
              <w:left w:val="single" w:sz="6" w:space="0" w:color="000000"/>
              <w:bottom w:val="single" w:sz="6" w:space="0" w:color="000000"/>
            </w:tcBorders>
            <w:vAlign w:val="center"/>
          </w:tcPr>
          <w:p w14:paraId="1809FF2A" w14:textId="77777777" w:rsidR="001925D8" w:rsidRDefault="00000000">
            <w:pPr>
              <w:pStyle w:val="TableParagraph"/>
              <w:spacing w:line="460" w:lineRule="exact"/>
              <w:ind w:right="227"/>
              <w:jc w:val="both"/>
              <w:rPr>
                <w:rFonts w:hint="eastAsia"/>
                <w:lang w:val="en-US"/>
              </w:rPr>
            </w:pPr>
            <w:r>
              <w:rPr>
                <w:rFonts w:hint="eastAsia"/>
                <w:lang w:val="en-US"/>
              </w:rPr>
              <w:t>中信证券、中金公司、华泰证券、长江证券、申万宏源、广发证券、国联民生、国盛证券、兴业证券、开源证券、华西证券、西部证券、华源证券、方正证券、国泰海通、南京证券、国新证券、银华基金、摩根基金、华夏基金、金鹰基金、博时基金、嘉实基金、国泰基金、中</w:t>
            </w:r>
            <w:proofErr w:type="gramStart"/>
            <w:r>
              <w:rPr>
                <w:rFonts w:hint="eastAsia"/>
                <w:lang w:val="en-US"/>
              </w:rPr>
              <w:t>睿</w:t>
            </w:r>
            <w:proofErr w:type="gramEnd"/>
            <w:r>
              <w:rPr>
                <w:rFonts w:hint="eastAsia"/>
                <w:lang w:val="en-US"/>
              </w:rPr>
              <w:t>合银、宏利基金、长盛基金、</w:t>
            </w:r>
            <w:proofErr w:type="gramStart"/>
            <w:r>
              <w:rPr>
                <w:rFonts w:hint="eastAsia"/>
                <w:lang w:val="en-US"/>
              </w:rPr>
              <w:t>天弘基金</w:t>
            </w:r>
            <w:proofErr w:type="gramEnd"/>
            <w:r>
              <w:rPr>
                <w:rFonts w:hint="eastAsia"/>
                <w:lang w:val="en-US"/>
              </w:rPr>
              <w:t>、四川发展证券基金、</w:t>
            </w:r>
            <w:proofErr w:type="gramStart"/>
            <w:r>
              <w:rPr>
                <w:rFonts w:hint="eastAsia"/>
                <w:lang w:val="en-US"/>
              </w:rPr>
              <w:t>工银瑞信</w:t>
            </w:r>
            <w:proofErr w:type="gramEnd"/>
            <w:r>
              <w:rPr>
                <w:rFonts w:hint="eastAsia"/>
                <w:lang w:val="en-US"/>
              </w:rPr>
              <w:t>基金、工银安</w:t>
            </w:r>
            <w:proofErr w:type="gramStart"/>
            <w:r>
              <w:rPr>
                <w:rFonts w:hint="eastAsia"/>
                <w:lang w:val="en-US"/>
              </w:rPr>
              <w:t>盛资管</w:t>
            </w:r>
            <w:proofErr w:type="gramEnd"/>
            <w:r>
              <w:rPr>
                <w:rFonts w:hint="eastAsia"/>
                <w:lang w:val="en-US"/>
              </w:rPr>
              <w:t>、交银施罗德基金、华泰资管、易方达基金、华泰柏瑞基金、前海云溪基金、</w:t>
            </w:r>
            <w:proofErr w:type="gramStart"/>
            <w:r>
              <w:rPr>
                <w:rFonts w:hint="eastAsia"/>
                <w:lang w:val="en-US"/>
              </w:rPr>
              <w:t>汇添富</w:t>
            </w:r>
            <w:proofErr w:type="gramEnd"/>
            <w:r>
              <w:rPr>
                <w:rFonts w:hint="eastAsia"/>
                <w:lang w:val="en-US"/>
              </w:rPr>
              <w:t>基金、中信证金、海富通基金、汇</w:t>
            </w:r>
            <w:proofErr w:type="gramStart"/>
            <w:r>
              <w:rPr>
                <w:rFonts w:hint="eastAsia"/>
                <w:lang w:val="en-US"/>
              </w:rPr>
              <w:t>丰晋信</w:t>
            </w:r>
            <w:proofErr w:type="gramEnd"/>
            <w:r>
              <w:rPr>
                <w:rFonts w:hint="eastAsia"/>
                <w:lang w:val="en-US"/>
              </w:rPr>
              <w:t>基金、</w:t>
            </w:r>
            <w:proofErr w:type="gramStart"/>
            <w:r>
              <w:rPr>
                <w:rFonts w:hint="eastAsia"/>
                <w:lang w:val="en-US"/>
              </w:rPr>
              <w:t>上海合远基金</w:t>
            </w:r>
            <w:proofErr w:type="gramEnd"/>
            <w:r>
              <w:rPr>
                <w:rFonts w:hint="eastAsia"/>
                <w:lang w:val="en-US"/>
              </w:rPr>
              <w:t>、东方基金、宏利基金、中银基金、上银基金、华商基金、</w:t>
            </w:r>
            <w:proofErr w:type="gramStart"/>
            <w:r>
              <w:rPr>
                <w:rFonts w:hint="eastAsia"/>
                <w:lang w:val="en-US"/>
              </w:rPr>
              <w:t>泰信基金</w:t>
            </w:r>
            <w:proofErr w:type="gramEnd"/>
            <w:r>
              <w:rPr>
                <w:rFonts w:hint="eastAsia"/>
                <w:lang w:val="en-US"/>
              </w:rPr>
              <w:t>、民生加银基金、国源信达资本、</w:t>
            </w:r>
            <w:proofErr w:type="gramStart"/>
            <w:r>
              <w:rPr>
                <w:rFonts w:hint="eastAsia"/>
                <w:lang w:val="en-US"/>
              </w:rPr>
              <w:t>泉果基金</w:t>
            </w:r>
            <w:proofErr w:type="gramEnd"/>
            <w:r>
              <w:rPr>
                <w:rFonts w:hint="eastAsia"/>
                <w:lang w:val="en-US"/>
              </w:rPr>
              <w:t>、源峰私募、</w:t>
            </w:r>
          </w:p>
          <w:p w14:paraId="632C8914" w14:textId="77777777" w:rsidR="001925D8" w:rsidRDefault="00000000">
            <w:pPr>
              <w:pStyle w:val="TableParagraph"/>
              <w:spacing w:line="460" w:lineRule="exact"/>
              <w:ind w:right="227"/>
              <w:jc w:val="both"/>
              <w:rPr>
                <w:rFonts w:hint="eastAsia"/>
                <w:lang w:val="en-US"/>
              </w:rPr>
            </w:pPr>
            <w:r>
              <w:rPr>
                <w:rFonts w:hint="eastAsia"/>
                <w:lang w:val="en-US"/>
              </w:rPr>
              <w:t>新疆前海联合基金、财通基金、兴全基金、万家基金、拾贝投资、杭银理财、</w:t>
            </w:r>
          </w:p>
          <w:p w14:paraId="62C270B2" w14:textId="77777777" w:rsidR="001925D8" w:rsidRDefault="00000000">
            <w:pPr>
              <w:pStyle w:val="TableParagraph"/>
              <w:spacing w:line="460" w:lineRule="exact"/>
              <w:ind w:right="227"/>
              <w:jc w:val="both"/>
              <w:rPr>
                <w:rFonts w:hint="eastAsia"/>
                <w:lang w:val="en-US"/>
              </w:rPr>
            </w:pPr>
            <w:r>
              <w:rPr>
                <w:rFonts w:hint="eastAsia"/>
                <w:lang w:val="en-US"/>
              </w:rPr>
              <w:t>财</w:t>
            </w:r>
            <w:proofErr w:type="gramStart"/>
            <w:r>
              <w:rPr>
                <w:rFonts w:hint="eastAsia"/>
                <w:lang w:val="en-US"/>
              </w:rPr>
              <w:t>通资管</w:t>
            </w:r>
            <w:proofErr w:type="gramEnd"/>
            <w:r>
              <w:rPr>
                <w:rFonts w:hint="eastAsia"/>
                <w:lang w:val="en-US"/>
              </w:rPr>
              <w:t>、泰康资产、</w:t>
            </w:r>
            <w:proofErr w:type="gramStart"/>
            <w:r>
              <w:rPr>
                <w:rFonts w:hint="eastAsia"/>
                <w:lang w:val="en-US"/>
              </w:rPr>
              <w:t>远策投资</w:t>
            </w:r>
            <w:proofErr w:type="gramEnd"/>
            <w:r>
              <w:rPr>
                <w:rFonts w:hint="eastAsia"/>
                <w:lang w:val="en-US"/>
              </w:rPr>
              <w:t>、星石投资、</w:t>
            </w:r>
            <w:proofErr w:type="gramStart"/>
            <w:r>
              <w:rPr>
                <w:rFonts w:hint="eastAsia"/>
                <w:lang w:val="en-US"/>
              </w:rPr>
              <w:t>泓澄投资</w:t>
            </w:r>
            <w:proofErr w:type="gramEnd"/>
            <w:r>
              <w:rPr>
                <w:rFonts w:hint="eastAsia"/>
                <w:lang w:val="en-US"/>
              </w:rPr>
              <w:t>、</w:t>
            </w:r>
            <w:proofErr w:type="gramStart"/>
            <w:r>
              <w:rPr>
                <w:rFonts w:hint="eastAsia"/>
                <w:lang w:val="en-US"/>
              </w:rPr>
              <w:t>泓德基金</w:t>
            </w:r>
            <w:proofErr w:type="gramEnd"/>
            <w:r>
              <w:rPr>
                <w:rFonts w:hint="eastAsia"/>
                <w:lang w:val="en-US"/>
              </w:rPr>
              <w:t>、玄卜投资、海</w:t>
            </w:r>
            <w:proofErr w:type="gramStart"/>
            <w:r>
              <w:rPr>
                <w:rFonts w:hint="eastAsia"/>
                <w:lang w:val="en-US"/>
              </w:rPr>
              <w:t>通资管</w:t>
            </w:r>
            <w:proofErr w:type="gramEnd"/>
            <w:r>
              <w:rPr>
                <w:rFonts w:hint="eastAsia"/>
                <w:lang w:val="en-US"/>
              </w:rPr>
              <w:t>、丹羿投资、凯丰投资、大家资产、勤辰私募、中邮基金、</w:t>
            </w:r>
            <w:proofErr w:type="gramStart"/>
            <w:r>
              <w:rPr>
                <w:rFonts w:hint="eastAsia"/>
                <w:lang w:val="en-US"/>
              </w:rPr>
              <w:t>鹏扬基金</w:t>
            </w:r>
            <w:proofErr w:type="gramEnd"/>
            <w:r>
              <w:rPr>
                <w:rFonts w:hint="eastAsia"/>
                <w:lang w:val="en-US"/>
              </w:rPr>
              <w:t>、</w:t>
            </w:r>
            <w:proofErr w:type="gramStart"/>
            <w:r>
              <w:rPr>
                <w:rFonts w:hint="eastAsia"/>
                <w:lang w:val="en-US"/>
              </w:rPr>
              <w:t>浙商基金</w:t>
            </w:r>
            <w:proofErr w:type="gramEnd"/>
            <w:r>
              <w:rPr>
                <w:rFonts w:hint="eastAsia"/>
                <w:lang w:val="en-US"/>
              </w:rPr>
              <w:t>、新华基金、数联投资、五</w:t>
            </w:r>
            <w:proofErr w:type="gramStart"/>
            <w:r>
              <w:rPr>
                <w:rFonts w:hint="eastAsia"/>
                <w:lang w:val="en-US"/>
              </w:rPr>
              <w:t>矿证券</w:t>
            </w:r>
            <w:proofErr w:type="gramEnd"/>
            <w:r>
              <w:rPr>
                <w:rFonts w:hint="eastAsia"/>
                <w:lang w:val="en-US"/>
              </w:rPr>
              <w:t>自营、华泰保兴基金、永安国富、</w:t>
            </w:r>
          </w:p>
          <w:p w14:paraId="1BECBAB2" w14:textId="77777777" w:rsidR="001925D8" w:rsidRDefault="00000000">
            <w:pPr>
              <w:pStyle w:val="TableParagraph"/>
              <w:spacing w:line="460" w:lineRule="exact"/>
              <w:ind w:right="227"/>
              <w:jc w:val="both"/>
              <w:rPr>
                <w:rFonts w:hint="eastAsia"/>
                <w:lang w:val="en-US"/>
              </w:rPr>
            </w:pPr>
            <w:proofErr w:type="gramStart"/>
            <w:r>
              <w:rPr>
                <w:rFonts w:hint="eastAsia"/>
                <w:lang w:val="en-US"/>
              </w:rPr>
              <w:t>泽源资产</w:t>
            </w:r>
            <w:proofErr w:type="gramEnd"/>
            <w:r>
              <w:rPr>
                <w:rFonts w:hint="eastAsia"/>
                <w:lang w:val="en-US"/>
              </w:rPr>
              <w:t>、上海万丰、鹏华基金、银叶投资、华安基金、华能信托、相生资产、由</w:t>
            </w:r>
            <w:proofErr w:type="gramStart"/>
            <w:r>
              <w:rPr>
                <w:rFonts w:hint="eastAsia"/>
                <w:lang w:val="en-US"/>
              </w:rPr>
              <w:t>榕</w:t>
            </w:r>
            <w:proofErr w:type="gramEnd"/>
            <w:r>
              <w:rPr>
                <w:rFonts w:hint="eastAsia"/>
                <w:lang w:val="en-US"/>
              </w:rPr>
              <w:t>资产、中道投资、明溪资产、西部利得基金、湖北交投基金、海富通基金、农银汇理基金、</w:t>
            </w:r>
            <w:proofErr w:type="gramStart"/>
            <w:r>
              <w:rPr>
                <w:rFonts w:hint="eastAsia"/>
                <w:lang w:val="en-US"/>
              </w:rPr>
              <w:t>圆信永丰</w:t>
            </w:r>
            <w:proofErr w:type="gramEnd"/>
            <w:r>
              <w:rPr>
                <w:rFonts w:hint="eastAsia"/>
                <w:lang w:val="en-US"/>
              </w:rPr>
              <w:t>基金、平安养老、太平养老、昆仑健康险、</w:t>
            </w:r>
            <w:proofErr w:type="gramStart"/>
            <w:r>
              <w:rPr>
                <w:rFonts w:hint="eastAsia"/>
                <w:lang w:val="en-US"/>
              </w:rPr>
              <w:t>信达转债</w:t>
            </w:r>
            <w:proofErr w:type="gramEnd"/>
            <w:r>
              <w:rPr>
                <w:rFonts w:hint="eastAsia"/>
                <w:lang w:val="en-US"/>
              </w:rPr>
              <w:t>、中银</w:t>
            </w:r>
            <w:proofErr w:type="gramStart"/>
            <w:r>
              <w:rPr>
                <w:rFonts w:hint="eastAsia"/>
                <w:lang w:val="en-US"/>
              </w:rPr>
              <w:t>睿</w:t>
            </w:r>
            <w:proofErr w:type="gramEnd"/>
            <w:r>
              <w:rPr>
                <w:rFonts w:hint="eastAsia"/>
                <w:lang w:val="en-US"/>
              </w:rPr>
              <w:t>合投资、东吴人寿保险、平安健康保险、紫金矿业投资、浙江省土产许昌进出口集团有限公司（以上排名不分先后）</w:t>
            </w:r>
          </w:p>
          <w:p w14:paraId="35A00EBE" w14:textId="77777777" w:rsidR="001925D8" w:rsidRDefault="00000000">
            <w:pPr>
              <w:pStyle w:val="TableParagraph"/>
              <w:spacing w:line="460" w:lineRule="exact"/>
              <w:ind w:right="227"/>
              <w:jc w:val="both"/>
              <w:rPr>
                <w:rFonts w:hint="eastAsia"/>
                <w:b/>
                <w:bCs/>
                <w:lang w:val="en-US"/>
              </w:rPr>
            </w:pPr>
            <w:r>
              <w:rPr>
                <w:rFonts w:hint="eastAsia"/>
                <w:b/>
                <w:bCs/>
                <w:lang w:val="en-US"/>
              </w:rPr>
              <w:t>重要提示：参与单位由组织机构整理提供，鉴于参与单位数量较多，公司无法</w:t>
            </w:r>
          </w:p>
          <w:p w14:paraId="41949B9F" w14:textId="77777777" w:rsidR="001925D8" w:rsidRDefault="00000000">
            <w:pPr>
              <w:pStyle w:val="TableParagraph"/>
              <w:spacing w:line="460" w:lineRule="exact"/>
              <w:ind w:right="227"/>
              <w:jc w:val="both"/>
              <w:rPr>
                <w:rFonts w:hint="eastAsia"/>
                <w:lang w:val="en-US"/>
              </w:rPr>
            </w:pPr>
            <w:r>
              <w:rPr>
                <w:rFonts w:hint="eastAsia"/>
                <w:b/>
                <w:bCs/>
                <w:lang w:val="en-US"/>
              </w:rPr>
              <w:t>完全保证参与单位的完整性、准确性，敬请投资者特别注意。</w:t>
            </w:r>
          </w:p>
        </w:tc>
      </w:tr>
      <w:tr w:rsidR="001925D8" w14:paraId="045DFB99" w14:textId="77777777">
        <w:trPr>
          <w:trHeight w:val="748"/>
          <w:jc w:val="center"/>
        </w:trPr>
        <w:tc>
          <w:tcPr>
            <w:tcW w:w="1217" w:type="pct"/>
            <w:tcBorders>
              <w:top w:val="single" w:sz="6" w:space="0" w:color="000000"/>
              <w:bottom w:val="single" w:sz="6" w:space="0" w:color="000000"/>
              <w:right w:val="single" w:sz="6" w:space="0" w:color="000000"/>
            </w:tcBorders>
            <w:vAlign w:val="center"/>
          </w:tcPr>
          <w:p w14:paraId="57DF741E" w14:textId="77777777" w:rsidR="001925D8" w:rsidRDefault="00000000">
            <w:pPr>
              <w:pStyle w:val="TableParagraph"/>
              <w:spacing w:line="480" w:lineRule="exact"/>
              <w:ind w:firstLineChars="100" w:firstLine="221"/>
              <w:rPr>
                <w:rFonts w:hint="eastAsia"/>
                <w:b/>
                <w:bCs/>
              </w:rPr>
            </w:pPr>
            <w:r>
              <w:rPr>
                <w:rFonts w:hint="eastAsia"/>
                <w:b/>
                <w:bCs/>
              </w:rPr>
              <w:lastRenderedPageBreak/>
              <w:t>时间</w:t>
            </w:r>
          </w:p>
        </w:tc>
        <w:tc>
          <w:tcPr>
            <w:tcW w:w="3782" w:type="pct"/>
            <w:gridSpan w:val="3"/>
            <w:tcBorders>
              <w:top w:val="single" w:sz="6" w:space="0" w:color="000000"/>
              <w:left w:val="single" w:sz="6" w:space="0" w:color="000000"/>
              <w:bottom w:val="single" w:sz="6" w:space="0" w:color="000000"/>
            </w:tcBorders>
            <w:vAlign w:val="center"/>
          </w:tcPr>
          <w:p w14:paraId="7F65CF0C" w14:textId="77777777" w:rsidR="001925D8" w:rsidRDefault="00000000">
            <w:pPr>
              <w:pStyle w:val="TableParagraph"/>
              <w:spacing w:line="480" w:lineRule="exact"/>
              <w:rPr>
                <w:rFonts w:hint="eastAsia"/>
                <w:lang w:val="en-US"/>
              </w:rPr>
            </w:pPr>
            <w:r>
              <w:rPr>
                <w:rFonts w:hint="eastAsia"/>
                <w:lang w:val="en-US"/>
              </w:rPr>
              <w:t>2025年5月22日至6月20日</w:t>
            </w:r>
          </w:p>
        </w:tc>
      </w:tr>
      <w:tr w:rsidR="001925D8" w14:paraId="22BD8F32" w14:textId="77777777">
        <w:trPr>
          <w:trHeight w:val="705"/>
          <w:jc w:val="center"/>
        </w:trPr>
        <w:tc>
          <w:tcPr>
            <w:tcW w:w="1217" w:type="pct"/>
            <w:tcBorders>
              <w:top w:val="single" w:sz="6" w:space="0" w:color="000000"/>
              <w:bottom w:val="single" w:sz="6" w:space="0" w:color="000000"/>
              <w:right w:val="single" w:sz="6" w:space="0" w:color="000000"/>
            </w:tcBorders>
            <w:vAlign w:val="center"/>
          </w:tcPr>
          <w:p w14:paraId="7D4E5178" w14:textId="77777777" w:rsidR="001925D8" w:rsidRDefault="00000000">
            <w:pPr>
              <w:pStyle w:val="TableParagraph"/>
              <w:spacing w:line="480" w:lineRule="exact"/>
              <w:ind w:firstLineChars="100" w:firstLine="221"/>
              <w:rPr>
                <w:rFonts w:hint="eastAsia"/>
                <w:b/>
                <w:bCs/>
              </w:rPr>
            </w:pPr>
            <w:r>
              <w:rPr>
                <w:rFonts w:hint="eastAsia"/>
                <w:b/>
                <w:bCs/>
              </w:rPr>
              <w:t>地点</w:t>
            </w:r>
          </w:p>
        </w:tc>
        <w:tc>
          <w:tcPr>
            <w:tcW w:w="3782" w:type="pct"/>
            <w:gridSpan w:val="3"/>
            <w:tcBorders>
              <w:top w:val="single" w:sz="6" w:space="0" w:color="000000"/>
              <w:left w:val="single" w:sz="6" w:space="0" w:color="000000"/>
              <w:bottom w:val="single" w:sz="6" w:space="0" w:color="000000"/>
            </w:tcBorders>
            <w:vAlign w:val="center"/>
          </w:tcPr>
          <w:p w14:paraId="6B039F8E" w14:textId="77777777" w:rsidR="001925D8" w:rsidRDefault="00000000">
            <w:pPr>
              <w:pStyle w:val="TableParagraph"/>
              <w:spacing w:line="480" w:lineRule="exact"/>
              <w:rPr>
                <w:rFonts w:hint="eastAsia"/>
                <w:lang w:val="en-US"/>
              </w:rPr>
            </w:pPr>
            <w:r>
              <w:rPr>
                <w:rFonts w:hint="eastAsia"/>
                <w:lang w:val="en-US"/>
              </w:rPr>
              <w:t>北京、上海、杭州、宁波、成都</w:t>
            </w:r>
          </w:p>
        </w:tc>
      </w:tr>
      <w:tr w:rsidR="001925D8" w14:paraId="1112975F" w14:textId="77777777">
        <w:trPr>
          <w:trHeight w:val="832"/>
          <w:jc w:val="center"/>
        </w:trPr>
        <w:tc>
          <w:tcPr>
            <w:tcW w:w="1217" w:type="pct"/>
            <w:tcBorders>
              <w:top w:val="single" w:sz="6" w:space="0" w:color="000000"/>
              <w:bottom w:val="single" w:sz="6" w:space="0" w:color="000000"/>
              <w:right w:val="single" w:sz="6" w:space="0" w:color="000000"/>
            </w:tcBorders>
            <w:vAlign w:val="center"/>
          </w:tcPr>
          <w:p w14:paraId="5686D060" w14:textId="77777777" w:rsidR="001925D8" w:rsidRDefault="00000000">
            <w:pPr>
              <w:pStyle w:val="TableParagraph"/>
              <w:spacing w:line="480" w:lineRule="exact"/>
              <w:ind w:firstLineChars="100" w:firstLine="221"/>
              <w:rPr>
                <w:rFonts w:hint="eastAsia"/>
                <w:b/>
                <w:bCs/>
              </w:rPr>
            </w:pPr>
            <w:r>
              <w:rPr>
                <w:rFonts w:hint="eastAsia"/>
                <w:b/>
                <w:bCs/>
                <w:lang w:val="en-US"/>
              </w:rPr>
              <w:t>上市</w:t>
            </w:r>
            <w:r>
              <w:rPr>
                <w:rFonts w:hint="eastAsia"/>
                <w:b/>
                <w:bCs/>
              </w:rPr>
              <w:t>公司</w:t>
            </w:r>
          </w:p>
          <w:p w14:paraId="780CF1E2" w14:textId="77777777" w:rsidR="001925D8" w:rsidRDefault="00000000">
            <w:pPr>
              <w:pStyle w:val="TableParagraph"/>
              <w:spacing w:line="480" w:lineRule="exact"/>
              <w:ind w:firstLineChars="100" w:firstLine="221"/>
              <w:rPr>
                <w:rFonts w:hint="eastAsia"/>
                <w:b/>
                <w:bCs/>
              </w:rPr>
            </w:pPr>
            <w:r>
              <w:rPr>
                <w:rFonts w:hint="eastAsia"/>
                <w:b/>
                <w:bCs/>
              </w:rPr>
              <w:t>接待人员姓名</w:t>
            </w:r>
          </w:p>
        </w:tc>
        <w:tc>
          <w:tcPr>
            <w:tcW w:w="3782" w:type="pct"/>
            <w:gridSpan w:val="3"/>
            <w:tcBorders>
              <w:top w:val="single" w:sz="6" w:space="0" w:color="000000"/>
              <w:left w:val="single" w:sz="6" w:space="0" w:color="000000"/>
              <w:bottom w:val="single" w:sz="6" w:space="0" w:color="000000"/>
            </w:tcBorders>
            <w:vAlign w:val="center"/>
          </w:tcPr>
          <w:p w14:paraId="0F54F7AE" w14:textId="77777777" w:rsidR="001925D8" w:rsidRDefault="00000000">
            <w:pPr>
              <w:pStyle w:val="TableParagraph"/>
              <w:spacing w:line="480" w:lineRule="exact"/>
              <w:ind w:right="227"/>
              <w:rPr>
                <w:rFonts w:hint="eastAsia"/>
                <w:lang w:val="en-US"/>
              </w:rPr>
            </w:pPr>
            <w:r>
              <w:rPr>
                <w:rFonts w:hint="eastAsia"/>
              </w:rPr>
              <w:t>董事会秘书：</w:t>
            </w:r>
            <w:r>
              <w:rPr>
                <w:rFonts w:hint="eastAsia"/>
                <w:lang w:val="en-US"/>
              </w:rPr>
              <w:t>张耕</w:t>
            </w:r>
          </w:p>
          <w:p w14:paraId="7708378A" w14:textId="77777777" w:rsidR="001925D8" w:rsidRDefault="00000000">
            <w:pPr>
              <w:pStyle w:val="TableParagraph"/>
              <w:spacing w:line="480" w:lineRule="exact"/>
              <w:ind w:right="227"/>
              <w:rPr>
                <w:rFonts w:hint="eastAsia"/>
                <w:lang w:val="en-US"/>
              </w:rPr>
            </w:pPr>
            <w:r>
              <w:rPr>
                <w:rFonts w:hint="eastAsia"/>
                <w:lang w:val="en-US"/>
              </w:rPr>
              <w:t>副总经理：徐成聪</w:t>
            </w:r>
          </w:p>
          <w:p w14:paraId="68BDE97B" w14:textId="77777777" w:rsidR="001925D8" w:rsidRDefault="00000000">
            <w:pPr>
              <w:pStyle w:val="TableParagraph"/>
              <w:spacing w:line="480" w:lineRule="exact"/>
              <w:ind w:right="227"/>
              <w:rPr>
                <w:rFonts w:hint="eastAsia"/>
                <w:lang w:val="en-US"/>
              </w:rPr>
            </w:pPr>
            <w:r>
              <w:rPr>
                <w:rFonts w:hint="eastAsia"/>
                <w:lang w:val="en-US"/>
              </w:rPr>
              <w:t>证券事务代表：</w:t>
            </w:r>
            <w:proofErr w:type="gramStart"/>
            <w:r>
              <w:rPr>
                <w:rFonts w:hint="eastAsia"/>
                <w:lang w:val="en-US"/>
              </w:rPr>
              <w:t>张诗琪</w:t>
            </w:r>
            <w:proofErr w:type="gramEnd"/>
          </w:p>
        </w:tc>
      </w:tr>
      <w:tr w:rsidR="001925D8" w14:paraId="28E8CB6C" w14:textId="77777777">
        <w:trPr>
          <w:trHeight w:val="569"/>
          <w:jc w:val="center"/>
        </w:trPr>
        <w:tc>
          <w:tcPr>
            <w:tcW w:w="1217" w:type="pct"/>
            <w:tcBorders>
              <w:top w:val="single" w:sz="6" w:space="0" w:color="000000"/>
              <w:bottom w:val="single" w:sz="6" w:space="0" w:color="000000"/>
              <w:right w:val="single" w:sz="6" w:space="0" w:color="000000"/>
            </w:tcBorders>
            <w:vAlign w:val="center"/>
          </w:tcPr>
          <w:p w14:paraId="72A6125C" w14:textId="77777777" w:rsidR="001925D8" w:rsidRDefault="00000000">
            <w:pPr>
              <w:pStyle w:val="TableParagraph"/>
              <w:spacing w:line="480" w:lineRule="exact"/>
              <w:rPr>
                <w:rFonts w:hint="eastAsia"/>
                <w:b/>
                <w:bCs/>
              </w:rPr>
            </w:pPr>
            <w:r>
              <w:rPr>
                <w:rFonts w:hint="eastAsia"/>
                <w:b/>
                <w:bCs/>
                <w:lang w:val="en-US"/>
              </w:rPr>
              <w:t xml:space="preserve">  </w:t>
            </w:r>
            <w:r>
              <w:rPr>
                <w:rFonts w:hint="eastAsia"/>
                <w:b/>
                <w:bCs/>
              </w:rPr>
              <w:t>投资者关系活动</w:t>
            </w:r>
          </w:p>
          <w:p w14:paraId="14DA878F" w14:textId="77777777" w:rsidR="001925D8" w:rsidRDefault="00000000">
            <w:pPr>
              <w:pStyle w:val="TableParagraph"/>
              <w:spacing w:line="480" w:lineRule="exact"/>
              <w:ind w:firstLineChars="100" w:firstLine="221"/>
              <w:rPr>
                <w:rFonts w:hint="eastAsia"/>
                <w:b/>
                <w:bCs/>
              </w:rPr>
            </w:pPr>
            <w:r>
              <w:rPr>
                <w:rFonts w:hint="eastAsia"/>
                <w:b/>
                <w:bCs/>
              </w:rPr>
              <w:t>主要内容介绍</w:t>
            </w:r>
          </w:p>
        </w:tc>
        <w:tc>
          <w:tcPr>
            <w:tcW w:w="3782" w:type="pct"/>
            <w:gridSpan w:val="3"/>
            <w:tcBorders>
              <w:top w:val="single" w:sz="6" w:space="0" w:color="000000"/>
              <w:left w:val="single" w:sz="6" w:space="0" w:color="000000"/>
              <w:bottom w:val="single" w:sz="6" w:space="0" w:color="000000"/>
            </w:tcBorders>
            <w:vAlign w:val="center"/>
          </w:tcPr>
          <w:p w14:paraId="7D2EA05B" w14:textId="77777777" w:rsidR="001925D8" w:rsidRDefault="00000000">
            <w:pPr>
              <w:spacing w:line="520" w:lineRule="exact"/>
              <w:jc w:val="both"/>
              <w:rPr>
                <w:rFonts w:hint="eastAsia"/>
                <w:b/>
                <w:bCs/>
                <w:lang w:val="en-US"/>
              </w:rPr>
            </w:pPr>
            <w:bookmarkStart w:id="0" w:name="7182-1592134663918"/>
            <w:bookmarkEnd w:id="0"/>
            <w:r>
              <w:rPr>
                <w:rFonts w:hint="eastAsia"/>
                <w:b/>
                <w:bCs/>
                <w:lang w:val="en-US"/>
              </w:rPr>
              <w:t>会议交流主要内容</w:t>
            </w:r>
          </w:p>
          <w:p w14:paraId="766CD766" w14:textId="77777777" w:rsidR="001925D8" w:rsidRDefault="00000000">
            <w:pPr>
              <w:numPr>
                <w:ilvl w:val="255"/>
                <w:numId w:val="0"/>
              </w:numPr>
              <w:spacing w:line="520" w:lineRule="exact"/>
              <w:jc w:val="both"/>
              <w:rPr>
                <w:rFonts w:hint="eastAsia"/>
                <w:b/>
                <w:bCs/>
                <w:lang w:val="en-US"/>
              </w:rPr>
            </w:pPr>
            <w:r>
              <w:rPr>
                <w:rFonts w:hint="eastAsia"/>
                <w:b/>
                <w:bCs/>
                <w:lang w:val="en-US"/>
              </w:rPr>
              <w:t>一、公司发展规划与业务模式？</w:t>
            </w:r>
          </w:p>
          <w:p w14:paraId="1627FDA4" w14:textId="77777777" w:rsidR="001925D8" w:rsidRDefault="00000000">
            <w:pPr>
              <w:numPr>
                <w:ilvl w:val="255"/>
                <w:numId w:val="0"/>
              </w:numPr>
              <w:spacing w:line="520" w:lineRule="exact"/>
              <w:ind w:firstLineChars="200" w:firstLine="440"/>
              <w:jc w:val="both"/>
              <w:rPr>
                <w:rFonts w:hint="eastAsia"/>
                <w:lang w:val="en-US"/>
              </w:rPr>
            </w:pPr>
            <w:r>
              <w:rPr>
                <w:rFonts w:hint="eastAsia"/>
                <w:lang w:val="en-US"/>
              </w:rPr>
              <w:t>公司持续聚焦生猪养殖业务主航道，在安全经营的同时保持高质量发展，公司将在“效率提升、成本管控”等方面继续突破，持续增强竞争优势和盈利能力，实现公司年度经营计划目标。</w:t>
            </w:r>
          </w:p>
          <w:p w14:paraId="74B683FB" w14:textId="77777777" w:rsidR="001925D8" w:rsidRDefault="00000000">
            <w:pPr>
              <w:numPr>
                <w:ilvl w:val="255"/>
                <w:numId w:val="0"/>
              </w:numPr>
              <w:spacing w:line="520" w:lineRule="exact"/>
              <w:ind w:firstLineChars="200" w:firstLine="440"/>
              <w:jc w:val="both"/>
              <w:rPr>
                <w:rFonts w:hint="eastAsia"/>
                <w:b/>
                <w:bCs/>
                <w:lang w:val="en-US"/>
              </w:rPr>
            </w:pPr>
            <w:r>
              <w:rPr>
                <w:rFonts w:hint="eastAsia"/>
                <w:lang w:val="en-US"/>
              </w:rPr>
              <w:t>公司生猪养殖业务发展在生猪育肥环节主要采用紧密型“公司+农户”模式，紧密型“公司+农户”养殖规模的持续发展，不仅能够有效支持公司的养殖规模持续发展和提供高质量商品猪产品，还将以联农带动农民就业增收助力深入推进乡村振兴。</w:t>
            </w:r>
          </w:p>
          <w:p w14:paraId="329AA48C" w14:textId="77777777" w:rsidR="001925D8" w:rsidRDefault="001925D8">
            <w:pPr>
              <w:numPr>
                <w:ilvl w:val="255"/>
                <w:numId w:val="0"/>
              </w:numPr>
              <w:spacing w:line="520" w:lineRule="exact"/>
              <w:ind w:firstLineChars="200" w:firstLine="442"/>
              <w:jc w:val="both"/>
              <w:rPr>
                <w:rFonts w:hint="eastAsia"/>
                <w:b/>
                <w:bCs/>
                <w:lang w:val="en-US"/>
              </w:rPr>
            </w:pPr>
          </w:p>
          <w:p w14:paraId="330492C9" w14:textId="77777777" w:rsidR="001925D8" w:rsidRDefault="00000000">
            <w:pPr>
              <w:numPr>
                <w:ilvl w:val="255"/>
                <w:numId w:val="0"/>
              </w:numPr>
              <w:spacing w:line="520" w:lineRule="exact"/>
              <w:jc w:val="both"/>
              <w:rPr>
                <w:rFonts w:hint="eastAsia"/>
                <w:b/>
                <w:bCs/>
                <w:lang w:val="en-US"/>
              </w:rPr>
            </w:pPr>
            <w:r>
              <w:rPr>
                <w:rFonts w:hint="eastAsia"/>
                <w:b/>
                <w:bCs/>
                <w:lang w:val="en-US"/>
              </w:rPr>
              <w:t>二、公司生猪养殖生产指标情况？</w:t>
            </w:r>
          </w:p>
          <w:p w14:paraId="049AC2E4" w14:textId="77777777" w:rsidR="001925D8" w:rsidRDefault="00000000">
            <w:pPr>
              <w:numPr>
                <w:ilvl w:val="255"/>
                <w:numId w:val="0"/>
              </w:numPr>
              <w:spacing w:line="520" w:lineRule="exact"/>
              <w:ind w:firstLineChars="200" w:firstLine="440"/>
              <w:jc w:val="both"/>
              <w:rPr>
                <w:rFonts w:hint="eastAsia"/>
                <w:lang w:val="en-US"/>
              </w:rPr>
            </w:pPr>
            <w:r>
              <w:rPr>
                <w:rFonts w:hint="eastAsia"/>
                <w:lang w:val="en-US"/>
              </w:rPr>
              <w:t>2025年5月，公司生猪养殖业务的PSY约为28头、育肥料肉比约为2.57、育肥存活率约为95%，公司将持续通过效率提升进一步推动成本下降。</w:t>
            </w:r>
          </w:p>
          <w:p w14:paraId="68E755C0" w14:textId="77777777" w:rsidR="001925D8" w:rsidRDefault="001925D8">
            <w:pPr>
              <w:numPr>
                <w:ilvl w:val="255"/>
                <w:numId w:val="0"/>
              </w:numPr>
              <w:spacing w:line="520" w:lineRule="exact"/>
              <w:ind w:firstLineChars="200" w:firstLine="442"/>
              <w:jc w:val="both"/>
              <w:rPr>
                <w:rFonts w:hint="eastAsia"/>
                <w:b/>
                <w:bCs/>
                <w:lang w:val="en-US"/>
              </w:rPr>
            </w:pPr>
          </w:p>
          <w:p w14:paraId="39318394" w14:textId="77777777" w:rsidR="001925D8" w:rsidRDefault="00000000">
            <w:pPr>
              <w:numPr>
                <w:ilvl w:val="255"/>
                <w:numId w:val="0"/>
              </w:numPr>
              <w:spacing w:line="520" w:lineRule="exact"/>
              <w:jc w:val="both"/>
              <w:rPr>
                <w:rFonts w:hint="eastAsia"/>
                <w:b/>
                <w:bCs/>
                <w:lang w:val="en-US"/>
              </w:rPr>
            </w:pPr>
            <w:r>
              <w:rPr>
                <w:rFonts w:hint="eastAsia"/>
                <w:b/>
                <w:bCs/>
                <w:lang w:val="en-US"/>
              </w:rPr>
              <w:t>三、公司股东回报计划与实施情况？</w:t>
            </w:r>
          </w:p>
          <w:p w14:paraId="6DF6DF3A" w14:textId="77777777" w:rsidR="001925D8" w:rsidRPr="00A03F87" w:rsidRDefault="00000000">
            <w:pPr>
              <w:numPr>
                <w:ilvl w:val="255"/>
                <w:numId w:val="0"/>
              </w:numPr>
              <w:spacing w:line="520" w:lineRule="exact"/>
              <w:ind w:firstLineChars="200" w:firstLine="440"/>
              <w:jc w:val="both"/>
              <w:rPr>
                <w:rFonts w:cs="Times New Roman" w:hint="eastAsia"/>
                <w:color w:val="000000"/>
                <w:lang w:val="en-US"/>
              </w:rPr>
            </w:pPr>
            <w:r w:rsidRPr="00A03F87">
              <w:rPr>
                <w:rFonts w:hint="eastAsia"/>
                <w:lang w:val="en-US"/>
              </w:rPr>
              <w:t>公司高度重视股东回报，自上市以来已连续多年实施现金分红。公司牢固树立回报股东意识，积极提升回报投资者能力和水平。根据</w:t>
            </w:r>
            <w:r w:rsidRPr="00A03F87">
              <w:rPr>
                <w:rFonts w:cs="Times New Roman" w:hint="eastAsia"/>
                <w:color w:val="000000"/>
                <w:lang w:val="en-US"/>
              </w:rPr>
              <w:t>2025年6月11日披露的《2024年年度权益分派实施公告》，公司已于2025年6月17日向股东股派发现金红利 0.1737元（含税），合计分配现金红利85,551,059.76元（含税）。</w:t>
            </w:r>
          </w:p>
          <w:p w14:paraId="4D5FD445" w14:textId="77777777" w:rsidR="001925D8" w:rsidRDefault="00000000">
            <w:pPr>
              <w:spacing w:line="520" w:lineRule="exact"/>
              <w:ind w:firstLineChars="200" w:firstLine="440"/>
              <w:jc w:val="both"/>
              <w:rPr>
                <w:rFonts w:hint="eastAsia"/>
                <w:lang w:val="en-US"/>
              </w:rPr>
            </w:pPr>
            <w:r>
              <w:rPr>
                <w:rFonts w:hint="eastAsia"/>
                <w:lang w:val="en-US"/>
              </w:rPr>
              <w:t>公司已制定《乐山巨星农牧股份有限公司未来三年（2024年-2026年）股东分红回报规划》的中长期分红规划，未来将努力提高分红的稳定性、计划性和</w:t>
            </w:r>
            <w:proofErr w:type="gramStart"/>
            <w:r>
              <w:rPr>
                <w:rFonts w:hint="eastAsia"/>
                <w:lang w:val="en-US"/>
              </w:rPr>
              <w:t>可</w:t>
            </w:r>
            <w:proofErr w:type="gramEnd"/>
            <w:r>
              <w:rPr>
                <w:rFonts w:hint="eastAsia"/>
                <w:lang w:val="en-US"/>
              </w:rPr>
              <w:t>预期性。</w:t>
            </w:r>
          </w:p>
        </w:tc>
      </w:tr>
      <w:tr w:rsidR="001925D8" w14:paraId="0C299AD8" w14:textId="77777777">
        <w:trPr>
          <w:trHeight w:val="794"/>
          <w:jc w:val="center"/>
        </w:trPr>
        <w:tc>
          <w:tcPr>
            <w:tcW w:w="1217" w:type="pct"/>
            <w:tcBorders>
              <w:top w:val="single" w:sz="6" w:space="0" w:color="000000"/>
              <w:bottom w:val="single" w:sz="6" w:space="0" w:color="000000"/>
              <w:right w:val="single" w:sz="6" w:space="0" w:color="000000"/>
            </w:tcBorders>
            <w:vAlign w:val="center"/>
          </w:tcPr>
          <w:p w14:paraId="073E119A" w14:textId="77777777" w:rsidR="001925D8" w:rsidRDefault="00000000">
            <w:pPr>
              <w:pStyle w:val="TableParagraph"/>
              <w:spacing w:line="480" w:lineRule="exact"/>
              <w:ind w:firstLineChars="100" w:firstLine="221"/>
              <w:rPr>
                <w:rFonts w:hint="eastAsia"/>
                <w:b/>
                <w:bCs/>
              </w:rPr>
            </w:pPr>
            <w:r>
              <w:rPr>
                <w:rFonts w:hint="eastAsia"/>
                <w:b/>
                <w:bCs/>
              </w:rPr>
              <w:lastRenderedPageBreak/>
              <w:t>附件清单（如有）</w:t>
            </w:r>
          </w:p>
        </w:tc>
        <w:tc>
          <w:tcPr>
            <w:tcW w:w="3782" w:type="pct"/>
            <w:gridSpan w:val="3"/>
            <w:tcBorders>
              <w:top w:val="single" w:sz="6" w:space="0" w:color="000000"/>
              <w:left w:val="single" w:sz="6" w:space="0" w:color="000000"/>
              <w:bottom w:val="single" w:sz="6" w:space="0" w:color="000000"/>
            </w:tcBorders>
            <w:vAlign w:val="center"/>
          </w:tcPr>
          <w:p w14:paraId="48751C83" w14:textId="77777777" w:rsidR="001925D8" w:rsidRDefault="00000000">
            <w:pPr>
              <w:pStyle w:val="TableParagraph"/>
              <w:spacing w:line="480" w:lineRule="exact"/>
              <w:rPr>
                <w:rFonts w:hint="eastAsia"/>
                <w:lang w:val="en-US"/>
              </w:rPr>
            </w:pPr>
            <w:r>
              <w:rPr>
                <w:rFonts w:hint="eastAsia"/>
              </w:rPr>
              <w:t>无</w:t>
            </w:r>
          </w:p>
        </w:tc>
      </w:tr>
      <w:tr w:rsidR="001925D8" w14:paraId="5E206CCF" w14:textId="77777777">
        <w:trPr>
          <w:trHeight w:val="749"/>
          <w:jc w:val="center"/>
        </w:trPr>
        <w:tc>
          <w:tcPr>
            <w:tcW w:w="1217" w:type="pct"/>
            <w:tcBorders>
              <w:top w:val="single" w:sz="6" w:space="0" w:color="000000"/>
              <w:bottom w:val="single" w:sz="6" w:space="0" w:color="000000"/>
              <w:right w:val="single" w:sz="6" w:space="0" w:color="000000"/>
            </w:tcBorders>
            <w:vAlign w:val="center"/>
          </w:tcPr>
          <w:p w14:paraId="3973A26C" w14:textId="77777777" w:rsidR="001925D8" w:rsidRDefault="00000000">
            <w:pPr>
              <w:pStyle w:val="TableParagraph"/>
              <w:spacing w:line="480" w:lineRule="exact"/>
              <w:ind w:firstLineChars="100" w:firstLine="221"/>
              <w:rPr>
                <w:rFonts w:hint="eastAsia"/>
                <w:b/>
                <w:bCs/>
              </w:rPr>
            </w:pPr>
            <w:r>
              <w:rPr>
                <w:rFonts w:hint="eastAsia"/>
                <w:b/>
                <w:bCs/>
                <w:lang w:val="en-US"/>
              </w:rPr>
              <w:t>日期</w:t>
            </w:r>
          </w:p>
        </w:tc>
        <w:tc>
          <w:tcPr>
            <w:tcW w:w="3782" w:type="pct"/>
            <w:gridSpan w:val="3"/>
            <w:tcBorders>
              <w:top w:val="single" w:sz="6" w:space="0" w:color="000000"/>
              <w:left w:val="single" w:sz="6" w:space="0" w:color="000000"/>
              <w:bottom w:val="single" w:sz="6" w:space="0" w:color="000000"/>
            </w:tcBorders>
            <w:vAlign w:val="center"/>
          </w:tcPr>
          <w:p w14:paraId="0586E56B" w14:textId="77777777" w:rsidR="001925D8" w:rsidRDefault="00000000">
            <w:pPr>
              <w:pStyle w:val="TableParagraph"/>
              <w:spacing w:line="480" w:lineRule="exact"/>
              <w:rPr>
                <w:rFonts w:hint="eastAsia"/>
                <w:lang w:val="en-US"/>
              </w:rPr>
            </w:pPr>
            <w:r>
              <w:rPr>
                <w:rFonts w:hint="eastAsia"/>
                <w:lang w:val="en-US"/>
              </w:rPr>
              <w:t>2025年5月22日至6月20日</w:t>
            </w:r>
          </w:p>
        </w:tc>
      </w:tr>
    </w:tbl>
    <w:p w14:paraId="6B96E726" w14:textId="77777777" w:rsidR="001925D8" w:rsidRDefault="001925D8">
      <w:pPr>
        <w:spacing w:line="480" w:lineRule="exact"/>
        <w:rPr>
          <w:rFonts w:hint="eastAsia"/>
        </w:rPr>
      </w:pPr>
    </w:p>
    <w:sectPr w:rsidR="001925D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DFFBE9C2"/>
    <w:rsid w:val="00003A23"/>
    <w:rsid w:val="00012C3C"/>
    <w:rsid w:val="00021A23"/>
    <w:rsid w:val="00043144"/>
    <w:rsid w:val="0005797E"/>
    <w:rsid w:val="00066B41"/>
    <w:rsid w:val="000A5FF0"/>
    <w:rsid w:val="000D401A"/>
    <w:rsid w:val="001027CE"/>
    <w:rsid w:val="00172A27"/>
    <w:rsid w:val="001777D7"/>
    <w:rsid w:val="001925D8"/>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03F87"/>
    <w:rsid w:val="00A662B0"/>
    <w:rsid w:val="00A775A7"/>
    <w:rsid w:val="00AE0D36"/>
    <w:rsid w:val="00B12B7D"/>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1BF5575"/>
    <w:rsid w:val="020E02AA"/>
    <w:rsid w:val="02346ABB"/>
    <w:rsid w:val="024C18BD"/>
    <w:rsid w:val="02910C29"/>
    <w:rsid w:val="02C75822"/>
    <w:rsid w:val="02F92D08"/>
    <w:rsid w:val="03023B12"/>
    <w:rsid w:val="033E071B"/>
    <w:rsid w:val="03433F84"/>
    <w:rsid w:val="034F46D6"/>
    <w:rsid w:val="03667C72"/>
    <w:rsid w:val="0405748B"/>
    <w:rsid w:val="04073203"/>
    <w:rsid w:val="04365896"/>
    <w:rsid w:val="045035FE"/>
    <w:rsid w:val="045C354F"/>
    <w:rsid w:val="048E6375"/>
    <w:rsid w:val="04A76B24"/>
    <w:rsid w:val="050E4DFB"/>
    <w:rsid w:val="054D733B"/>
    <w:rsid w:val="055D6392"/>
    <w:rsid w:val="05777F14"/>
    <w:rsid w:val="059005EC"/>
    <w:rsid w:val="05B169EF"/>
    <w:rsid w:val="05C80770"/>
    <w:rsid w:val="0621364A"/>
    <w:rsid w:val="064A7E58"/>
    <w:rsid w:val="06606C84"/>
    <w:rsid w:val="06652463"/>
    <w:rsid w:val="06930D7E"/>
    <w:rsid w:val="069517C3"/>
    <w:rsid w:val="06A66D03"/>
    <w:rsid w:val="06C87A51"/>
    <w:rsid w:val="070954E4"/>
    <w:rsid w:val="073D0CEA"/>
    <w:rsid w:val="076444C8"/>
    <w:rsid w:val="0790350F"/>
    <w:rsid w:val="07953C33"/>
    <w:rsid w:val="0797489E"/>
    <w:rsid w:val="07DB082D"/>
    <w:rsid w:val="07FE66CB"/>
    <w:rsid w:val="080A1514"/>
    <w:rsid w:val="081C23EE"/>
    <w:rsid w:val="086A722B"/>
    <w:rsid w:val="0874698D"/>
    <w:rsid w:val="08D13DE0"/>
    <w:rsid w:val="095523FA"/>
    <w:rsid w:val="09D02FE3"/>
    <w:rsid w:val="0A6842D0"/>
    <w:rsid w:val="0A7E1D45"/>
    <w:rsid w:val="0AB1211B"/>
    <w:rsid w:val="0AD019C3"/>
    <w:rsid w:val="0B143E90"/>
    <w:rsid w:val="0B372620"/>
    <w:rsid w:val="0B3F3282"/>
    <w:rsid w:val="0B484436"/>
    <w:rsid w:val="0BCB2D68"/>
    <w:rsid w:val="0BCB667F"/>
    <w:rsid w:val="0C2C33CB"/>
    <w:rsid w:val="0C3721AC"/>
    <w:rsid w:val="0C3B7EEE"/>
    <w:rsid w:val="0C54227B"/>
    <w:rsid w:val="0C6D1CE1"/>
    <w:rsid w:val="0C7358DA"/>
    <w:rsid w:val="0C767F6B"/>
    <w:rsid w:val="0C7B653C"/>
    <w:rsid w:val="0C8D626F"/>
    <w:rsid w:val="0CC7352F"/>
    <w:rsid w:val="0D0D37A8"/>
    <w:rsid w:val="0D9553DC"/>
    <w:rsid w:val="0E4F36CC"/>
    <w:rsid w:val="0EB16245"/>
    <w:rsid w:val="0EC3241C"/>
    <w:rsid w:val="0EC95C85"/>
    <w:rsid w:val="0EDC703A"/>
    <w:rsid w:val="0EF44384"/>
    <w:rsid w:val="0F0A1DF9"/>
    <w:rsid w:val="0F2E7C9C"/>
    <w:rsid w:val="0F451083"/>
    <w:rsid w:val="0F56503F"/>
    <w:rsid w:val="0F5D63CD"/>
    <w:rsid w:val="0F6E05DA"/>
    <w:rsid w:val="0FC621C4"/>
    <w:rsid w:val="0FC65D20"/>
    <w:rsid w:val="0FFF1232"/>
    <w:rsid w:val="10003D03"/>
    <w:rsid w:val="102D2243"/>
    <w:rsid w:val="10305890"/>
    <w:rsid w:val="105E064F"/>
    <w:rsid w:val="108005C5"/>
    <w:rsid w:val="10B262A5"/>
    <w:rsid w:val="10B4026F"/>
    <w:rsid w:val="10D47958"/>
    <w:rsid w:val="10D73F5D"/>
    <w:rsid w:val="11034D52"/>
    <w:rsid w:val="11365128"/>
    <w:rsid w:val="11496C09"/>
    <w:rsid w:val="114A2981"/>
    <w:rsid w:val="1158509E"/>
    <w:rsid w:val="115E01DA"/>
    <w:rsid w:val="118E0AC0"/>
    <w:rsid w:val="11A42091"/>
    <w:rsid w:val="11BF511D"/>
    <w:rsid w:val="11E84674"/>
    <w:rsid w:val="12D509AD"/>
    <w:rsid w:val="1300779B"/>
    <w:rsid w:val="134753CA"/>
    <w:rsid w:val="1399292E"/>
    <w:rsid w:val="13DD5D2E"/>
    <w:rsid w:val="13E0137B"/>
    <w:rsid w:val="14074B59"/>
    <w:rsid w:val="148F7029"/>
    <w:rsid w:val="14AE3227"/>
    <w:rsid w:val="14C747AB"/>
    <w:rsid w:val="14F74BCE"/>
    <w:rsid w:val="15001CD4"/>
    <w:rsid w:val="153E0A4F"/>
    <w:rsid w:val="15C947BC"/>
    <w:rsid w:val="161E0045"/>
    <w:rsid w:val="16210154"/>
    <w:rsid w:val="162437A1"/>
    <w:rsid w:val="16646293"/>
    <w:rsid w:val="16810BF3"/>
    <w:rsid w:val="169721C5"/>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8C387F"/>
    <w:rsid w:val="18B62EA4"/>
    <w:rsid w:val="18D15DBA"/>
    <w:rsid w:val="18FF22A3"/>
    <w:rsid w:val="19273169"/>
    <w:rsid w:val="19466E27"/>
    <w:rsid w:val="196D545F"/>
    <w:rsid w:val="197C1B46"/>
    <w:rsid w:val="199450E1"/>
    <w:rsid w:val="19B65058"/>
    <w:rsid w:val="1A0318E8"/>
    <w:rsid w:val="1A3146DE"/>
    <w:rsid w:val="1A566023"/>
    <w:rsid w:val="1ABA36B4"/>
    <w:rsid w:val="1AC11F06"/>
    <w:rsid w:val="1ACE4623"/>
    <w:rsid w:val="1B3F107D"/>
    <w:rsid w:val="1B43291B"/>
    <w:rsid w:val="1B5667A8"/>
    <w:rsid w:val="1B796AD5"/>
    <w:rsid w:val="1BCA303C"/>
    <w:rsid w:val="1BD23C9F"/>
    <w:rsid w:val="1C080DA8"/>
    <w:rsid w:val="1C0A3439"/>
    <w:rsid w:val="1CA1729E"/>
    <w:rsid w:val="1CB82E95"/>
    <w:rsid w:val="1D2422D8"/>
    <w:rsid w:val="1D295B40"/>
    <w:rsid w:val="1D3139D9"/>
    <w:rsid w:val="1D534507"/>
    <w:rsid w:val="1D9751A0"/>
    <w:rsid w:val="1DF86605"/>
    <w:rsid w:val="1E214681"/>
    <w:rsid w:val="1E2E78B2"/>
    <w:rsid w:val="1E470974"/>
    <w:rsid w:val="1F520C33"/>
    <w:rsid w:val="1F7D440A"/>
    <w:rsid w:val="1FC436EF"/>
    <w:rsid w:val="204A474C"/>
    <w:rsid w:val="20692C6F"/>
    <w:rsid w:val="209634ED"/>
    <w:rsid w:val="20D12777"/>
    <w:rsid w:val="21076199"/>
    <w:rsid w:val="21260D15"/>
    <w:rsid w:val="219C0FD7"/>
    <w:rsid w:val="21AE3541"/>
    <w:rsid w:val="222608A0"/>
    <w:rsid w:val="222A213F"/>
    <w:rsid w:val="22433200"/>
    <w:rsid w:val="224A27E1"/>
    <w:rsid w:val="225278E7"/>
    <w:rsid w:val="22850ED9"/>
    <w:rsid w:val="22941CAE"/>
    <w:rsid w:val="22BD3143"/>
    <w:rsid w:val="22EA7B20"/>
    <w:rsid w:val="233314C7"/>
    <w:rsid w:val="2351194D"/>
    <w:rsid w:val="2369313B"/>
    <w:rsid w:val="23AE6D9F"/>
    <w:rsid w:val="23C325CA"/>
    <w:rsid w:val="23C860B3"/>
    <w:rsid w:val="241C01AD"/>
    <w:rsid w:val="243F3E9B"/>
    <w:rsid w:val="246649A5"/>
    <w:rsid w:val="246C2EE2"/>
    <w:rsid w:val="247D50F0"/>
    <w:rsid w:val="24945F95"/>
    <w:rsid w:val="249E6E14"/>
    <w:rsid w:val="24D64800"/>
    <w:rsid w:val="24F609FE"/>
    <w:rsid w:val="24FD7FDE"/>
    <w:rsid w:val="25181F7F"/>
    <w:rsid w:val="25257535"/>
    <w:rsid w:val="25584F97"/>
    <w:rsid w:val="25D36F91"/>
    <w:rsid w:val="25F5515A"/>
    <w:rsid w:val="262670C1"/>
    <w:rsid w:val="264B2FCC"/>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644513"/>
    <w:rsid w:val="287E4F92"/>
    <w:rsid w:val="292024ED"/>
    <w:rsid w:val="292F425E"/>
    <w:rsid w:val="294E0E09"/>
    <w:rsid w:val="29892BB1"/>
    <w:rsid w:val="298A6873"/>
    <w:rsid w:val="29BA649E"/>
    <w:rsid w:val="29F00112"/>
    <w:rsid w:val="2A043BBD"/>
    <w:rsid w:val="2A732C8B"/>
    <w:rsid w:val="2ADC2444"/>
    <w:rsid w:val="2AE00186"/>
    <w:rsid w:val="2B027480"/>
    <w:rsid w:val="2B3B360F"/>
    <w:rsid w:val="2B517236"/>
    <w:rsid w:val="2B9E76FA"/>
    <w:rsid w:val="2BC96E6C"/>
    <w:rsid w:val="2BCE6231"/>
    <w:rsid w:val="2C581F9E"/>
    <w:rsid w:val="2C7548FE"/>
    <w:rsid w:val="2C8608B9"/>
    <w:rsid w:val="2C8B71C7"/>
    <w:rsid w:val="2C8C39F6"/>
    <w:rsid w:val="2CB27900"/>
    <w:rsid w:val="2CC97E56"/>
    <w:rsid w:val="2CE30BDD"/>
    <w:rsid w:val="2D32459D"/>
    <w:rsid w:val="2D3C366E"/>
    <w:rsid w:val="2D574004"/>
    <w:rsid w:val="2DB63420"/>
    <w:rsid w:val="2DB75880"/>
    <w:rsid w:val="2DCD42C6"/>
    <w:rsid w:val="2DF13201"/>
    <w:rsid w:val="2DF87595"/>
    <w:rsid w:val="2E7E623A"/>
    <w:rsid w:val="2EE14754"/>
    <w:rsid w:val="2EE45D6B"/>
    <w:rsid w:val="2EEB534C"/>
    <w:rsid w:val="2EF22236"/>
    <w:rsid w:val="2EFC7BC0"/>
    <w:rsid w:val="2F2B1BEC"/>
    <w:rsid w:val="2F884949"/>
    <w:rsid w:val="2FC736C3"/>
    <w:rsid w:val="2FF53BE5"/>
    <w:rsid w:val="30032221"/>
    <w:rsid w:val="30332C85"/>
    <w:rsid w:val="3046098A"/>
    <w:rsid w:val="3086532C"/>
    <w:rsid w:val="30AE4883"/>
    <w:rsid w:val="30B023A9"/>
    <w:rsid w:val="30BA6F50"/>
    <w:rsid w:val="30C61BCC"/>
    <w:rsid w:val="30EF74E3"/>
    <w:rsid w:val="31324B8F"/>
    <w:rsid w:val="313F7C11"/>
    <w:rsid w:val="31CD6F8B"/>
    <w:rsid w:val="31DF0848"/>
    <w:rsid w:val="31E84557"/>
    <w:rsid w:val="31F14A27"/>
    <w:rsid w:val="322841C1"/>
    <w:rsid w:val="326F1DF0"/>
    <w:rsid w:val="32832EEF"/>
    <w:rsid w:val="329D070B"/>
    <w:rsid w:val="32B617CD"/>
    <w:rsid w:val="32D06D32"/>
    <w:rsid w:val="32E4633A"/>
    <w:rsid w:val="32F21E69"/>
    <w:rsid w:val="330861DE"/>
    <w:rsid w:val="33264BA4"/>
    <w:rsid w:val="33492641"/>
    <w:rsid w:val="339F3E6E"/>
    <w:rsid w:val="33A352A1"/>
    <w:rsid w:val="34060532"/>
    <w:rsid w:val="341669C7"/>
    <w:rsid w:val="34897674"/>
    <w:rsid w:val="349F69BC"/>
    <w:rsid w:val="34A22009"/>
    <w:rsid w:val="34AE4E51"/>
    <w:rsid w:val="34C44675"/>
    <w:rsid w:val="34E24AFB"/>
    <w:rsid w:val="350B22A4"/>
    <w:rsid w:val="35584DBD"/>
    <w:rsid w:val="355D583A"/>
    <w:rsid w:val="35867B7C"/>
    <w:rsid w:val="36525CB0"/>
    <w:rsid w:val="36B44275"/>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04F99"/>
    <w:rsid w:val="38D26A82"/>
    <w:rsid w:val="38E726E0"/>
    <w:rsid w:val="39180AEB"/>
    <w:rsid w:val="393D286A"/>
    <w:rsid w:val="39551D3F"/>
    <w:rsid w:val="399C796E"/>
    <w:rsid w:val="3A005299"/>
    <w:rsid w:val="3A03182B"/>
    <w:rsid w:val="3A0A4C3A"/>
    <w:rsid w:val="3A371445"/>
    <w:rsid w:val="3A60099C"/>
    <w:rsid w:val="3A620996"/>
    <w:rsid w:val="3A8A3C6B"/>
    <w:rsid w:val="3AB26D1E"/>
    <w:rsid w:val="3AC46CFD"/>
    <w:rsid w:val="3AE0388B"/>
    <w:rsid w:val="3AF1337E"/>
    <w:rsid w:val="3B2220F5"/>
    <w:rsid w:val="3B871F58"/>
    <w:rsid w:val="3B8A37F6"/>
    <w:rsid w:val="3BC27434"/>
    <w:rsid w:val="3BFDD941"/>
    <w:rsid w:val="3C2505B3"/>
    <w:rsid w:val="3C3245BA"/>
    <w:rsid w:val="3C494D52"/>
    <w:rsid w:val="3C552025"/>
    <w:rsid w:val="3CB60D47"/>
    <w:rsid w:val="3CB70371"/>
    <w:rsid w:val="3CC52D38"/>
    <w:rsid w:val="3D15341C"/>
    <w:rsid w:val="3D2C1326"/>
    <w:rsid w:val="3D4C33F0"/>
    <w:rsid w:val="3D536596"/>
    <w:rsid w:val="3D5B18EE"/>
    <w:rsid w:val="3D7F382F"/>
    <w:rsid w:val="3D7F55DD"/>
    <w:rsid w:val="3D9A41C5"/>
    <w:rsid w:val="3DCE0312"/>
    <w:rsid w:val="3E14487B"/>
    <w:rsid w:val="3E151A9D"/>
    <w:rsid w:val="3E4D72C5"/>
    <w:rsid w:val="3E5D60F8"/>
    <w:rsid w:val="3E5E1696"/>
    <w:rsid w:val="3E770C94"/>
    <w:rsid w:val="3E8E35FE"/>
    <w:rsid w:val="3EB017C6"/>
    <w:rsid w:val="3EBA2645"/>
    <w:rsid w:val="3F5233FE"/>
    <w:rsid w:val="3F6D0AAA"/>
    <w:rsid w:val="3F8F762D"/>
    <w:rsid w:val="3FA27361"/>
    <w:rsid w:val="403D352D"/>
    <w:rsid w:val="40550877"/>
    <w:rsid w:val="405D094D"/>
    <w:rsid w:val="408F1FDB"/>
    <w:rsid w:val="40DB783A"/>
    <w:rsid w:val="40ED4F53"/>
    <w:rsid w:val="410F31A3"/>
    <w:rsid w:val="4114603C"/>
    <w:rsid w:val="41456B3D"/>
    <w:rsid w:val="41517290"/>
    <w:rsid w:val="418E780E"/>
    <w:rsid w:val="41995C74"/>
    <w:rsid w:val="41E9571B"/>
    <w:rsid w:val="41E974C9"/>
    <w:rsid w:val="41F540C0"/>
    <w:rsid w:val="41FA0169"/>
    <w:rsid w:val="41FF0A9A"/>
    <w:rsid w:val="42091919"/>
    <w:rsid w:val="420F2749"/>
    <w:rsid w:val="423A5F76"/>
    <w:rsid w:val="42BD2703"/>
    <w:rsid w:val="42C615B8"/>
    <w:rsid w:val="42FE6FA4"/>
    <w:rsid w:val="431237F5"/>
    <w:rsid w:val="433C7ACC"/>
    <w:rsid w:val="43A833B4"/>
    <w:rsid w:val="43E4263E"/>
    <w:rsid w:val="4419328C"/>
    <w:rsid w:val="441B5933"/>
    <w:rsid w:val="442944F4"/>
    <w:rsid w:val="443E41B9"/>
    <w:rsid w:val="446C43E1"/>
    <w:rsid w:val="44AA4E01"/>
    <w:rsid w:val="44B87280"/>
    <w:rsid w:val="44DA134B"/>
    <w:rsid w:val="45724BB3"/>
    <w:rsid w:val="4594599D"/>
    <w:rsid w:val="45C142B9"/>
    <w:rsid w:val="45C83899"/>
    <w:rsid w:val="45D43FEC"/>
    <w:rsid w:val="46114F0F"/>
    <w:rsid w:val="46D83FB0"/>
    <w:rsid w:val="46FF32EA"/>
    <w:rsid w:val="47507FEA"/>
    <w:rsid w:val="47590C4D"/>
    <w:rsid w:val="477414D3"/>
    <w:rsid w:val="47897ABA"/>
    <w:rsid w:val="47A15B48"/>
    <w:rsid w:val="47AD0F98"/>
    <w:rsid w:val="48256D81"/>
    <w:rsid w:val="48600223"/>
    <w:rsid w:val="486615C5"/>
    <w:rsid w:val="48671147"/>
    <w:rsid w:val="486D24D6"/>
    <w:rsid w:val="48763A80"/>
    <w:rsid w:val="48F16866"/>
    <w:rsid w:val="492F13F5"/>
    <w:rsid w:val="49584F34"/>
    <w:rsid w:val="496D4E83"/>
    <w:rsid w:val="49A92C07"/>
    <w:rsid w:val="49EF5898"/>
    <w:rsid w:val="49FB248F"/>
    <w:rsid w:val="4A121587"/>
    <w:rsid w:val="4A143551"/>
    <w:rsid w:val="4A4756D4"/>
    <w:rsid w:val="4A90104A"/>
    <w:rsid w:val="4B3E127F"/>
    <w:rsid w:val="4B475260"/>
    <w:rsid w:val="4B7F0E9E"/>
    <w:rsid w:val="4BD10EBA"/>
    <w:rsid w:val="4BE56F53"/>
    <w:rsid w:val="4C2630C7"/>
    <w:rsid w:val="4CA54934"/>
    <w:rsid w:val="4CAD7FC7"/>
    <w:rsid w:val="4CFB27A6"/>
    <w:rsid w:val="4D3B2BA3"/>
    <w:rsid w:val="4D502AF2"/>
    <w:rsid w:val="4D875DE8"/>
    <w:rsid w:val="4DA9212D"/>
    <w:rsid w:val="4DB36BDD"/>
    <w:rsid w:val="4DD63E21"/>
    <w:rsid w:val="4E437F61"/>
    <w:rsid w:val="4E516B22"/>
    <w:rsid w:val="4E5B79A0"/>
    <w:rsid w:val="4E5C7274"/>
    <w:rsid w:val="4E6D373C"/>
    <w:rsid w:val="4E775E5C"/>
    <w:rsid w:val="4ED220E5"/>
    <w:rsid w:val="4F043B94"/>
    <w:rsid w:val="4F42290E"/>
    <w:rsid w:val="4F4421E2"/>
    <w:rsid w:val="4F675ED1"/>
    <w:rsid w:val="4F894099"/>
    <w:rsid w:val="4F912F4E"/>
    <w:rsid w:val="4FCB46B2"/>
    <w:rsid w:val="50137E07"/>
    <w:rsid w:val="50327B53"/>
    <w:rsid w:val="504A7CCC"/>
    <w:rsid w:val="505B3C87"/>
    <w:rsid w:val="506D5BA1"/>
    <w:rsid w:val="509B2D47"/>
    <w:rsid w:val="50F96FFC"/>
    <w:rsid w:val="5124051D"/>
    <w:rsid w:val="513E0CF0"/>
    <w:rsid w:val="514048B2"/>
    <w:rsid w:val="514E559A"/>
    <w:rsid w:val="51513971"/>
    <w:rsid w:val="515B7795"/>
    <w:rsid w:val="51694182"/>
    <w:rsid w:val="516E1798"/>
    <w:rsid w:val="518C60C3"/>
    <w:rsid w:val="51B80C66"/>
    <w:rsid w:val="51C30BDC"/>
    <w:rsid w:val="51C35D1F"/>
    <w:rsid w:val="51E56C3E"/>
    <w:rsid w:val="52036385"/>
    <w:rsid w:val="52100AA2"/>
    <w:rsid w:val="52315008"/>
    <w:rsid w:val="523F1387"/>
    <w:rsid w:val="525766D1"/>
    <w:rsid w:val="5264494A"/>
    <w:rsid w:val="52750905"/>
    <w:rsid w:val="5294522F"/>
    <w:rsid w:val="52AB1C77"/>
    <w:rsid w:val="52AB5B97"/>
    <w:rsid w:val="52B23907"/>
    <w:rsid w:val="52EB26AA"/>
    <w:rsid w:val="530A54F1"/>
    <w:rsid w:val="5326258A"/>
    <w:rsid w:val="533243C3"/>
    <w:rsid w:val="53346A12"/>
    <w:rsid w:val="538F3C48"/>
    <w:rsid w:val="53DD0E57"/>
    <w:rsid w:val="53DF766E"/>
    <w:rsid w:val="53EC4BF7"/>
    <w:rsid w:val="541E4EFC"/>
    <w:rsid w:val="542720D3"/>
    <w:rsid w:val="54426960"/>
    <w:rsid w:val="547F1F0F"/>
    <w:rsid w:val="54B55930"/>
    <w:rsid w:val="54C01DC9"/>
    <w:rsid w:val="54C94F38"/>
    <w:rsid w:val="54E83610"/>
    <w:rsid w:val="54F226E1"/>
    <w:rsid w:val="55320D2F"/>
    <w:rsid w:val="5583158B"/>
    <w:rsid w:val="55A56229"/>
    <w:rsid w:val="55B65FCD"/>
    <w:rsid w:val="55F935FB"/>
    <w:rsid w:val="564451BE"/>
    <w:rsid w:val="566E223B"/>
    <w:rsid w:val="56B85264"/>
    <w:rsid w:val="574D3BFE"/>
    <w:rsid w:val="5765363E"/>
    <w:rsid w:val="57BE68AA"/>
    <w:rsid w:val="57E207EA"/>
    <w:rsid w:val="58405511"/>
    <w:rsid w:val="586E207E"/>
    <w:rsid w:val="587D53D1"/>
    <w:rsid w:val="587D5C68"/>
    <w:rsid w:val="58C17724"/>
    <w:rsid w:val="58C3686E"/>
    <w:rsid w:val="58D00F8B"/>
    <w:rsid w:val="58D04124"/>
    <w:rsid w:val="58D75E75"/>
    <w:rsid w:val="58D77C23"/>
    <w:rsid w:val="58E660B8"/>
    <w:rsid w:val="59084281"/>
    <w:rsid w:val="592326DD"/>
    <w:rsid w:val="59305585"/>
    <w:rsid w:val="59C208D3"/>
    <w:rsid w:val="5A0233C6"/>
    <w:rsid w:val="5A366BCB"/>
    <w:rsid w:val="5A655703"/>
    <w:rsid w:val="5A955E00"/>
    <w:rsid w:val="5AD20FEA"/>
    <w:rsid w:val="5AD25392"/>
    <w:rsid w:val="5B157290"/>
    <w:rsid w:val="5B1F3B03"/>
    <w:rsid w:val="5B5A2D8E"/>
    <w:rsid w:val="5B70435F"/>
    <w:rsid w:val="5B767BC7"/>
    <w:rsid w:val="5BC326E1"/>
    <w:rsid w:val="5BD5FD07"/>
    <w:rsid w:val="5C231D38"/>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F090D52"/>
    <w:rsid w:val="5F092B01"/>
    <w:rsid w:val="5F7E529D"/>
    <w:rsid w:val="5FBA204D"/>
    <w:rsid w:val="602A5424"/>
    <w:rsid w:val="60563B24"/>
    <w:rsid w:val="60620BA5"/>
    <w:rsid w:val="60A01243"/>
    <w:rsid w:val="6139510F"/>
    <w:rsid w:val="61A92379"/>
    <w:rsid w:val="61BE64EE"/>
    <w:rsid w:val="61DE0274"/>
    <w:rsid w:val="61FC4B9F"/>
    <w:rsid w:val="620923F0"/>
    <w:rsid w:val="627064A9"/>
    <w:rsid w:val="628A21AA"/>
    <w:rsid w:val="62A35D2B"/>
    <w:rsid w:val="62C51434"/>
    <w:rsid w:val="62D96C8E"/>
    <w:rsid w:val="631D301E"/>
    <w:rsid w:val="637048BF"/>
    <w:rsid w:val="637462DF"/>
    <w:rsid w:val="63B374DF"/>
    <w:rsid w:val="63D538F9"/>
    <w:rsid w:val="63F21DB5"/>
    <w:rsid w:val="640104D5"/>
    <w:rsid w:val="64061D04"/>
    <w:rsid w:val="64460353"/>
    <w:rsid w:val="64485E79"/>
    <w:rsid w:val="644D7933"/>
    <w:rsid w:val="64841E7A"/>
    <w:rsid w:val="6492024A"/>
    <w:rsid w:val="64AF5EF8"/>
    <w:rsid w:val="65444892"/>
    <w:rsid w:val="65654809"/>
    <w:rsid w:val="65C77271"/>
    <w:rsid w:val="66326ED8"/>
    <w:rsid w:val="66833198"/>
    <w:rsid w:val="66C022F9"/>
    <w:rsid w:val="66D103A8"/>
    <w:rsid w:val="66D6776C"/>
    <w:rsid w:val="66DB2FD4"/>
    <w:rsid w:val="671F5780"/>
    <w:rsid w:val="6744501E"/>
    <w:rsid w:val="68262975"/>
    <w:rsid w:val="683E3F52"/>
    <w:rsid w:val="6855196A"/>
    <w:rsid w:val="68A51AEC"/>
    <w:rsid w:val="68DB3760"/>
    <w:rsid w:val="68EF0FB9"/>
    <w:rsid w:val="69196036"/>
    <w:rsid w:val="692429E9"/>
    <w:rsid w:val="69455B2B"/>
    <w:rsid w:val="696E0B50"/>
    <w:rsid w:val="6A4A2640"/>
    <w:rsid w:val="6A7774B8"/>
    <w:rsid w:val="6A8E65B0"/>
    <w:rsid w:val="6B19231D"/>
    <w:rsid w:val="6B2A277C"/>
    <w:rsid w:val="6B6F1F3D"/>
    <w:rsid w:val="6B851187"/>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A77C40"/>
    <w:rsid w:val="6EAC5256"/>
    <w:rsid w:val="6EAE0FCF"/>
    <w:rsid w:val="6EF235B1"/>
    <w:rsid w:val="6F215C44"/>
    <w:rsid w:val="6F305E87"/>
    <w:rsid w:val="6F40431D"/>
    <w:rsid w:val="6F413BF1"/>
    <w:rsid w:val="6F4F630E"/>
    <w:rsid w:val="6F63000B"/>
    <w:rsid w:val="6F997ED1"/>
    <w:rsid w:val="6FC00FB9"/>
    <w:rsid w:val="6FC84312"/>
    <w:rsid w:val="6FD20CED"/>
    <w:rsid w:val="6FE56C72"/>
    <w:rsid w:val="700A0487"/>
    <w:rsid w:val="7073427E"/>
    <w:rsid w:val="707D6EAA"/>
    <w:rsid w:val="70BC3E77"/>
    <w:rsid w:val="70C33179"/>
    <w:rsid w:val="70C76378"/>
    <w:rsid w:val="70E4517B"/>
    <w:rsid w:val="70E76A1A"/>
    <w:rsid w:val="713B6A1E"/>
    <w:rsid w:val="714B6FA9"/>
    <w:rsid w:val="715E1D8D"/>
    <w:rsid w:val="71674675"/>
    <w:rsid w:val="71C07997"/>
    <w:rsid w:val="71DC0FEA"/>
    <w:rsid w:val="71F80EDE"/>
    <w:rsid w:val="721D0945"/>
    <w:rsid w:val="722F2426"/>
    <w:rsid w:val="724266DE"/>
    <w:rsid w:val="725B321B"/>
    <w:rsid w:val="72D134DE"/>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EE28B0"/>
    <w:rsid w:val="76F8372F"/>
    <w:rsid w:val="76FD3C10"/>
    <w:rsid w:val="772C33D8"/>
    <w:rsid w:val="775F7911"/>
    <w:rsid w:val="778356EE"/>
    <w:rsid w:val="7795690D"/>
    <w:rsid w:val="78654DF4"/>
    <w:rsid w:val="786F7A21"/>
    <w:rsid w:val="7871743B"/>
    <w:rsid w:val="78AC52A2"/>
    <w:rsid w:val="78C22246"/>
    <w:rsid w:val="78D37FAF"/>
    <w:rsid w:val="79435FC4"/>
    <w:rsid w:val="79505FD9"/>
    <w:rsid w:val="79567BC4"/>
    <w:rsid w:val="795F7A95"/>
    <w:rsid w:val="796A01BC"/>
    <w:rsid w:val="79703A50"/>
    <w:rsid w:val="79725A1A"/>
    <w:rsid w:val="79826CFE"/>
    <w:rsid w:val="798D2B1A"/>
    <w:rsid w:val="79993DA8"/>
    <w:rsid w:val="79AC2001"/>
    <w:rsid w:val="79BB1CDC"/>
    <w:rsid w:val="79F20909"/>
    <w:rsid w:val="7A546ECE"/>
    <w:rsid w:val="7A592C72"/>
    <w:rsid w:val="7A94376E"/>
    <w:rsid w:val="7ABE4C8F"/>
    <w:rsid w:val="7AE069B4"/>
    <w:rsid w:val="7AFC3A89"/>
    <w:rsid w:val="7B095400"/>
    <w:rsid w:val="7B6E2211"/>
    <w:rsid w:val="7B75534E"/>
    <w:rsid w:val="7B767318"/>
    <w:rsid w:val="7B8657AD"/>
    <w:rsid w:val="7BDC0A6A"/>
    <w:rsid w:val="7BE95D3C"/>
    <w:rsid w:val="7BFA3AA5"/>
    <w:rsid w:val="7C136915"/>
    <w:rsid w:val="7C15268D"/>
    <w:rsid w:val="7C6A0C2B"/>
    <w:rsid w:val="7C833A9B"/>
    <w:rsid w:val="7C8B294F"/>
    <w:rsid w:val="7C8E41ED"/>
    <w:rsid w:val="7CAD20F4"/>
    <w:rsid w:val="7CCF4F32"/>
    <w:rsid w:val="7CE56503"/>
    <w:rsid w:val="7D126BCC"/>
    <w:rsid w:val="7D1F7C67"/>
    <w:rsid w:val="7D80447E"/>
    <w:rsid w:val="7D9925BD"/>
    <w:rsid w:val="7E250F14"/>
    <w:rsid w:val="7E266DD3"/>
    <w:rsid w:val="7E355268"/>
    <w:rsid w:val="7E3E411D"/>
    <w:rsid w:val="7E5413FF"/>
    <w:rsid w:val="7E61605D"/>
    <w:rsid w:val="7E6D67B0"/>
    <w:rsid w:val="7E9A331D"/>
    <w:rsid w:val="7ECD724F"/>
    <w:rsid w:val="7EDC7492"/>
    <w:rsid w:val="7EE06F82"/>
    <w:rsid w:val="7F2478EC"/>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69993E-9668-4348-A45C-75897190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Body Text"/>
    <w:basedOn w:val="a"/>
    <w:uiPriority w:val="1"/>
    <w:qFormat/>
    <w:pPr>
      <w:ind w:left="319"/>
    </w:pPr>
    <w:rPr>
      <w:sz w:val="24"/>
      <w:szCs w:val="24"/>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7">
    <w:name w:val="Normal (Web)"/>
    <w:basedOn w:val="a"/>
    <w:semiHidden/>
    <w:unhideWhenUsed/>
    <w:qFormat/>
    <w:pPr>
      <w:spacing w:beforeAutospacing="1" w:afterAutospacing="1"/>
    </w:pPr>
    <w:rPr>
      <w:rFonts w:cs="Times New Roman"/>
      <w:sz w:val="24"/>
      <w:lang w:val="en-US" w:bidi="ar-SA"/>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0"/>
    <w:qFormat/>
    <w:rPr>
      <w:b/>
    </w:rPr>
  </w:style>
  <w:style w:type="character" w:styleId="aa">
    <w:name w:val="Emphasis"/>
    <w:basedOn w:val="a0"/>
    <w:qFormat/>
    <w:rPr>
      <w:i/>
    </w:rPr>
  </w:style>
  <w:style w:type="character" w:styleId="ab">
    <w:name w:val="annotation reference"/>
    <w:basedOn w:val="a0"/>
    <w:semiHidden/>
    <w:unhideWhenUsed/>
    <w:qFormat/>
    <w:rPr>
      <w:sz w:val="21"/>
      <w:szCs w:val="21"/>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1">
    <w:name w:val="修订1"/>
    <w:hidden/>
    <w:uiPriority w:val="99"/>
    <w:unhideWhenUsed/>
    <w:qFormat/>
    <w:rPr>
      <w:rFonts w:ascii="宋体" w:hAnsi="宋体" w:cs="宋体"/>
      <w:sz w:val="22"/>
      <w:szCs w:val="22"/>
      <w:lang w:val="zh-CN" w:bidi="zh-CN"/>
    </w:rPr>
  </w:style>
  <w:style w:type="paragraph" w:styleId="ac">
    <w:name w:val="Revision"/>
    <w:hidden/>
    <w:uiPriority w:val="99"/>
    <w:unhideWhenUsed/>
    <w:rsid w:val="00A03F87"/>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232</Words>
  <Characters>1328</Characters>
  <Application>Microsoft Office Word</Application>
  <DocSecurity>0</DocSecurity>
  <Lines>11</Lines>
  <Paragraphs>3</Paragraphs>
  <ScaleCrop>false</ScaleCrop>
  <Company>HBSC</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2</cp:revision>
  <dcterms:created xsi:type="dcterms:W3CDTF">2024-01-06T02:18:00Z</dcterms:created>
  <dcterms:modified xsi:type="dcterms:W3CDTF">2025-06-20T09:05:00Z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5FD3030E58F0468D850FB051899F029E_13</vt:lpwstr>
  </property>
  <property fmtid="{D5CDD505-2E9C-101B-9397-08002B2CF9AE}" pid="4" name="KSOTemplateDocerSaveRecord">
    <vt:lpwstr>eyJoZGlkIjoiMmFmYzg4YzhmOGM5NWY3YTYyYTQ2ZDcyNmEwNmFjZDciLCJ1c2VySWQiOiIxMTgxNzg2NTk3In0=</vt:lpwstr>
  </property>
</Properties>
</file>