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BA9E" w14:textId="7777777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编号：2</w:t>
      </w:r>
      <w:r>
        <w:rPr>
          <w:rFonts w:ascii="宋体" w:eastAsia="宋体" w:hAnsi="宋体" w:cs="宋体"/>
          <w:b/>
          <w:color w:val="000000"/>
          <w:sz w:val="24"/>
          <w:szCs w:val="24"/>
        </w:rPr>
        <w:t>025-008</w:t>
      </w:r>
    </w:p>
    <w:p w14:paraId="21A2068B" w14:textId="77777777" w:rsidR="006D7AE7" w:rsidRDefault="006D7AE7">
      <w:pPr>
        <w:rPr>
          <w:rFonts w:ascii="宋体" w:eastAsia="宋体" w:hAnsi="宋体" w:cs="宋体"/>
          <w:b/>
          <w:color w:val="000000"/>
          <w:sz w:val="24"/>
          <w:szCs w:val="24"/>
        </w:rPr>
      </w:pPr>
    </w:p>
    <w:p w14:paraId="74650476"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68D6E210"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02BCD161" w14:textId="77777777" w:rsidR="006D7AE7" w:rsidRDefault="006D7AE7">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49"/>
        <w:gridCol w:w="2069"/>
        <w:gridCol w:w="2082"/>
      </w:tblGrid>
      <w:tr w:rsidR="006D7AE7" w14:paraId="13BC2FC4" w14:textId="77777777">
        <w:trPr>
          <w:trHeight w:val="452"/>
        </w:trPr>
        <w:tc>
          <w:tcPr>
            <w:tcW w:w="1996" w:type="dxa"/>
            <w:shd w:val="clear" w:color="auto" w:fill="auto"/>
          </w:tcPr>
          <w:p w14:paraId="52F1A12F"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2149" w:type="dxa"/>
            <w:shd w:val="clear" w:color="auto" w:fill="auto"/>
          </w:tcPr>
          <w:p w14:paraId="4FE64AD2" w14:textId="66D87366"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025.6.</w:t>
            </w:r>
            <w:r w:rsidR="00661300">
              <w:rPr>
                <w:rFonts w:ascii="宋体" w:eastAsia="宋体" w:hAnsi="宋体" w:cs="宋体"/>
                <w:color w:val="000000"/>
                <w:sz w:val="24"/>
                <w:szCs w:val="24"/>
              </w:rPr>
              <w:t>16</w:t>
            </w:r>
            <w:r w:rsidR="00661300">
              <w:rPr>
                <w:rFonts w:ascii="宋体" w:eastAsia="宋体" w:hAnsi="宋体" w:cs="宋体" w:hint="eastAsia"/>
                <w:color w:val="000000"/>
                <w:sz w:val="24"/>
                <w:szCs w:val="24"/>
              </w:rPr>
              <w:t>至</w:t>
            </w:r>
            <w:r w:rsidR="00661300">
              <w:rPr>
                <w:rFonts w:ascii="宋体" w:eastAsia="宋体" w:hAnsi="宋体" w:cs="宋体"/>
                <w:color w:val="000000"/>
                <w:sz w:val="24"/>
                <w:szCs w:val="24"/>
              </w:rPr>
              <w:t>2025.6.</w:t>
            </w:r>
            <w:r>
              <w:rPr>
                <w:rFonts w:ascii="宋体" w:eastAsia="宋体" w:hAnsi="宋体" w:cs="宋体"/>
                <w:color w:val="000000"/>
                <w:sz w:val="24"/>
                <w:szCs w:val="24"/>
              </w:rPr>
              <w:t>20</w:t>
            </w:r>
          </w:p>
        </w:tc>
        <w:tc>
          <w:tcPr>
            <w:tcW w:w="2069" w:type="dxa"/>
            <w:shd w:val="clear" w:color="auto" w:fill="auto"/>
          </w:tcPr>
          <w:p w14:paraId="5B6BC761"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时间</w:t>
            </w:r>
          </w:p>
        </w:tc>
        <w:tc>
          <w:tcPr>
            <w:tcW w:w="2082" w:type="dxa"/>
            <w:shd w:val="clear" w:color="auto" w:fill="auto"/>
          </w:tcPr>
          <w:p w14:paraId="2B6BCD75" w14:textId="597A9635"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1</w:t>
            </w:r>
            <w:r>
              <w:rPr>
                <w:rFonts w:ascii="宋体" w:eastAsia="宋体" w:hAnsi="宋体" w:cs="宋体"/>
                <w:color w:val="000000"/>
                <w:sz w:val="24"/>
                <w:szCs w:val="24"/>
              </w:rPr>
              <w:t>1</w:t>
            </w:r>
            <w:r>
              <w:rPr>
                <w:rFonts w:ascii="宋体" w:eastAsia="宋体" w:hAnsi="宋体" w:cs="宋体" w:hint="eastAsia"/>
                <w:color w:val="000000"/>
                <w:sz w:val="24"/>
                <w:szCs w:val="24"/>
              </w:rPr>
              <w:t>：0</w:t>
            </w:r>
            <w:r>
              <w:rPr>
                <w:rFonts w:ascii="宋体" w:eastAsia="宋体" w:hAnsi="宋体" w:cs="宋体"/>
                <w:color w:val="000000"/>
                <w:sz w:val="24"/>
                <w:szCs w:val="24"/>
              </w:rPr>
              <w:t>0</w:t>
            </w:r>
            <w:r w:rsidR="00661300">
              <w:rPr>
                <w:rFonts w:ascii="宋体" w:eastAsia="宋体" w:hAnsi="宋体" w:cs="宋体" w:hint="eastAsia"/>
                <w:color w:val="000000"/>
                <w:sz w:val="24"/>
                <w:szCs w:val="24"/>
              </w:rPr>
              <w:t>至1</w:t>
            </w:r>
            <w:r w:rsidR="00661300">
              <w:rPr>
                <w:rFonts w:ascii="宋体" w:eastAsia="宋体" w:hAnsi="宋体" w:cs="宋体"/>
                <w:color w:val="000000"/>
                <w:sz w:val="24"/>
                <w:szCs w:val="24"/>
              </w:rPr>
              <w:t>6</w:t>
            </w:r>
            <w:r w:rsidR="00661300">
              <w:rPr>
                <w:rFonts w:ascii="宋体" w:eastAsia="宋体" w:hAnsi="宋体" w:cs="宋体" w:hint="eastAsia"/>
                <w:color w:val="000000"/>
                <w:sz w:val="24"/>
                <w:szCs w:val="24"/>
              </w:rPr>
              <w:t>：0</w:t>
            </w:r>
            <w:r w:rsidR="00661300">
              <w:rPr>
                <w:rFonts w:ascii="宋体" w:eastAsia="宋体" w:hAnsi="宋体" w:cs="宋体"/>
                <w:color w:val="000000"/>
                <w:sz w:val="24"/>
                <w:szCs w:val="24"/>
              </w:rPr>
              <w:t>0</w:t>
            </w:r>
            <w:bookmarkStart w:id="0" w:name="_GoBack"/>
            <w:bookmarkEnd w:id="0"/>
          </w:p>
        </w:tc>
      </w:tr>
      <w:tr w:rsidR="006D7AE7" w14:paraId="1214C32F" w14:textId="77777777">
        <w:trPr>
          <w:trHeight w:val="467"/>
        </w:trPr>
        <w:tc>
          <w:tcPr>
            <w:tcW w:w="1996" w:type="dxa"/>
            <w:shd w:val="clear" w:color="auto" w:fill="auto"/>
          </w:tcPr>
          <w:p w14:paraId="35D7A4EB"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地点</w:t>
            </w:r>
          </w:p>
        </w:tc>
        <w:tc>
          <w:tcPr>
            <w:tcW w:w="6300" w:type="dxa"/>
            <w:gridSpan w:val="3"/>
            <w:shd w:val="clear" w:color="auto" w:fill="auto"/>
          </w:tcPr>
          <w:p w14:paraId="26EC93C6" w14:textId="77777777"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bookmarkStart w:id="1" w:name="OLE_LINK1"/>
            <w:bookmarkStart w:id="2" w:name="OLE_LINK2"/>
            <w:r>
              <w:rPr>
                <w:rFonts w:ascii="宋体" w:eastAsia="宋体" w:hAnsi="宋体" w:cs="宋体" w:hint="eastAsia"/>
                <w:color w:val="000000"/>
                <w:sz w:val="24"/>
                <w:szCs w:val="24"/>
              </w:rPr>
              <w:t>及相关机构办公地点</w:t>
            </w:r>
            <w:bookmarkEnd w:id="1"/>
            <w:bookmarkEnd w:id="2"/>
          </w:p>
        </w:tc>
      </w:tr>
      <w:tr w:rsidR="006D7AE7" w14:paraId="0ADB1D1D" w14:textId="77777777">
        <w:trPr>
          <w:trHeight w:val="3333"/>
        </w:trPr>
        <w:tc>
          <w:tcPr>
            <w:tcW w:w="1996" w:type="dxa"/>
            <w:shd w:val="clear" w:color="auto" w:fill="auto"/>
            <w:vAlign w:val="center"/>
          </w:tcPr>
          <w:p w14:paraId="34A534A1" w14:textId="77777777" w:rsidR="006D7AE7" w:rsidRDefault="00081D73">
            <w:pPr>
              <w:spacing w:line="480" w:lineRule="auto"/>
              <w:rPr>
                <w:rFonts w:ascii="宋体" w:eastAsia="宋体" w:hAnsi="宋体" w:cs="宋体"/>
                <w:b/>
                <w:color w:val="000000"/>
                <w:sz w:val="24"/>
                <w:szCs w:val="24"/>
              </w:rPr>
            </w:pPr>
            <w:r>
              <w:rPr>
                <w:rFonts w:ascii="宋体" w:eastAsia="宋体" w:hAnsi="宋体" w:cs="宋体" w:hint="eastAsia"/>
                <w:b/>
                <w:color w:val="000000"/>
                <w:sz w:val="24"/>
                <w:szCs w:val="24"/>
              </w:rPr>
              <w:t>投资者关系活动形式</w:t>
            </w:r>
          </w:p>
        </w:tc>
        <w:tc>
          <w:tcPr>
            <w:tcW w:w="6300" w:type="dxa"/>
            <w:gridSpan w:val="3"/>
            <w:shd w:val="clear" w:color="auto" w:fill="auto"/>
          </w:tcPr>
          <w:p w14:paraId="0E595617" w14:textId="77777777" w:rsidR="006D7AE7" w:rsidRDefault="00081D73">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√特</w:t>
            </w:r>
            <w:r>
              <w:rPr>
                <w:rFonts w:ascii="宋体" w:eastAsia="宋体" w:hAnsi="宋体" w:cs="宋体" w:hint="eastAsia"/>
                <w:spacing w:val="-3"/>
                <w:kern w:val="0"/>
                <w:sz w:val="24"/>
                <w:szCs w:val="24"/>
                <w:lang w:val="zh-CN" w:bidi="zh-CN"/>
              </w:rPr>
              <w:t>定</w:t>
            </w:r>
            <w:r>
              <w:rPr>
                <w:rFonts w:ascii="宋体" w:eastAsia="宋体" w:hAnsi="宋体" w:cs="宋体" w:hint="eastAsia"/>
                <w:kern w:val="0"/>
                <w:sz w:val="24"/>
                <w:szCs w:val="24"/>
                <w:lang w:val="zh-CN" w:bidi="zh-CN"/>
              </w:rPr>
              <w:t>对</w:t>
            </w:r>
            <w:r>
              <w:rPr>
                <w:rFonts w:ascii="宋体" w:eastAsia="宋体" w:hAnsi="宋体" w:cs="宋体" w:hint="eastAsia"/>
                <w:spacing w:val="-3"/>
                <w:kern w:val="0"/>
                <w:sz w:val="24"/>
                <w:szCs w:val="24"/>
                <w:lang w:val="zh-CN" w:bidi="zh-CN"/>
              </w:rPr>
              <w:t>象</w:t>
            </w:r>
            <w:r>
              <w:rPr>
                <w:rFonts w:ascii="宋体" w:eastAsia="宋体" w:hAnsi="宋体" w:cs="宋体" w:hint="eastAsia"/>
                <w:kern w:val="0"/>
                <w:sz w:val="24"/>
                <w:szCs w:val="24"/>
                <w:lang w:val="zh-CN" w:bidi="zh-CN"/>
              </w:rPr>
              <w:t>调研</w:t>
            </w:r>
            <w:r>
              <w:rPr>
                <w:rFonts w:ascii="宋体" w:eastAsia="宋体" w:hAnsi="宋体" w:cs="宋体" w:hint="eastAsia"/>
                <w:kern w:val="0"/>
                <w:sz w:val="24"/>
                <w:szCs w:val="24"/>
                <w:lang w:val="zh-CN" w:bidi="zh-CN"/>
              </w:rPr>
              <w:tab/>
              <w:t>□分</w:t>
            </w:r>
            <w:r>
              <w:rPr>
                <w:rFonts w:ascii="宋体" w:eastAsia="宋体" w:hAnsi="宋体" w:cs="宋体" w:hint="eastAsia"/>
                <w:spacing w:val="-3"/>
                <w:kern w:val="0"/>
                <w:sz w:val="24"/>
                <w:szCs w:val="24"/>
                <w:lang w:val="zh-CN" w:bidi="zh-CN"/>
              </w:rPr>
              <w:t>析</w:t>
            </w:r>
            <w:r>
              <w:rPr>
                <w:rFonts w:ascii="宋体" w:eastAsia="宋体" w:hAnsi="宋体" w:cs="宋体" w:hint="eastAsia"/>
                <w:kern w:val="0"/>
                <w:sz w:val="24"/>
                <w:szCs w:val="24"/>
                <w:lang w:val="zh-CN" w:bidi="zh-CN"/>
              </w:rPr>
              <w:t>师</w:t>
            </w:r>
            <w:r>
              <w:rPr>
                <w:rFonts w:ascii="宋体" w:eastAsia="宋体" w:hAnsi="宋体" w:cs="宋体" w:hint="eastAsia"/>
                <w:spacing w:val="-3"/>
                <w:kern w:val="0"/>
                <w:sz w:val="24"/>
                <w:szCs w:val="24"/>
                <w:lang w:val="zh-CN" w:bidi="zh-CN"/>
              </w:rPr>
              <w:t>会</w:t>
            </w:r>
            <w:r>
              <w:rPr>
                <w:rFonts w:ascii="宋体" w:eastAsia="宋体" w:hAnsi="宋体" w:cs="宋体" w:hint="eastAsia"/>
                <w:kern w:val="0"/>
                <w:sz w:val="24"/>
                <w:szCs w:val="24"/>
                <w:lang w:val="zh-CN" w:bidi="zh-CN"/>
              </w:rPr>
              <w:t>议</w:t>
            </w:r>
          </w:p>
          <w:p w14:paraId="1A2F926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69A3F99C"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□媒</w:t>
            </w:r>
            <w:r>
              <w:rPr>
                <w:rFonts w:ascii="宋体" w:eastAsia="宋体" w:hAnsi="宋体" w:cs="宋体" w:hint="eastAsia"/>
                <w:spacing w:val="-3"/>
                <w:kern w:val="0"/>
                <w:sz w:val="24"/>
                <w:szCs w:val="24"/>
                <w:lang w:val="zh-CN" w:bidi="zh-CN"/>
              </w:rPr>
              <w:t>体</w:t>
            </w:r>
            <w:r>
              <w:rPr>
                <w:rFonts w:ascii="宋体" w:eastAsia="宋体" w:hAnsi="宋体" w:cs="宋体" w:hint="eastAsia"/>
                <w:kern w:val="0"/>
                <w:sz w:val="24"/>
                <w:szCs w:val="24"/>
                <w:lang w:val="zh-CN" w:bidi="zh-CN"/>
              </w:rPr>
              <w:t>采访</w:t>
            </w:r>
            <w:r>
              <w:rPr>
                <w:rFonts w:ascii="宋体" w:eastAsia="宋体" w:hAnsi="宋体" w:cs="宋体" w:hint="eastAsia"/>
                <w:kern w:val="0"/>
                <w:sz w:val="24"/>
                <w:szCs w:val="24"/>
                <w:lang w:val="zh-CN" w:bidi="zh-CN"/>
              </w:rPr>
              <w:tab/>
              <w:t>□业</w:t>
            </w:r>
            <w:r>
              <w:rPr>
                <w:rFonts w:ascii="宋体" w:eastAsia="宋体" w:hAnsi="宋体" w:cs="宋体" w:hint="eastAsia"/>
                <w:spacing w:val="-3"/>
                <w:kern w:val="0"/>
                <w:sz w:val="24"/>
                <w:szCs w:val="24"/>
                <w:lang w:val="zh-CN" w:bidi="zh-CN"/>
              </w:rPr>
              <w:t>绩</w:t>
            </w:r>
            <w:r>
              <w:rPr>
                <w:rFonts w:ascii="宋体" w:eastAsia="宋体" w:hAnsi="宋体" w:cs="宋体" w:hint="eastAsia"/>
                <w:kern w:val="0"/>
                <w:sz w:val="24"/>
                <w:szCs w:val="24"/>
                <w:lang w:val="zh-CN" w:bidi="zh-CN"/>
              </w:rPr>
              <w:t>说</w:t>
            </w:r>
            <w:r>
              <w:rPr>
                <w:rFonts w:ascii="宋体" w:eastAsia="宋体" w:hAnsi="宋体" w:cs="宋体" w:hint="eastAsia"/>
                <w:spacing w:val="-3"/>
                <w:kern w:val="0"/>
                <w:sz w:val="24"/>
                <w:szCs w:val="24"/>
                <w:lang w:val="zh-CN" w:bidi="zh-CN"/>
              </w:rPr>
              <w:t>明</w:t>
            </w:r>
            <w:r>
              <w:rPr>
                <w:rFonts w:ascii="宋体" w:eastAsia="宋体" w:hAnsi="宋体" w:cs="宋体" w:hint="eastAsia"/>
                <w:kern w:val="0"/>
                <w:sz w:val="24"/>
                <w:szCs w:val="24"/>
                <w:lang w:val="zh-CN" w:bidi="zh-CN"/>
              </w:rPr>
              <w:t>会</w:t>
            </w:r>
          </w:p>
          <w:p w14:paraId="6A46F37E"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124E25C4"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□新</w:t>
            </w:r>
            <w:r>
              <w:rPr>
                <w:rFonts w:ascii="宋体" w:eastAsia="宋体" w:hAnsi="宋体" w:cs="宋体" w:hint="eastAsia"/>
                <w:spacing w:val="-3"/>
                <w:kern w:val="0"/>
                <w:sz w:val="24"/>
                <w:szCs w:val="24"/>
                <w:lang w:val="zh-CN" w:bidi="zh-CN"/>
              </w:rPr>
              <w:t>闻</w:t>
            </w:r>
            <w:r>
              <w:rPr>
                <w:rFonts w:ascii="宋体" w:eastAsia="宋体" w:hAnsi="宋体" w:cs="宋体" w:hint="eastAsia"/>
                <w:kern w:val="0"/>
                <w:sz w:val="24"/>
                <w:szCs w:val="24"/>
                <w:lang w:val="zh-CN" w:bidi="zh-CN"/>
              </w:rPr>
              <w:t>发</w:t>
            </w:r>
            <w:r>
              <w:rPr>
                <w:rFonts w:ascii="宋体" w:eastAsia="宋体" w:hAnsi="宋体" w:cs="宋体" w:hint="eastAsia"/>
                <w:spacing w:val="-3"/>
                <w:kern w:val="0"/>
                <w:sz w:val="24"/>
                <w:szCs w:val="24"/>
                <w:lang w:val="zh-CN" w:bidi="zh-CN"/>
              </w:rPr>
              <w:t>布</w:t>
            </w:r>
            <w:r>
              <w:rPr>
                <w:rFonts w:ascii="宋体" w:eastAsia="宋体" w:hAnsi="宋体" w:cs="宋体" w:hint="eastAsia"/>
                <w:kern w:val="0"/>
                <w:sz w:val="24"/>
                <w:szCs w:val="24"/>
                <w:lang w:val="zh-CN" w:bidi="zh-CN"/>
              </w:rPr>
              <w:t>会</w:t>
            </w:r>
            <w:r>
              <w:rPr>
                <w:rFonts w:ascii="宋体" w:eastAsia="宋体" w:hAnsi="宋体" w:cs="宋体" w:hint="eastAsia"/>
                <w:kern w:val="0"/>
                <w:sz w:val="24"/>
                <w:szCs w:val="24"/>
                <w:lang w:val="zh-CN" w:bidi="zh-CN"/>
              </w:rPr>
              <w:tab/>
              <w:t>√路</w:t>
            </w:r>
            <w:r>
              <w:rPr>
                <w:rFonts w:ascii="宋体" w:eastAsia="宋体" w:hAnsi="宋体" w:cs="宋体" w:hint="eastAsia"/>
                <w:spacing w:val="-3"/>
                <w:kern w:val="0"/>
                <w:sz w:val="24"/>
                <w:szCs w:val="24"/>
                <w:lang w:val="zh-CN" w:bidi="zh-CN"/>
              </w:rPr>
              <w:t>演</w:t>
            </w:r>
            <w:r>
              <w:rPr>
                <w:rFonts w:ascii="宋体" w:eastAsia="宋体" w:hAnsi="宋体" w:cs="宋体" w:hint="eastAsia"/>
                <w:kern w:val="0"/>
                <w:sz w:val="24"/>
                <w:szCs w:val="24"/>
                <w:lang w:val="zh-CN" w:bidi="zh-CN"/>
              </w:rPr>
              <w:t>活动</w:t>
            </w:r>
          </w:p>
          <w:p w14:paraId="6FB516B6"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0E6D3954" w14:textId="77777777" w:rsidR="006D7AE7" w:rsidRDefault="00081D73">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√现场参观</w:t>
            </w:r>
          </w:p>
          <w:p w14:paraId="6E6C175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34824724" w14:textId="77777777" w:rsidR="006D7AE7" w:rsidRDefault="00081D73">
            <w:pPr>
              <w:spacing w:line="360" w:lineRule="auto"/>
              <w:jc w:val="left"/>
              <w:rPr>
                <w:rFonts w:ascii="宋体" w:eastAsia="宋体" w:hAnsi="宋体" w:cs="宋体"/>
                <w:b/>
                <w:color w:val="000000"/>
                <w:sz w:val="24"/>
                <w:szCs w:val="24"/>
              </w:rPr>
            </w:pPr>
            <w:r>
              <w:rPr>
                <w:rFonts w:ascii="宋体" w:eastAsia="宋体" w:hAnsi="宋体" w:cs="宋体" w:hint="eastAsia"/>
                <w:kern w:val="0"/>
                <w:sz w:val="24"/>
                <w:szCs w:val="24"/>
                <w:lang w:val="zh-CN" w:bidi="zh-CN"/>
              </w:rPr>
              <w:t>□其他（</w:t>
            </w:r>
            <w:r>
              <w:rPr>
                <w:rFonts w:ascii="宋体" w:eastAsia="宋体" w:hAnsi="宋体" w:cs="宋体" w:hint="eastAsia"/>
                <w:kern w:val="0"/>
                <w:sz w:val="24"/>
                <w:szCs w:val="24"/>
                <w:u w:val="single"/>
                <w:lang w:val="zh-CN" w:bidi="zh-CN"/>
              </w:rPr>
              <w:t>请文字说明其他活动内容）</w:t>
            </w:r>
          </w:p>
        </w:tc>
      </w:tr>
      <w:tr w:rsidR="006D7AE7" w14:paraId="34E86A19" w14:textId="77777777">
        <w:trPr>
          <w:trHeight w:val="354"/>
        </w:trPr>
        <w:tc>
          <w:tcPr>
            <w:tcW w:w="1996" w:type="dxa"/>
            <w:shd w:val="clear" w:color="auto" w:fill="auto"/>
          </w:tcPr>
          <w:p w14:paraId="4F0D9102" w14:textId="7777777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参与单位名称人员及职务</w:t>
            </w:r>
          </w:p>
        </w:tc>
        <w:tc>
          <w:tcPr>
            <w:tcW w:w="6300" w:type="dxa"/>
            <w:gridSpan w:val="3"/>
            <w:shd w:val="clear" w:color="auto" w:fill="auto"/>
            <w:vAlign w:val="center"/>
          </w:tcPr>
          <w:p w14:paraId="6D9719CD" w14:textId="77777777" w:rsidR="006D7AE7" w:rsidRDefault="00081D73">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申万宏源证券、中山证券、中欧基金、天弘基金、长城基金、汇添富基金、太平养老保险、长盛基金、华商基金、汇丰晋信、富安达基金、泰康基金、华安基金、新华资产、招商基金、南方基金、摩根士丹利、申万菱信基金、安联保险资产、寓隆资产、和谐健康保险、格行资产投资、中达投资、敦和资产、锦洋资产、北京泽铭投资、理石投资、君榕资产、格传基金、感叹号基金、悦溪基金、中国信达、同泰基金、红土创新基金、平安基金、金信基金等</w:t>
            </w:r>
          </w:p>
        </w:tc>
      </w:tr>
      <w:tr w:rsidR="006D7AE7" w14:paraId="5C14A077" w14:textId="77777777">
        <w:trPr>
          <w:trHeight w:val="519"/>
        </w:trPr>
        <w:tc>
          <w:tcPr>
            <w:tcW w:w="1996" w:type="dxa"/>
            <w:shd w:val="clear" w:color="auto" w:fill="auto"/>
            <w:vAlign w:val="center"/>
          </w:tcPr>
          <w:p w14:paraId="20DC1D14" w14:textId="77777777" w:rsidR="006D7AE7" w:rsidRDefault="00081D73">
            <w:pPr>
              <w:rPr>
                <w:rFonts w:ascii="宋体" w:eastAsia="宋体" w:hAnsi="宋体" w:cs="宋体"/>
                <w:b/>
                <w:color w:val="000000"/>
                <w:sz w:val="24"/>
                <w:szCs w:val="24"/>
              </w:rPr>
            </w:pPr>
            <w:r>
              <w:rPr>
                <w:rFonts w:ascii="宋体" w:eastAsia="宋体" w:hAnsi="宋体" w:cs="宋体" w:hint="eastAsia"/>
                <w:b/>
                <w:color w:val="000000"/>
                <w:sz w:val="24"/>
                <w:szCs w:val="24"/>
              </w:rPr>
              <w:t>公司接待人员及职务</w:t>
            </w:r>
          </w:p>
        </w:tc>
        <w:tc>
          <w:tcPr>
            <w:tcW w:w="6300" w:type="dxa"/>
            <w:gridSpan w:val="3"/>
            <w:shd w:val="clear" w:color="auto" w:fill="auto"/>
          </w:tcPr>
          <w:p w14:paraId="0387EC8D" w14:textId="77777777"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副董事长、总经理：翁康先生</w:t>
            </w:r>
          </w:p>
          <w:p w14:paraId="3038DCD1" w14:textId="77777777" w:rsidR="006D7AE7" w:rsidRDefault="00081D73">
            <w:pPr>
              <w:spacing w:line="360" w:lineRule="auto"/>
              <w:jc w:val="left"/>
              <w:rPr>
                <w:rFonts w:ascii="宋体" w:eastAsia="宋体" w:hAnsi="宋体" w:cs="宋体"/>
                <w:color w:val="000000"/>
                <w:sz w:val="24"/>
                <w:szCs w:val="24"/>
              </w:rPr>
            </w:pPr>
            <w:r>
              <w:rPr>
                <w:rFonts w:ascii="宋体" w:eastAsia="宋体" w:hAnsi="宋体" w:cs="宋体" w:hint="eastAsia"/>
                <w:spacing w:val="-3"/>
                <w:kern w:val="0"/>
                <w:sz w:val="24"/>
                <w:szCs w:val="24"/>
                <w:lang w:val="zh-CN" w:bidi="zh-CN"/>
              </w:rPr>
              <w:t>副总经理、董事会秘书：李孟豪先生</w:t>
            </w:r>
          </w:p>
        </w:tc>
      </w:tr>
      <w:tr w:rsidR="006D7AE7" w14:paraId="4F439902" w14:textId="77777777">
        <w:trPr>
          <w:trHeight w:val="497"/>
        </w:trPr>
        <w:tc>
          <w:tcPr>
            <w:tcW w:w="1996" w:type="dxa"/>
            <w:shd w:val="clear" w:color="auto" w:fill="auto"/>
          </w:tcPr>
          <w:p w14:paraId="55FD27DD"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主题</w:t>
            </w:r>
          </w:p>
        </w:tc>
        <w:tc>
          <w:tcPr>
            <w:tcW w:w="6300" w:type="dxa"/>
            <w:gridSpan w:val="3"/>
            <w:shd w:val="clear" w:color="auto" w:fill="auto"/>
          </w:tcPr>
          <w:p w14:paraId="3A7A55A9"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6D7AE7" w14:paraId="0096C3A8" w14:textId="77777777">
        <w:trPr>
          <w:trHeight w:val="287"/>
        </w:trPr>
        <w:tc>
          <w:tcPr>
            <w:tcW w:w="1996" w:type="dxa"/>
            <w:shd w:val="clear" w:color="auto" w:fill="auto"/>
          </w:tcPr>
          <w:p w14:paraId="16C3E75A"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lastRenderedPageBreak/>
              <w:t>附件清单（如有）</w:t>
            </w:r>
          </w:p>
        </w:tc>
        <w:tc>
          <w:tcPr>
            <w:tcW w:w="6300" w:type="dxa"/>
            <w:gridSpan w:val="3"/>
            <w:shd w:val="clear" w:color="auto" w:fill="auto"/>
          </w:tcPr>
          <w:p w14:paraId="453AFAA9" w14:textId="77777777" w:rsidR="006D7AE7" w:rsidRDefault="006D7AE7">
            <w:pPr>
              <w:spacing w:line="480" w:lineRule="auto"/>
              <w:jc w:val="left"/>
              <w:rPr>
                <w:rFonts w:ascii="宋体" w:eastAsia="宋体" w:hAnsi="宋体" w:cs="宋体"/>
                <w:b/>
                <w:color w:val="000000"/>
                <w:sz w:val="24"/>
                <w:szCs w:val="24"/>
              </w:rPr>
            </w:pPr>
          </w:p>
        </w:tc>
      </w:tr>
      <w:tr w:rsidR="006D7AE7" w14:paraId="695C6F76" w14:textId="77777777">
        <w:tc>
          <w:tcPr>
            <w:tcW w:w="8296" w:type="dxa"/>
            <w:gridSpan w:val="4"/>
            <w:shd w:val="clear" w:color="auto" w:fill="auto"/>
          </w:tcPr>
          <w:p w14:paraId="39B99BFC" w14:textId="77777777" w:rsidR="006D7AE7" w:rsidRDefault="00081D73">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w:t>
            </w:r>
          </w:p>
        </w:tc>
      </w:tr>
      <w:tr w:rsidR="006D7AE7" w14:paraId="147BE253" w14:textId="77777777">
        <w:trPr>
          <w:trHeight w:val="2136"/>
        </w:trPr>
        <w:tc>
          <w:tcPr>
            <w:tcW w:w="8296" w:type="dxa"/>
            <w:gridSpan w:val="4"/>
            <w:shd w:val="clear" w:color="auto" w:fill="auto"/>
          </w:tcPr>
          <w:p w14:paraId="6C63CA20" w14:textId="77777777" w:rsidR="006D7AE7" w:rsidRDefault="006D7AE7">
            <w:pPr>
              <w:spacing w:line="360" w:lineRule="auto"/>
              <w:rPr>
                <w:rFonts w:ascii="宋体" w:eastAsia="宋体" w:hAnsi="宋体" w:cs="宋体"/>
                <w:sz w:val="24"/>
                <w:szCs w:val="24"/>
              </w:rPr>
            </w:pPr>
          </w:p>
          <w:p w14:paraId="2429DC7D"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1、公司在重组后，在组织架构方面有什么变化？</w:t>
            </w:r>
          </w:p>
          <w:p w14:paraId="355328B0"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在完成重大资产重组后组织架构及管理模式与之前保持一致。公司董事长由控股股东派任，负责制定公司的战略发展方向，维持市场化经营，保证公司经营效率。原控股股东翁康先生担任公司的总经理，主要负责业务经营的统一管理，以及公司整体业务战略的落地工作。</w:t>
            </w:r>
          </w:p>
          <w:p w14:paraId="454B09AE" w14:textId="77777777" w:rsidR="006D7AE7" w:rsidRDefault="006D7AE7">
            <w:pPr>
              <w:spacing w:line="360" w:lineRule="auto"/>
              <w:rPr>
                <w:rFonts w:ascii="宋体" w:eastAsia="宋体" w:hAnsi="宋体" w:cs="宋体"/>
                <w:sz w:val="24"/>
                <w:szCs w:val="24"/>
              </w:rPr>
            </w:pPr>
          </w:p>
          <w:p w14:paraId="1820DE26" w14:textId="77777777" w:rsidR="006D7AE7" w:rsidRDefault="00081D73">
            <w:pPr>
              <w:spacing w:line="360" w:lineRule="auto"/>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、公司DoCare与DoRicon系列产品未来的技术升级重点有哪些？</w:t>
            </w:r>
          </w:p>
          <w:p w14:paraId="02798A7E"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DoCare临床信息系统与DoRicon重症平台将持续推进“智能化+平台化”升级。一方面，增强AI模型与临床业务模块的融合能力，在术中监测、风险预警、数据自动结构化等环节实现深度智能化；另一方面，推动产品云化，适应区域协同与多院区部署需求。同时，公司将加快国产软硬件环境的全面适配，构建更具安全性与可拓展性的智慧医疗基础底座。</w:t>
            </w:r>
          </w:p>
          <w:p w14:paraId="181F5CD4" w14:textId="77777777" w:rsidR="006D7AE7" w:rsidRDefault="006D7AE7">
            <w:pPr>
              <w:spacing w:line="360" w:lineRule="auto"/>
              <w:rPr>
                <w:rFonts w:ascii="宋体" w:eastAsia="宋体" w:hAnsi="宋体" w:cs="宋体"/>
                <w:sz w:val="24"/>
                <w:szCs w:val="24"/>
              </w:rPr>
            </w:pPr>
          </w:p>
          <w:p w14:paraId="14713DCE"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3、公司如何参与医疗数据要素产业，探索“数据即资产”的商业模式？</w:t>
            </w:r>
          </w:p>
          <w:p w14:paraId="2316726A"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将医疗信息系统作为数据采集与治理入口，建设数据资产运营平台，探索从“数据采集”到“数据资产化”的闭环路径。在合规前提下，公司以“脱敏化+结构化”方式推动数据治理工作，构建标准化数据标签体系，并依托AI大模型赋能，实现高价值数据的共享机制，积极参与医疗数据要素的产业化进程。</w:t>
            </w:r>
          </w:p>
          <w:p w14:paraId="0C1967B3" w14:textId="25471D8F" w:rsidR="006D7AE7" w:rsidRDefault="006D7AE7">
            <w:pPr>
              <w:spacing w:line="360" w:lineRule="auto"/>
              <w:rPr>
                <w:rFonts w:ascii="宋体" w:eastAsia="宋体" w:hAnsi="宋体" w:cs="宋体"/>
                <w:sz w:val="24"/>
                <w:szCs w:val="24"/>
              </w:rPr>
            </w:pPr>
          </w:p>
          <w:p w14:paraId="7ECB14F5" w14:textId="7FE13BD5" w:rsidR="006D7AE7" w:rsidRDefault="00081D73">
            <w:pPr>
              <w:spacing w:line="360" w:lineRule="auto"/>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、公司在垂类大模型上的主要应用场景有哪些？</w:t>
            </w:r>
          </w:p>
          <w:p w14:paraId="4C6D0A3C"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在医疗垂类大模型方面的应用主要聚焦于医院临床信息系统、急危重症救治、麻醉管理、院前急救等关键场景，通过将AI能力嵌入信息化系统，赋能医生辅助决策、病情预警、数据录入采集等，显著提升工作效率和医疗质</w:t>
            </w:r>
            <w:r>
              <w:rPr>
                <w:rFonts w:ascii="宋体" w:eastAsia="宋体" w:hAnsi="宋体" w:cs="宋体" w:hint="eastAsia"/>
                <w:sz w:val="24"/>
                <w:szCs w:val="24"/>
              </w:rPr>
              <w:lastRenderedPageBreak/>
              <w:t>量。目前，公司正在持续迭代AI Agent能力，未来将向多模态人机交互、场景式诊疗建议等方向升级。</w:t>
            </w:r>
          </w:p>
          <w:p w14:paraId="0C97EEA3" w14:textId="77777777" w:rsidR="006D7AE7" w:rsidRDefault="006D7AE7">
            <w:pPr>
              <w:spacing w:line="360" w:lineRule="auto"/>
              <w:rPr>
                <w:rFonts w:ascii="宋体" w:eastAsia="宋体" w:hAnsi="宋体" w:cs="宋体"/>
                <w:sz w:val="24"/>
                <w:szCs w:val="24"/>
              </w:rPr>
            </w:pPr>
          </w:p>
          <w:p w14:paraId="4C00159F" w14:textId="3F891185" w:rsidR="006D7AE7" w:rsidRPr="00081D73" w:rsidRDefault="00081D73">
            <w:pPr>
              <w:spacing w:line="360" w:lineRule="auto"/>
              <w:rPr>
                <w:rFonts w:ascii="宋体" w:eastAsia="宋体" w:hAnsi="宋体" w:cs="宋体"/>
                <w:sz w:val="24"/>
                <w:szCs w:val="24"/>
              </w:rPr>
            </w:pPr>
            <w:r w:rsidRPr="00081D73">
              <w:rPr>
                <w:rFonts w:ascii="宋体" w:eastAsia="宋体" w:hAnsi="宋体" w:cs="宋体"/>
                <w:sz w:val="24"/>
                <w:szCs w:val="24"/>
              </w:rPr>
              <w:t>5</w:t>
            </w:r>
            <w:r w:rsidRPr="00081D73">
              <w:rPr>
                <w:rFonts w:ascii="宋体" w:eastAsia="宋体" w:hAnsi="宋体" w:cs="宋体" w:hint="eastAsia"/>
                <w:sz w:val="24"/>
                <w:szCs w:val="24"/>
              </w:rPr>
              <w:t>、目前康养机器人行业面临的核心挑战有哪些？麦迪将如何突破？</w:t>
            </w:r>
          </w:p>
          <w:p w14:paraId="12504C07" w14:textId="77777777" w:rsidR="006D7AE7" w:rsidRPr="00081D73" w:rsidRDefault="00081D73">
            <w:pPr>
              <w:spacing w:line="360" w:lineRule="auto"/>
              <w:rPr>
                <w:rFonts w:ascii="宋体" w:eastAsia="宋体" w:hAnsi="宋体" w:cs="宋体"/>
                <w:sz w:val="24"/>
                <w:szCs w:val="24"/>
              </w:rPr>
            </w:pPr>
            <w:r w:rsidRPr="00081D73">
              <w:rPr>
                <w:rFonts w:ascii="宋体" w:eastAsia="宋体" w:hAnsi="宋体" w:cs="宋体" w:hint="eastAsia"/>
                <w:sz w:val="24"/>
                <w:szCs w:val="24"/>
              </w:rPr>
              <w:t>答：康养机器人行业整体仍处于发展初期，主要面临几大核心挑战：1、公众认知度较低，价格高、行业标准和准入体系不规范；2、现有产品在安全性、适老性上未通过规模化场景验证，智能化技术仍需深化，技术融合与应用场景不完善且缺乏针对不同养老环境和需求的定制化解决方案。</w:t>
            </w:r>
          </w:p>
          <w:p w14:paraId="444069E9" w14:textId="77777777" w:rsidR="006D7AE7" w:rsidRPr="00081D73" w:rsidRDefault="00081D73">
            <w:pPr>
              <w:spacing w:line="360" w:lineRule="auto"/>
              <w:rPr>
                <w:rFonts w:ascii="宋体" w:eastAsia="宋体" w:hAnsi="宋体" w:cs="宋体"/>
                <w:sz w:val="24"/>
                <w:szCs w:val="24"/>
              </w:rPr>
            </w:pPr>
            <w:r w:rsidRPr="00081D73">
              <w:rPr>
                <w:rFonts w:ascii="宋体" w:eastAsia="宋体" w:hAnsi="宋体" w:cs="宋体" w:hint="eastAsia"/>
                <w:sz w:val="24"/>
                <w:szCs w:val="24"/>
              </w:rPr>
              <w:t>麦迪科技立足“场景驱动+平台赋能”，聚焦软硬件深度融合，构建集智能交互、大数据分析、健康管理于一体的智慧康养服务平台。同时构建以数据为纽带、场景为驱动的生态，加速康养机器人的商业化落地，形成可持续商业模式。</w:t>
            </w:r>
          </w:p>
          <w:p w14:paraId="5BC7F5A2" w14:textId="77777777" w:rsidR="006D7AE7" w:rsidRPr="00081D73" w:rsidRDefault="006D7AE7">
            <w:pPr>
              <w:spacing w:line="360" w:lineRule="auto"/>
              <w:rPr>
                <w:rFonts w:ascii="宋体" w:eastAsia="宋体" w:hAnsi="宋体" w:cs="宋体"/>
                <w:sz w:val="24"/>
                <w:szCs w:val="24"/>
              </w:rPr>
            </w:pPr>
          </w:p>
          <w:p w14:paraId="07342EAB" w14:textId="3ACE53AA" w:rsidR="006D7AE7" w:rsidRPr="00081D73" w:rsidRDefault="00081D73">
            <w:pPr>
              <w:spacing w:line="360" w:lineRule="auto"/>
              <w:rPr>
                <w:rFonts w:ascii="宋体" w:eastAsia="宋体" w:hAnsi="宋体" w:cs="宋体"/>
                <w:sz w:val="24"/>
                <w:szCs w:val="24"/>
              </w:rPr>
            </w:pPr>
            <w:r w:rsidRPr="00081D73">
              <w:rPr>
                <w:rFonts w:ascii="宋体" w:eastAsia="宋体" w:hAnsi="宋体" w:cs="宋体"/>
                <w:sz w:val="24"/>
                <w:szCs w:val="24"/>
              </w:rPr>
              <w:t>6</w:t>
            </w:r>
            <w:r w:rsidRPr="00081D73">
              <w:rPr>
                <w:rFonts w:ascii="宋体" w:eastAsia="宋体" w:hAnsi="宋体" w:cs="宋体" w:hint="eastAsia"/>
                <w:sz w:val="24"/>
                <w:szCs w:val="24"/>
              </w:rPr>
              <w:t>、国家政策在推动康养机器人行业中扮演怎样的角色？是否已对公司业务产生实质利好？</w:t>
            </w:r>
          </w:p>
          <w:p w14:paraId="4683FD5E" w14:textId="77777777" w:rsidR="006D7AE7" w:rsidRPr="00081D73" w:rsidRDefault="00081D73">
            <w:pPr>
              <w:spacing w:line="360" w:lineRule="auto"/>
              <w:rPr>
                <w:rFonts w:ascii="宋体" w:eastAsia="宋体" w:hAnsi="宋体" w:cs="宋体"/>
                <w:sz w:val="24"/>
                <w:szCs w:val="24"/>
              </w:rPr>
            </w:pPr>
            <w:r w:rsidRPr="00081D73">
              <w:rPr>
                <w:rFonts w:ascii="宋体" w:eastAsia="宋体" w:hAnsi="宋体" w:cs="宋体" w:hint="eastAsia"/>
                <w:sz w:val="24"/>
                <w:szCs w:val="24"/>
              </w:rPr>
              <w:t>答：近年来，国家高度重视银发经济发展和智能养老产业，出台多项政策推动康养机器人及智能护理技术的研发与应用。例如，工信部与民政部于2025年6月联合发布了针对康养机器人的专项扶持通知，明确了居家养老和机构养老的设备配备目标，为行业提供了重要的政策支持窗口。麦迪科技凭借在智慧医疗和人工智能领域的技术积累，积极布局参与多地试点项目和智慧康养平台建设，已在上海、台州等城市实现项目落地，搭建测试场景。紧跟政策指引，助推业务规模化推进和市场拓展。</w:t>
            </w:r>
          </w:p>
          <w:p w14:paraId="6C0B2C94" w14:textId="77777777" w:rsidR="006D7AE7" w:rsidRPr="00081D73" w:rsidRDefault="006D7AE7">
            <w:pPr>
              <w:spacing w:line="360" w:lineRule="auto"/>
              <w:rPr>
                <w:rFonts w:ascii="宋体" w:eastAsia="宋体" w:hAnsi="宋体" w:cs="宋体"/>
                <w:sz w:val="24"/>
                <w:szCs w:val="24"/>
              </w:rPr>
            </w:pPr>
          </w:p>
          <w:p w14:paraId="347564D0" w14:textId="170102E7" w:rsidR="006D7AE7" w:rsidRPr="00081D73" w:rsidRDefault="00081D73">
            <w:pPr>
              <w:spacing w:line="360" w:lineRule="auto"/>
              <w:rPr>
                <w:rFonts w:ascii="宋体" w:eastAsia="宋体" w:hAnsi="宋体" w:cs="宋体"/>
                <w:sz w:val="24"/>
                <w:szCs w:val="24"/>
              </w:rPr>
            </w:pPr>
            <w:r w:rsidRPr="00081D73">
              <w:rPr>
                <w:rFonts w:ascii="宋体" w:eastAsia="宋体" w:hAnsi="宋体" w:cs="宋体"/>
                <w:sz w:val="24"/>
                <w:szCs w:val="24"/>
              </w:rPr>
              <w:t>7</w:t>
            </w:r>
            <w:r w:rsidRPr="00081D73">
              <w:rPr>
                <w:rFonts w:ascii="宋体" w:eastAsia="宋体" w:hAnsi="宋体" w:cs="宋体" w:hint="eastAsia"/>
                <w:sz w:val="24"/>
                <w:szCs w:val="24"/>
              </w:rPr>
              <w:t>、麦迪在康养机器人产业链中扮演什么角色？与传统机器人制造商有何本质区别？</w:t>
            </w:r>
          </w:p>
          <w:p w14:paraId="087779DE" w14:textId="77777777" w:rsidR="006D7AE7" w:rsidRDefault="00081D73">
            <w:pPr>
              <w:spacing w:line="360" w:lineRule="auto"/>
              <w:rPr>
                <w:rFonts w:ascii="宋体" w:eastAsia="宋体" w:hAnsi="宋体" w:cs="宋体"/>
                <w:sz w:val="24"/>
                <w:szCs w:val="24"/>
              </w:rPr>
            </w:pPr>
            <w:r w:rsidRPr="00081D73">
              <w:rPr>
                <w:rFonts w:ascii="宋体" w:eastAsia="宋体" w:hAnsi="宋体" w:cs="宋体" w:hint="eastAsia"/>
                <w:sz w:val="24"/>
                <w:szCs w:val="24"/>
              </w:rPr>
              <w:t>答:与市场上众多直接生产机器人本体的厂商不同，麦迪科技的战略定位是智慧康养整体解决方案的供应商和真实应用场景的开发商。我们并不以制造单一机器人硬件为目标，而是通过自研软件平台、AI算法、数据中台，打通各类机器人本体与复杂服务场景之间的桥梁。我们的核心战略定位是智慧康养的“中枢神经系统”。以自研的软件平台和垂类AI模型为驱动，整合并赋能下游各类</w:t>
            </w:r>
            <w:r w:rsidRPr="00081D73">
              <w:rPr>
                <w:rFonts w:ascii="宋体" w:eastAsia="宋体" w:hAnsi="宋体" w:cs="宋体" w:hint="eastAsia"/>
                <w:sz w:val="24"/>
                <w:szCs w:val="24"/>
              </w:rPr>
              <w:lastRenderedPageBreak/>
              <w:t>硬件机器人本体，构建起一个高效协同的具身智能智慧康养平台。</w:t>
            </w:r>
          </w:p>
          <w:p w14:paraId="44F23E8C" w14:textId="77777777" w:rsidR="006D7AE7" w:rsidRDefault="006D7AE7">
            <w:pPr>
              <w:spacing w:line="360" w:lineRule="auto"/>
              <w:rPr>
                <w:rFonts w:ascii="宋体" w:eastAsia="宋体" w:hAnsi="宋体" w:cs="宋体"/>
                <w:sz w:val="24"/>
                <w:szCs w:val="24"/>
              </w:rPr>
            </w:pPr>
          </w:p>
          <w:p w14:paraId="4AB0DDCC" w14:textId="3E8B85AA" w:rsidR="006D7AE7" w:rsidRDefault="00081D73">
            <w:pPr>
              <w:spacing w:line="360" w:lineRule="auto"/>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、麦迪科技提出“以整体解决方案打通本体、场景和大模型”的商业逻辑。这一战略模式是否具备持续性？</w:t>
            </w:r>
          </w:p>
          <w:p w14:paraId="60DECE0D"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始终以人形机器人作为中长期发展目标，但充分考虑到人形机器人在医疗康复等“人接触”场景中的落地尚存在一定技术周期，因此我们采取“多形态并行+应用场景牵引”的驱动策略，人形非接触加非人形的接触，确保产品能够先行落地并不断积累数据、迭代功能。</w:t>
            </w:r>
          </w:p>
          <w:p w14:paraId="0E5F9BB2"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经我们对康复医院和养老机构的调研发现，市场需求高度具体化且复杂，例如体征监测、认知障碍老人的日常沟通与行为干预等。这些真实需求推动我们在现有成熟解决方案上率先进行产品布局，并借助公司在医疗IT领域的技术基础，通过本体、场景、大模型的协同构建整体解决方案平台。</w:t>
            </w:r>
          </w:p>
          <w:p w14:paraId="19E2CE25"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随着每一阶段机器人能力的迭代与场景的丰富，我们将持续推出契合市场的新功能、新形态，推动康养机器人从“单点功能”走向“体系平台”。</w:t>
            </w:r>
          </w:p>
          <w:p w14:paraId="18B9DFC7" w14:textId="77777777" w:rsidR="006D7AE7" w:rsidRDefault="006D7AE7">
            <w:pPr>
              <w:spacing w:line="360" w:lineRule="auto"/>
              <w:rPr>
                <w:rFonts w:ascii="宋体" w:eastAsia="宋体" w:hAnsi="宋体" w:cs="宋体"/>
                <w:sz w:val="24"/>
                <w:szCs w:val="24"/>
              </w:rPr>
            </w:pPr>
          </w:p>
          <w:p w14:paraId="10EBF64B" w14:textId="58015294" w:rsidR="006D7AE7" w:rsidRDefault="00081D73">
            <w:pPr>
              <w:spacing w:line="360" w:lineRule="auto"/>
              <w:rPr>
                <w:rFonts w:ascii="宋体" w:eastAsia="宋体" w:hAnsi="宋体" w:cs="宋体"/>
                <w:sz w:val="24"/>
                <w:szCs w:val="24"/>
              </w:rPr>
            </w:pPr>
            <w:r>
              <w:rPr>
                <w:rFonts w:ascii="宋体" w:eastAsia="宋体" w:hAnsi="宋体" w:cs="宋体"/>
                <w:sz w:val="24"/>
                <w:szCs w:val="24"/>
              </w:rPr>
              <w:t>9</w:t>
            </w:r>
            <w:r>
              <w:rPr>
                <w:rFonts w:ascii="宋体" w:eastAsia="宋体" w:hAnsi="宋体" w:cs="宋体" w:hint="eastAsia"/>
                <w:sz w:val="24"/>
                <w:szCs w:val="24"/>
              </w:rPr>
              <w:t>、公司如何提升抗周期能力，应对宏观经济不确定性？</w:t>
            </w:r>
          </w:p>
          <w:p w14:paraId="0EF3F1DA"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通过“聚焦医疗主业+提升轻资产属性+构建平台化生态”三大战略举措，提升业务稳定性和抗风险能力。剥离光伏业务后，公司毛利率与现金流显著改善。同时布局康养机器人、低空经济、辅助生殖等创新领域，打造多元化增长曲线，增强公司应对经济波动的韧性。此外，公司已形成完善的风险控制体系，定期开展经营与财务压力测试。</w:t>
            </w:r>
          </w:p>
          <w:p w14:paraId="10342F15" w14:textId="3F20A243" w:rsidR="006D7AE7" w:rsidRDefault="006D7AE7">
            <w:pPr>
              <w:spacing w:line="360" w:lineRule="auto"/>
              <w:rPr>
                <w:rFonts w:ascii="宋体" w:eastAsia="宋体" w:hAnsi="宋体" w:cs="宋体"/>
                <w:sz w:val="24"/>
                <w:szCs w:val="24"/>
              </w:rPr>
            </w:pPr>
          </w:p>
          <w:p w14:paraId="41801160" w14:textId="1324C2BE" w:rsidR="006D7AE7" w:rsidRDefault="00081D73">
            <w:pPr>
              <w:spacing w:line="360" w:lineRule="auto"/>
              <w:rPr>
                <w:rFonts w:ascii="宋体" w:eastAsia="宋体" w:hAnsi="宋体" w:cs="宋体"/>
                <w:sz w:val="24"/>
                <w:szCs w:val="24"/>
              </w:rPr>
            </w:pPr>
            <w:r>
              <w:rPr>
                <w:rFonts w:ascii="宋体" w:eastAsia="宋体" w:hAnsi="宋体" w:cs="宋体"/>
                <w:sz w:val="24"/>
                <w:szCs w:val="24"/>
              </w:rPr>
              <w:t>10</w:t>
            </w:r>
            <w:r>
              <w:rPr>
                <w:rFonts w:ascii="宋体" w:eastAsia="宋体" w:hAnsi="宋体" w:cs="宋体" w:hint="eastAsia"/>
                <w:sz w:val="24"/>
                <w:szCs w:val="24"/>
              </w:rPr>
              <w:t>、公司如何加强与股东沟通？是否关注市值管理？</w:t>
            </w:r>
          </w:p>
          <w:p w14:paraId="46C04E30" w14:textId="77777777" w:rsidR="006D7AE7" w:rsidRDefault="00081D73">
            <w:pPr>
              <w:spacing w:line="360" w:lineRule="auto"/>
              <w:rPr>
                <w:rFonts w:ascii="宋体" w:eastAsia="宋体" w:hAnsi="宋体" w:cs="宋体"/>
                <w:sz w:val="24"/>
                <w:szCs w:val="24"/>
              </w:rPr>
            </w:pPr>
            <w:r>
              <w:rPr>
                <w:rFonts w:ascii="宋体" w:eastAsia="宋体" w:hAnsi="宋体" w:cs="宋体" w:hint="eastAsia"/>
                <w:sz w:val="24"/>
                <w:szCs w:val="24"/>
              </w:rPr>
              <w:t>答：公司始终重视投资者关系建设，已形成定期披露、互动问答、机构调研、路演交流等多元沟通机制，主动回应市场关切、提升信息透明度。在市值管理方面，公司坚持“价值创造+价值传递”的理念，通过业务基本面改善、研发成果转化、创新业务孵化等举措提升内在价值。同时加强与机构投资者协同互动，积极传递公司战略逻辑与长期价值预期。</w:t>
            </w:r>
          </w:p>
          <w:p w14:paraId="4701A648" w14:textId="77777777" w:rsidR="006D7AE7" w:rsidRDefault="006D7AE7">
            <w:pPr>
              <w:spacing w:line="360" w:lineRule="auto"/>
              <w:rPr>
                <w:rFonts w:ascii="宋体" w:eastAsia="宋体" w:hAnsi="宋体" w:cs="宋体"/>
                <w:sz w:val="24"/>
                <w:szCs w:val="24"/>
              </w:rPr>
            </w:pPr>
          </w:p>
        </w:tc>
      </w:tr>
    </w:tbl>
    <w:p w14:paraId="51899AFB" w14:textId="77777777" w:rsidR="006D7AE7" w:rsidRDefault="006D7AE7"/>
    <w:sectPr w:rsidR="006D7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0552" w14:textId="77777777" w:rsidR="00361F05" w:rsidRDefault="00361F05" w:rsidP="00661300">
      <w:r>
        <w:separator/>
      </w:r>
    </w:p>
  </w:endnote>
  <w:endnote w:type="continuationSeparator" w:id="0">
    <w:p w14:paraId="48C98EEB" w14:textId="77777777" w:rsidR="00361F05" w:rsidRDefault="00361F05" w:rsidP="006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CC5B0" w14:textId="77777777" w:rsidR="00361F05" w:rsidRDefault="00361F05" w:rsidP="00661300">
      <w:r>
        <w:separator/>
      </w:r>
    </w:p>
  </w:footnote>
  <w:footnote w:type="continuationSeparator" w:id="0">
    <w:p w14:paraId="4A419E56" w14:textId="77777777" w:rsidR="00361F05" w:rsidRDefault="00361F05" w:rsidP="00661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529F"/>
    <w:rsid w:val="00020C92"/>
    <w:rsid w:val="000351E0"/>
    <w:rsid w:val="0006786B"/>
    <w:rsid w:val="00081D73"/>
    <w:rsid w:val="00223694"/>
    <w:rsid w:val="0026766E"/>
    <w:rsid w:val="002F0F53"/>
    <w:rsid w:val="00347D1A"/>
    <w:rsid w:val="00361F05"/>
    <w:rsid w:val="00381972"/>
    <w:rsid w:val="003928B1"/>
    <w:rsid w:val="003C7CCD"/>
    <w:rsid w:val="00406764"/>
    <w:rsid w:val="004301A4"/>
    <w:rsid w:val="00445338"/>
    <w:rsid w:val="00452AC5"/>
    <w:rsid w:val="0047161C"/>
    <w:rsid w:val="004A419E"/>
    <w:rsid w:val="004B370E"/>
    <w:rsid w:val="005216BC"/>
    <w:rsid w:val="005E0F1B"/>
    <w:rsid w:val="005E7C57"/>
    <w:rsid w:val="00630BDC"/>
    <w:rsid w:val="00634C32"/>
    <w:rsid w:val="00642360"/>
    <w:rsid w:val="0064344D"/>
    <w:rsid w:val="00661300"/>
    <w:rsid w:val="00674BFF"/>
    <w:rsid w:val="006B09AE"/>
    <w:rsid w:val="006B0DD1"/>
    <w:rsid w:val="006D35B8"/>
    <w:rsid w:val="006D7AE7"/>
    <w:rsid w:val="0072636B"/>
    <w:rsid w:val="00784400"/>
    <w:rsid w:val="007C1942"/>
    <w:rsid w:val="008108CE"/>
    <w:rsid w:val="00817DC1"/>
    <w:rsid w:val="00875028"/>
    <w:rsid w:val="00890951"/>
    <w:rsid w:val="008B0CC6"/>
    <w:rsid w:val="008D0759"/>
    <w:rsid w:val="008D2A2E"/>
    <w:rsid w:val="00924EB4"/>
    <w:rsid w:val="009966EF"/>
    <w:rsid w:val="009A1B9B"/>
    <w:rsid w:val="009B561C"/>
    <w:rsid w:val="009C69E8"/>
    <w:rsid w:val="009E034B"/>
    <w:rsid w:val="009F2AEE"/>
    <w:rsid w:val="00A66D61"/>
    <w:rsid w:val="00AA4568"/>
    <w:rsid w:val="00AB7DC7"/>
    <w:rsid w:val="00B4004D"/>
    <w:rsid w:val="00C12CE2"/>
    <w:rsid w:val="00C16C0B"/>
    <w:rsid w:val="00C522BC"/>
    <w:rsid w:val="00C71F7D"/>
    <w:rsid w:val="00C87D9C"/>
    <w:rsid w:val="00CD606C"/>
    <w:rsid w:val="00D5472D"/>
    <w:rsid w:val="00D74D06"/>
    <w:rsid w:val="00DD26EA"/>
    <w:rsid w:val="00E04625"/>
    <w:rsid w:val="00E16C6E"/>
    <w:rsid w:val="00E261A4"/>
    <w:rsid w:val="00F13336"/>
    <w:rsid w:val="00F25EB3"/>
    <w:rsid w:val="00F62DE8"/>
    <w:rsid w:val="00F65CEA"/>
    <w:rsid w:val="00F73EF2"/>
    <w:rsid w:val="00F862B4"/>
    <w:rsid w:val="00FD4DE0"/>
    <w:rsid w:val="0A22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C45E4"/>
  <w15:docId w15:val="{B90EEA2F-B34E-432C-97B7-09C6908D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黑体" w:eastAsia="黑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黑体" w:eastAsia="黑体" w:hAnsi="Times New Roman" w:cs="Times New Roman"/>
      <w:sz w:val="18"/>
      <w:szCs w:val="18"/>
    </w:rPr>
  </w:style>
  <w:style w:type="character" w:customStyle="1" w:styleId="a4">
    <w:name w:val="页脚 字符"/>
    <w:basedOn w:val="a0"/>
    <w:link w:val="a3"/>
    <w:uiPriority w:val="99"/>
    <w:qFormat/>
    <w:rPr>
      <w:rFonts w:ascii="黑体"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BCE0663-07A7-42D0-A5D1-DE59FDA790E9}">
  <ds:schemaRefs>
    <ds:schemaRef ds:uri="http://www.yonyou.com/relation"/>
  </ds:schemaRefs>
</ds:datastoreItem>
</file>

<file path=customXml/itemProps2.xml><?xml version="1.0" encoding="utf-8"?>
<ds:datastoreItem xmlns:ds="http://schemas.openxmlformats.org/officeDocument/2006/customXml" ds:itemID="{8EFD5E7D-479F-42FE-AB71-228506D7C107}">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陈梦迪</dc:creator>
  <cp:lastModifiedBy>user</cp:lastModifiedBy>
  <cp:revision>24</cp:revision>
  <cp:lastPrinted>2023-02-01T02:03:00Z</cp:lastPrinted>
  <dcterms:created xsi:type="dcterms:W3CDTF">2025-06-13T10:17:00Z</dcterms:created>
  <dcterms:modified xsi:type="dcterms:W3CDTF">2025-06-23T09:23:00Z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eyJoZGlkIjoiYTc2ZGZiNzZiNDVlOGViOWVmM2JhOTY0NGJkNjUyYzgiLCJ1c2VySWQiOiI1NjA3MTIxMjgifQ==</vt:lpwstr>
  </property>
  <property fmtid="{D5CDD505-2E9C-101B-9397-08002B2CF9AE}" pid="3" name="KSOProductBuildVer">
    <vt:lpwstr>2052-12.1.0.21541</vt:lpwstr>
  </property>
  <property fmtid="{D5CDD505-2E9C-101B-9397-08002B2CF9AE}" pid="4" name="ICV">
    <vt:lpwstr>2D8A8058F57C4EDE8064B231609A4B00_12</vt:lpwstr>
  </property>
</Properties>
</file>