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99C1" w14:textId="770FEAE3" w:rsidR="00C9225B" w:rsidRPr="00426DC8" w:rsidRDefault="00C9225B" w:rsidP="0088590E">
      <w:pPr>
        <w:jc w:val="left"/>
        <w:rPr>
          <w:rFonts w:hint="eastAsia"/>
          <w:bCs/>
          <w:sz w:val="30"/>
        </w:rPr>
      </w:pPr>
      <w:bookmarkStart w:id="0" w:name="OLE_LINK3"/>
      <w:r w:rsidRPr="00426DC8">
        <w:rPr>
          <w:rFonts w:hint="eastAsia"/>
        </w:rPr>
        <w:t>证券代码：</w:t>
      </w:r>
      <w:r w:rsidRPr="00426DC8">
        <w:t>601872</w:t>
      </w:r>
      <w:r w:rsidRPr="00426DC8">
        <w:rPr>
          <w:rFonts w:hint="eastAsia"/>
        </w:rPr>
        <w:t xml:space="preserve">                                 </w:t>
      </w:r>
      <w:r w:rsidRPr="00426DC8">
        <w:rPr>
          <w:rFonts w:hint="eastAsia"/>
          <w:bCs/>
        </w:rPr>
        <w:t xml:space="preserve">证券简称：招商轮船           </w:t>
      </w:r>
      <w:bookmarkEnd w:id="0"/>
    </w:p>
    <w:p w14:paraId="3A6AF247" w14:textId="2FDBD71B" w:rsidR="00252F36" w:rsidRPr="00170868" w:rsidRDefault="001879AB" w:rsidP="00426DC8">
      <w:pPr>
        <w:ind w:firstLine="240"/>
        <w:rPr>
          <w:rFonts w:hint="eastAsia"/>
        </w:rPr>
      </w:pPr>
      <w:r w:rsidRPr="00170868">
        <w:t xml:space="preserve">   </w:t>
      </w:r>
    </w:p>
    <w:p w14:paraId="33DD6263" w14:textId="77777777" w:rsidR="00252F36" w:rsidRPr="00170868" w:rsidRDefault="00252F36" w:rsidP="00426DC8">
      <w:pPr>
        <w:ind w:firstLine="240"/>
        <w:rPr>
          <w:rFonts w:hint="eastAsia"/>
          <w:lang w:val="zh-CN"/>
        </w:rPr>
      </w:pPr>
    </w:p>
    <w:p w14:paraId="4F144C93" w14:textId="632C4372" w:rsidR="00252F36" w:rsidRPr="0088590E" w:rsidRDefault="00C9225B" w:rsidP="00426DC8">
      <w:pPr>
        <w:ind w:firstLine="240"/>
        <w:rPr>
          <w:rFonts w:asciiTheme="minorEastAsia" w:eastAsiaTheme="minorEastAsia" w:hAnsiTheme="minorEastAsia" w:hint="eastAsia"/>
          <w:sz w:val="36"/>
          <w:szCs w:val="36"/>
          <w:lang w:val="zh-CN"/>
        </w:rPr>
      </w:pPr>
      <w:r w:rsidRPr="0088590E">
        <w:rPr>
          <w:rFonts w:asciiTheme="minorEastAsia" w:eastAsiaTheme="minorEastAsia" w:hAnsiTheme="minorEastAsia" w:hint="eastAsia"/>
          <w:sz w:val="36"/>
          <w:szCs w:val="36"/>
          <w:lang w:val="zh-CN"/>
        </w:rPr>
        <w:t>招商轮船</w:t>
      </w:r>
      <w:r w:rsidR="00657B9F" w:rsidRPr="0088590E">
        <w:rPr>
          <w:rFonts w:asciiTheme="minorEastAsia" w:eastAsiaTheme="minorEastAsia" w:hAnsiTheme="minorEastAsia"/>
          <w:sz w:val="36"/>
          <w:szCs w:val="36"/>
          <w:lang w:val="zh-CN"/>
        </w:rPr>
        <w:t>投资者关系活动记录表</w:t>
      </w:r>
    </w:p>
    <w:p w14:paraId="6E1EE391" w14:textId="44DC0393" w:rsidR="00252F36" w:rsidRPr="00426DC8" w:rsidRDefault="00FE6DE0" w:rsidP="00426DC8">
      <w:pPr>
        <w:ind w:firstLine="240"/>
        <w:rPr>
          <w:rFonts w:hint="eastAsia"/>
        </w:rPr>
      </w:pPr>
      <w:r w:rsidRPr="00170868">
        <w:rPr>
          <w:lang w:val="zh-CN"/>
        </w:rPr>
        <w:t xml:space="preserve">                                                      </w:t>
      </w:r>
    </w:p>
    <w:tbl>
      <w:tblPr>
        <w:tblW w:w="8462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7000"/>
      </w:tblGrid>
      <w:tr w:rsidR="00252F36" w:rsidRPr="00170868" w14:paraId="47D4B7B6" w14:textId="77777777" w:rsidTr="00AE1BB8">
        <w:trPr>
          <w:trHeight w:val="2011"/>
        </w:trPr>
        <w:tc>
          <w:tcPr>
            <w:tcW w:w="1462" w:type="dxa"/>
            <w:vAlign w:val="center"/>
          </w:tcPr>
          <w:p w14:paraId="3F95929B" w14:textId="0FB402F8" w:rsidR="00252F36" w:rsidRPr="00426DC8" w:rsidRDefault="00FE6DE0" w:rsidP="00426DC8">
            <w:pPr>
              <w:ind w:leftChars="100" w:left="240" w:firstLine="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bookmarkStart w:id="1" w:name="_Hlk181870308"/>
            <w:r w:rsidRPr="00426DC8">
              <w:rPr>
                <w:rFonts w:asciiTheme="minorEastAsia" w:eastAsiaTheme="minorEastAsia" w:hAnsiTheme="minorEastAsia"/>
                <w:lang w:val="zh-CN"/>
              </w:rPr>
              <w:t>投资者关系活动类别</w:t>
            </w:r>
          </w:p>
        </w:tc>
        <w:tc>
          <w:tcPr>
            <w:tcW w:w="7000" w:type="dxa"/>
          </w:tcPr>
          <w:p w14:paraId="68261C1F" w14:textId="77777777" w:rsidR="00252F36" w:rsidRPr="00426DC8" w:rsidRDefault="00FE6DE0" w:rsidP="00426DC8">
            <w:pPr>
              <w:ind w:firstLine="24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□特定对象调研</w:t>
            </w:r>
            <w:r w:rsidRPr="00426DC8">
              <w:rPr>
                <w:rFonts w:asciiTheme="minorEastAsia" w:eastAsiaTheme="minorEastAsia" w:hAnsiTheme="minorEastAsia"/>
                <w:b/>
                <w:bCs/>
                <w:lang w:val="zh-CN"/>
              </w:rPr>
              <w:t xml:space="preserve"> </w:t>
            </w: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       □分析师会议 </w:t>
            </w:r>
          </w:p>
          <w:p w14:paraId="1911CCF9" w14:textId="16FCC3FC" w:rsidR="00252F36" w:rsidRPr="00426DC8" w:rsidRDefault="00FE6DE0" w:rsidP="00426DC8">
            <w:pPr>
              <w:ind w:firstLine="24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□媒体采访            </w:t>
            </w:r>
            <w:r w:rsidR="00931577" w:rsidRPr="00426DC8">
              <w:rPr>
                <w:rFonts w:asciiTheme="minorEastAsia" w:eastAsiaTheme="minorEastAsia" w:hAnsiTheme="minorEastAsia"/>
                <w:lang w:val="zh-CN"/>
              </w:rPr>
              <w:t>□</w:t>
            </w: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业绩说明会 </w:t>
            </w:r>
          </w:p>
          <w:p w14:paraId="5AF11BA9" w14:textId="4C630073" w:rsidR="00252F36" w:rsidRPr="00426DC8" w:rsidRDefault="00FE6DE0" w:rsidP="00426DC8">
            <w:pPr>
              <w:ind w:firstLineChars="100" w:firstLine="24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□新闻发布会 </w:t>
            </w:r>
            <w:r w:rsidRPr="00426DC8">
              <w:rPr>
                <w:rFonts w:asciiTheme="minorEastAsia" w:eastAsiaTheme="minorEastAsia" w:hAnsiTheme="minorEastAsia"/>
              </w:rPr>
              <w:t xml:space="preserve">         </w:t>
            </w:r>
            <w:r w:rsidR="00C77795" w:rsidRPr="00426DC8">
              <w:rPr>
                <w:rFonts w:asciiTheme="minorEastAsia" w:eastAsiaTheme="minorEastAsia" w:hAnsiTheme="minorEastAsia"/>
                <w:lang w:val="zh-CN"/>
              </w:rPr>
              <w:t>□</w:t>
            </w: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路演活动 </w:t>
            </w:r>
          </w:p>
          <w:p w14:paraId="6EBF0CDD" w14:textId="1758A37B" w:rsidR="00252F36" w:rsidRPr="00426DC8" w:rsidRDefault="00C77795" w:rsidP="00426DC8">
            <w:pPr>
              <w:ind w:firstLineChars="100" w:firstLine="24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□</w:t>
            </w:r>
            <w:r w:rsidR="00FE6DE0" w:rsidRPr="00426DC8">
              <w:rPr>
                <w:rFonts w:asciiTheme="minorEastAsia" w:eastAsiaTheme="minorEastAsia" w:hAnsiTheme="minorEastAsia"/>
                <w:lang w:val="zh-CN"/>
              </w:rPr>
              <w:t>现场交流</w:t>
            </w:r>
            <w:r w:rsidR="00FE6DE0" w:rsidRPr="00426DC8">
              <w:rPr>
                <w:rFonts w:asciiTheme="minorEastAsia" w:eastAsiaTheme="minorEastAsia" w:hAnsiTheme="minorEastAsia"/>
              </w:rPr>
              <w:t xml:space="preserve">            </w:t>
            </w:r>
            <w:r w:rsidR="00931577" w:rsidRPr="00426DC8">
              <w:rPr>
                <w:rFonts w:asciiTheme="minorEastAsia" w:eastAsiaTheme="minorEastAsia" w:hAnsiTheme="minorEastAsia"/>
                <w:b/>
                <w:bCs/>
                <w:lang w:val="zh-CN"/>
              </w:rPr>
              <w:sym w:font="Wingdings 2" w:char="0052"/>
            </w:r>
            <w:r w:rsidR="00FE6DE0" w:rsidRPr="00426DC8">
              <w:rPr>
                <w:rFonts w:asciiTheme="minorEastAsia" w:eastAsiaTheme="minorEastAsia" w:hAnsiTheme="minorEastAsia"/>
                <w:lang w:val="zh-CN"/>
              </w:rPr>
              <w:t>电话会议</w:t>
            </w:r>
          </w:p>
          <w:p w14:paraId="325D7EC2" w14:textId="2778ACB9" w:rsidR="00252F36" w:rsidRPr="00426DC8" w:rsidRDefault="00657B9F" w:rsidP="00426DC8">
            <w:pPr>
              <w:ind w:firstLine="24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□投资策略会</w:t>
            </w:r>
            <w:r w:rsidRPr="00426DC8">
              <w:rPr>
                <w:rFonts w:asciiTheme="minorEastAsia" w:eastAsiaTheme="minorEastAsia" w:hAnsiTheme="minorEastAsia"/>
              </w:rPr>
              <w:t xml:space="preserve">          </w:t>
            </w:r>
            <w:r w:rsidRPr="00426DC8">
              <w:rPr>
                <w:rFonts w:asciiTheme="minorEastAsia" w:eastAsiaTheme="minorEastAsia" w:hAnsiTheme="minorEastAsia"/>
                <w:lang w:val="zh-CN"/>
              </w:rPr>
              <w:t xml:space="preserve">□其他  </w:t>
            </w:r>
            <w:r w:rsidRPr="00426DC8">
              <w:rPr>
                <w:rFonts w:asciiTheme="minorEastAsia" w:eastAsiaTheme="minorEastAsia" w:hAnsiTheme="minorEastAsia"/>
              </w:rPr>
              <w:t xml:space="preserve">     </w:t>
            </w:r>
          </w:p>
        </w:tc>
      </w:tr>
      <w:tr w:rsidR="00252F36" w:rsidRPr="00170868" w14:paraId="4E654D47" w14:textId="77777777" w:rsidTr="00AE1BB8">
        <w:trPr>
          <w:trHeight w:val="1261"/>
        </w:trPr>
        <w:tc>
          <w:tcPr>
            <w:tcW w:w="1462" w:type="dxa"/>
            <w:vAlign w:val="center"/>
          </w:tcPr>
          <w:p w14:paraId="469895C9" w14:textId="77777777" w:rsidR="00252F36" w:rsidRPr="00426DC8" w:rsidRDefault="00FE6DE0" w:rsidP="0088590E">
            <w:pPr>
              <w:ind w:firstLine="0"/>
              <w:jc w:val="left"/>
              <w:rPr>
                <w:rFonts w:asciiTheme="minorEastAsia" w:eastAsiaTheme="minorEastAsia" w:hAnsiTheme="minorEastAsia" w:hint="eastAsia"/>
                <w:b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参与单位名称</w:t>
            </w:r>
          </w:p>
        </w:tc>
        <w:tc>
          <w:tcPr>
            <w:tcW w:w="7000" w:type="dxa"/>
            <w:vAlign w:val="center"/>
          </w:tcPr>
          <w:p w14:paraId="31095742" w14:textId="7351E237" w:rsidR="00252F36" w:rsidRPr="00426DC8" w:rsidRDefault="00931577" w:rsidP="00030E26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lang w:val="zh-CN"/>
              </w:rPr>
              <w:t>申万宏源研究所</w:t>
            </w:r>
            <w:r w:rsidR="00030E26">
              <w:rPr>
                <w:rFonts w:asciiTheme="minorEastAsia" w:eastAsiaTheme="minorEastAsia" w:hAnsiTheme="minorEastAsia" w:hint="eastAsia"/>
                <w:lang w:val="zh-CN"/>
              </w:rPr>
              <w:t>以及</w:t>
            </w:r>
            <w:r w:rsidR="00EB6E07">
              <w:rPr>
                <w:rFonts w:asciiTheme="minorEastAsia" w:eastAsiaTheme="minorEastAsia" w:hAnsiTheme="minorEastAsia" w:hint="eastAsia"/>
                <w:lang w:val="zh-CN"/>
              </w:rPr>
              <w:t>华夏基金、大成基金、中欧基金</w:t>
            </w:r>
            <w:r w:rsidR="00EB6E07">
              <w:rPr>
                <w:rFonts w:asciiTheme="minorEastAsia" w:eastAsiaTheme="minorEastAsia" w:hAnsiTheme="minorEastAsia" w:hint="eastAsia"/>
                <w:lang w:val="en-US"/>
              </w:rPr>
              <w:t>等</w:t>
            </w:r>
            <w:r w:rsidR="00030E26">
              <w:rPr>
                <w:rFonts w:asciiTheme="minorEastAsia" w:eastAsiaTheme="minorEastAsia" w:hAnsiTheme="minorEastAsia" w:hint="eastAsia"/>
                <w:lang w:val="zh-CN"/>
              </w:rPr>
              <w:t>70家</w:t>
            </w:r>
            <w:r>
              <w:rPr>
                <w:rFonts w:asciiTheme="minorEastAsia" w:eastAsiaTheme="minorEastAsia" w:hAnsiTheme="minorEastAsia" w:hint="eastAsia"/>
                <w:lang w:val="zh-CN"/>
              </w:rPr>
              <w:t>机构</w:t>
            </w:r>
            <w:r w:rsidR="00C9225B" w:rsidRPr="00426DC8">
              <w:rPr>
                <w:rFonts w:asciiTheme="minorEastAsia" w:eastAsiaTheme="minorEastAsia" w:hAnsiTheme="minorEastAsia" w:hint="eastAsia"/>
                <w:lang w:val="zh-CN"/>
              </w:rPr>
              <w:t>投资者</w:t>
            </w:r>
          </w:p>
        </w:tc>
      </w:tr>
      <w:tr w:rsidR="00252F36" w:rsidRPr="00170868" w14:paraId="0FE60076" w14:textId="77777777">
        <w:trPr>
          <w:trHeight w:val="1155"/>
        </w:trPr>
        <w:tc>
          <w:tcPr>
            <w:tcW w:w="1462" w:type="dxa"/>
            <w:vAlign w:val="center"/>
          </w:tcPr>
          <w:p w14:paraId="1F526F84" w14:textId="77777777" w:rsidR="00252F36" w:rsidRPr="00426DC8" w:rsidRDefault="00FE6DE0" w:rsidP="0088590E">
            <w:pPr>
              <w:ind w:leftChars="34" w:left="82" w:firstLineChars="100" w:firstLine="240"/>
              <w:jc w:val="left"/>
              <w:rPr>
                <w:rFonts w:asciiTheme="minorEastAsia" w:eastAsiaTheme="minorEastAsia" w:hAnsiTheme="minorEastAsia" w:hint="eastAsia"/>
                <w:b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时  间</w:t>
            </w:r>
          </w:p>
        </w:tc>
        <w:tc>
          <w:tcPr>
            <w:tcW w:w="7000" w:type="dxa"/>
            <w:vAlign w:val="center"/>
          </w:tcPr>
          <w:p w14:paraId="388CE2CF" w14:textId="6279BF1A" w:rsidR="00252F36" w:rsidRPr="00426DC8" w:rsidRDefault="00FE6DE0" w:rsidP="00030E26">
            <w:pPr>
              <w:jc w:val="both"/>
              <w:rPr>
                <w:rFonts w:asciiTheme="minorEastAsia" w:eastAsiaTheme="minorEastAsia" w:hAnsiTheme="minorEastAsia" w:hint="eastAsia"/>
              </w:rPr>
            </w:pPr>
            <w:r w:rsidRPr="00426DC8">
              <w:rPr>
                <w:rFonts w:asciiTheme="minorEastAsia" w:eastAsiaTheme="minorEastAsia" w:hAnsiTheme="minorEastAsia"/>
              </w:rPr>
              <w:t>202</w:t>
            </w:r>
            <w:r w:rsidR="00931577">
              <w:rPr>
                <w:rFonts w:asciiTheme="minorEastAsia" w:eastAsiaTheme="minorEastAsia" w:hAnsiTheme="minorEastAsia" w:hint="eastAsia"/>
              </w:rPr>
              <w:t>5</w:t>
            </w:r>
            <w:r w:rsidRPr="00426DC8">
              <w:rPr>
                <w:rFonts w:asciiTheme="minorEastAsia" w:eastAsiaTheme="minorEastAsia" w:hAnsiTheme="minorEastAsia"/>
              </w:rPr>
              <w:t>年</w:t>
            </w:r>
            <w:r w:rsidR="00931577">
              <w:rPr>
                <w:rFonts w:asciiTheme="minorEastAsia" w:eastAsiaTheme="minorEastAsia" w:hAnsiTheme="minorEastAsia" w:hint="eastAsia"/>
              </w:rPr>
              <w:t>6</w:t>
            </w:r>
            <w:r w:rsidRPr="00426DC8">
              <w:rPr>
                <w:rFonts w:asciiTheme="minorEastAsia" w:eastAsiaTheme="minorEastAsia" w:hAnsiTheme="minorEastAsia"/>
              </w:rPr>
              <w:t>月</w:t>
            </w:r>
            <w:r w:rsidR="00931577">
              <w:rPr>
                <w:rFonts w:asciiTheme="minorEastAsia" w:eastAsiaTheme="minorEastAsia" w:hAnsiTheme="minorEastAsia" w:hint="eastAsia"/>
              </w:rPr>
              <w:t>25</w:t>
            </w:r>
            <w:r w:rsidRPr="00426DC8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252F36" w:rsidRPr="00170868" w14:paraId="51FBECDE" w14:textId="77777777">
        <w:trPr>
          <w:trHeight w:val="1246"/>
        </w:trPr>
        <w:tc>
          <w:tcPr>
            <w:tcW w:w="1462" w:type="dxa"/>
            <w:vAlign w:val="center"/>
          </w:tcPr>
          <w:p w14:paraId="05AC5981" w14:textId="77777777" w:rsidR="00252F36" w:rsidRPr="00426DC8" w:rsidRDefault="00FE6DE0" w:rsidP="0088590E">
            <w:pPr>
              <w:jc w:val="left"/>
              <w:rPr>
                <w:rFonts w:asciiTheme="minorEastAsia" w:eastAsiaTheme="minorEastAsia" w:hAnsiTheme="minorEastAsia" w:hint="eastAsia"/>
                <w:b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地  点</w:t>
            </w:r>
          </w:p>
        </w:tc>
        <w:tc>
          <w:tcPr>
            <w:tcW w:w="7000" w:type="dxa"/>
            <w:vAlign w:val="center"/>
          </w:tcPr>
          <w:p w14:paraId="3FF26AE7" w14:textId="39508F57" w:rsidR="00252F36" w:rsidRPr="00426DC8" w:rsidRDefault="00931577" w:rsidP="00426DC8">
            <w:pPr>
              <w:ind w:leftChars="135" w:left="324"/>
              <w:jc w:val="left"/>
              <w:rPr>
                <w:rFonts w:asciiTheme="minorEastAsia" w:eastAsiaTheme="minorEastAsia" w:hAnsiTheme="minorEastAsia" w:hint="eastAsia"/>
                <w:spacing w:val="-6"/>
              </w:rPr>
            </w:pPr>
            <w:r>
              <w:rPr>
                <w:rFonts w:asciiTheme="minorEastAsia" w:eastAsiaTheme="minorEastAsia" w:hAnsiTheme="minorEastAsia" w:hint="eastAsia"/>
              </w:rPr>
              <w:t>进门财经线上会议</w:t>
            </w:r>
          </w:p>
        </w:tc>
      </w:tr>
      <w:tr w:rsidR="00252F36" w:rsidRPr="00170868" w14:paraId="45B7909D" w14:textId="77777777">
        <w:trPr>
          <w:trHeight w:val="1560"/>
        </w:trPr>
        <w:tc>
          <w:tcPr>
            <w:tcW w:w="1462" w:type="dxa"/>
            <w:vAlign w:val="center"/>
          </w:tcPr>
          <w:p w14:paraId="48BAEF64" w14:textId="77777777" w:rsidR="00252F36" w:rsidRPr="00426DC8" w:rsidRDefault="00FE6DE0" w:rsidP="0088590E">
            <w:pPr>
              <w:ind w:firstLine="0"/>
              <w:jc w:val="left"/>
              <w:rPr>
                <w:rFonts w:asciiTheme="minorEastAsia" w:eastAsiaTheme="minorEastAsia" w:hAnsiTheme="minorEastAsia" w:hint="eastAsia"/>
                <w:b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上市公司参加人员姓名</w:t>
            </w:r>
          </w:p>
        </w:tc>
        <w:tc>
          <w:tcPr>
            <w:tcW w:w="7000" w:type="dxa"/>
            <w:vAlign w:val="center"/>
          </w:tcPr>
          <w:p w14:paraId="06D8C984" w14:textId="474EA8DC" w:rsidR="00992CB8" w:rsidRPr="00426DC8" w:rsidRDefault="00030E26" w:rsidP="00426DC8">
            <w:pPr>
              <w:ind w:leftChars="135" w:left="324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董事会秘书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孔康</w:t>
            </w:r>
          </w:p>
        </w:tc>
      </w:tr>
      <w:tr w:rsidR="00AE1BB8" w:rsidRPr="00170868" w14:paraId="67C7BBC0" w14:textId="77777777">
        <w:trPr>
          <w:trHeight w:val="1560"/>
        </w:trPr>
        <w:tc>
          <w:tcPr>
            <w:tcW w:w="1462" w:type="dxa"/>
            <w:vAlign w:val="center"/>
          </w:tcPr>
          <w:p w14:paraId="2F2DB7EA" w14:textId="139E38E3" w:rsidR="00AE1BB8" w:rsidRPr="00426DC8" w:rsidRDefault="00426DC8" w:rsidP="0088590E">
            <w:pPr>
              <w:ind w:firstLine="0"/>
              <w:jc w:val="left"/>
              <w:rPr>
                <w:rFonts w:asciiTheme="minorEastAsia" w:eastAsiaTheme="minorEastAsia" w:hAnsiTheme="minorEastAsia" w:hint="eastAsia"/>
                <w:lang w:val="zh-CN"/>
              </w:rPr>
            </w:pPr>
            <w:r w:rsidRPr="00426DC8">
              <w:rPr>
                <w:rFonts w:asciiTheme="minorEastAsia" w:eastAsiaTheme="minorEastAsia" w:hAnsiTheme="minorEastAsia"/>
                <w:lang w:val="zh-CN"/>
              </w:rPr>
              <w:t>投资者关系活动主要内容介绍</w:t>
            </w:r>
          </w:p>
        </w:tc>
        <w:tc>
          <w:tcPr>
            <w:tcW w:w="7000" w:type="dxa"/>
            <w:vAlign w:val="center"/>
          </w:tcPr>
          <w:p w14:paraId="478A18E0" w14:textId="7F9C6088" w:rsidR="00931577" w:rsidRPr="00030E26" w:rsidRDefault="00030E26" w:rsidP="0093157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</w:pPr>
            <w:r w:rsidRPr="00030E26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1.</w:t>
            </w:r>
            <w:r w:rsidR="00931577" w:rsidRPr="00030E26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油运业务：</w:t>
            </w:r>
          </w:p>
          <w:p w14:paraId="3A300A46" w14:textId="77777777" w:rsidR="00873342" w:rsidRDefault="00030E26" w:rsidP="00873342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石油需求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总量视角偏乐观，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中东货源方面，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OPEC退出自愿减产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的</w:t>
            </w:r>
            <w:r w:rsidR="00873342" w:rsidRP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增量预计</w:t>
            </w:r>
            <w:r w:rsidR="00931577" w:rsidRP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主要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在Q3体现，乐观预计在7月中下旬货盘上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就可能开始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体现，中观看8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、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9月也能放量。美湾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货源方面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，主流机构预测大西洋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盆地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整体产量今年增加130万桶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/日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。市场结构层面，伊朗敏感油仍值得关注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，</w:t>
            </w:r>
            <w:r w:rsidRPr="00931577">
              <w:rPr>
                <w:rFonts w:asciiTheme="minorEastAsia" w:eastAsiaTheme="minorEastAsia" w:hAnsiTheme="minorEastAsia"/>
                <w:shd w:val="clear" w:color="auto" w:fill="FFFFFF"/>
              </w:rPr>
              <w:t>K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pler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数据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显示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近期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伊朗加快了出货。从运价角度，当前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影子船队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从马来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西亚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到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远东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一趟的运费约600万美金，每桶约3美金，远高于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非影子</w:t>
            </w:r>
            <w:r w:rsidR="000469F1">
              <w:rPr>
                <w:rFonts w:asciiTheme="minorEastAsia" w:eastAsiaTheme="minorEastAsia" w:hAnsiTheme="minorEastAsia" w:hint="eastAsia"/>
                <w:shd w:val="clear" w:color="auto" w:fill="FFFFFF"/>
              </w:rPr>
              <w:t>市场船队的运价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。当前</w:t>
            </w:r>
            <w:r w:rsidR="000469F1">
              <w:rPr>
                <w:rFonts w:asciiTheme="minorEastAsia" w:eastAsiaTheme="minorEastAsia" w:hAnsiTheme="minorEastAsia" w:hint="eastAsia"/>
                <w:shd w:val="clear" w:color="auto" w:fill="FFFFFF"/>
              </w:rPr>
              <w:t>伊朗石油出口量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对合规VLCC需求的压制比较厉害，</w:t>
            </w:r>
            <w:r w:rsidR="000469F1">
              <w:rPr>
                <w:rFonts w:asciiTheme="minorEastAsia" w:eastAsiaTheme="minorEastAsia" w:hAnsiTheme="minorEastAsia" w:hint="eastAsia"/>
                <w:shd w:val="clear" w:color="auto" w:fill="FFFFFF"/>
              </w:rPr>
              <w:t>伊以冲突走向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仍是最值得关注的因素。船价层面，VLCC二手船价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lastRenderedPageBreak/>
              <w:t>年初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既已经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止跌回稳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。</w:t>
            </w:r>
            <w:r w:rsidR="00873342" w:rsidRP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油价层面，</w:t>
            </w:r>
            <w:r w:rsid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期限结构看，</w:t>
            </w:r>
            <w:r w:rsidR="00873342" w:rsidRP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贴水已经走平，原油何时转为升水对</w:t>
            </w:r>
            <w:r w:rsidR="00873342" w:rsidRPr="00873342">
              <w:rPr>
                <w:rFonts w:asciiTheme="minorEastAsia" w:eastAsiaTheme="minorEastAsia" w:hAnsiTheme="minorEastAsia"/>
                <w:shd w:val="clear" w:color="auto" w:fill="FFFFFF"/>
              </w:rPr>
              <w:t>VLCC市场较重要。</w:t>
            </w:r>
          </w:p>
          <w:p w14:paraId="7C79DBC8" w14:textId="77777777" w:rsidR="00873342" w:rsidRDefault="00873342" w:rsidP="00873342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shd w:val="clear" w:color="auto" w:fill="FFFFFF"/>
              </w:rPr>
            </w:pPr>
            <w:r w:rsidRP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长期来看市场仍担心远期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有效</w:t>
            </w:r>
            <w:r w:rsidRPr="00873342">
              <w:rPr>
                <w:rFonts w:asciiTheme="minorEastAsia" w:eastAsiaTheme="minorEastAsia" w:hAnsiTheme="minorEastAsia" w:hint="eastAsia"/>
                <w:shd w:val="clear" w:color="auto" w:fill="FFFFFF"/>
              </w:rPr>
              <w:t>运力不足。</w:t>
            </w:r>
            <w:r w:rsidRPr="00873342">
              <w:rPr>
                <w:rFonts w:asciiTheme="minorEastAsia" w:eastAsiaTheme="minorEastAsia" w:hAnsiTheme="minorEastAsia"/>
                <w:shd w:val="clear" w:color="auto" w:fill="FFFFFF"/>
              </w:rPr>
              <w:t>27-30年VLCC有效运力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及可供船台</w:t>
            </w:r>
            <w:r w:rsidRPr="00873342">
              <w:rPr>
                <w:rFonts w:asciiTheme="minorEastAsia" w:eastAsiaTheme="minorEastAsia" w:hAnsiTheme="minorEastAsia"/>
                <w:shd w:val="clear" w:color="auto" w:fill="FFFFFF"/>
              </w:rPr>
              <w:t>增量较少，远期供给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可能</w:t>
            </w:r>
            <w:r w:rsidRPr="00873342">
              <w:rPr>
                <w:rFonts w:asciiTheme="minorEastAsia" w:eastAsiaTheme="minorEastAsia" w:hAnsiTheme="minorEastAsia"/>
                <w:shd w:val="clear" w:color="auto" w:fill="FFFFFF"/>
              </w:rPr>
              <w:t>不足，租赁市场的租家结构可以印证，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部分大石油公司和</w:t>
            </w:r>
            <w:r w:rsidRPr="00873342">
              <w:rPr>
                <w:rFonts w:asciiTheme="minorEastAsia" w:eastAsiaTheme="minorEastAsia" w:hAnsiTheme="minorEastAsia"/>
                <w:shd w:val="clear" w:color="auto" w:fill="FFFFFF"/>
              </w:rPr>
              <w:t>大型贸易商对远期运力存在焦虑。</w:t>
            </w:r>
          </w:p>
          <w:p w14:paraId="53244F5C" w14:textId="3C46F9EE" w:rsidR="00931577" w:rsidRPr="00931577" w:rsidRDefault="00873342" w:rsidP="00873342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总体看，供需结构的变化趋势和资产价格均对油轮运费市场有坚实支撑</w:t>
            </w:r>
            <w:r w:rsidR="00931577"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。</w:t>
            </w:r>
          </w:p>
          <w:p w14:paraId="5CC1AE93" w14:textId="36CADCD3" w:rsidR="00931577" w:rsidRPr="00030E26" w:rsidRDefault="00030E26" w:rsidP="0093157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030E26">
              <w:rPr>
                <w:rFonts w:asciiTheme="minorEastAsia" w:eastAsiaTheme="minorEastAsia" w:hAnsiTheme="minorEastAsia" w:hint="eastAsia"/>
                <w:b/>
                <w:bCs/>
              </w:rPr>
              <w:t>2.</w:t>
            </w:r>
            <w:r w:rsidR="00931577" w:rsidRPr="00030E26">
              <w:rPr>
                <w:rFonts w:asciiTheme="minorEastAsia" w:eastAsiaTheme="minorEastAsia" w:hAnsiTheme="minorEastAsia" w:hint="eastAsia"/>
                <w:b/>
                <w:bCs/>
              </w:rPr>
              <w:t>干散货运情况：</w:t>
            </w:r>
          </w:p>
          <w:p w14:paraId="682F0D2C" w14:textId="1CB590C9" w:rsidR="00931577" w:rsidRPr="00931577" w:rsidRDefault="001F6F92" w:rsidP="00030E26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总体看来，对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下半年运价</w:t>
            </w:r>
            <w:r>
              <w:rPr>
                <w:rFonts w:asciiTheme="minorEastAsia" w:eastAsiaTheme="minorEastAsia" w:hAnsiTheme="minorEastAsia" w:hint="eastAsia"/>
              </w:rPr>
              <w:t>保持乐观态度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。1、西非增产拉动需求。西芒杜预计年底发货，明年发运量稳定攀升，预计28年达1.2亿吨出口，叠加铝土矿现存1.5亿吨与4千万吨增量，西非总出口量将达3亿吨左右，与巴西体量相当，相当于多出了一条航线，预计</w:t>
            </w:r>
            <w:r>
              <w:rPr>
                <w:rFonts w:asciiTheme="minorEastAsia" w:eastAsiaTheme="minorEastAsia" w:hAnsiTheme="minorEastAsia" w:hint="eastAsia"/>
              </w:rPr>
              <w:t>Capesize</w:t>
            </w:r>
            <w:r w:rsidR="00873342">
              <w:rPr>
                <w:rFonts w:asciiTheme="minorEastAsia" w:eastAsiaTheme="minorEastAsia" w:hAnsiTheme="minorEastAsia" w:hint="eastAsia"/>
              </w:rPr>
              <w:t>（好望角型散货船）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租金具有较好的弹性。2、中东</w:t>
            </w:r>
            <w:r w:rsidR="00BF45E7">
              <w:rPr>
                <w:rFonts w:asciiTheme="minorEastAsia" w:eastAsiaTheme="minorEastAsia" w:hAnsiTheme="minorEastAsia" w:hint="eastAsia"/>
              </w:rPr>
              <w:t>等地缘</w:t>
            </w:r>
            <w:r>
              <w:rPr>
                <w:rFonts w:asciiTheme="minorEastAsia" w:eastAsiaTheme="minorEastAsia" w:hAnsiTheme="minorEastAsia" w:hint="eastAsia"/>
              </w:rPr>
              <w:t>局势</w:t>
            </w:r>
            <w:r w:rsidR="00BF45E7">
              <w:rPr>
                <w:rFonts w:asciiTheme="minorEastAsia" w:eastAsiaTheme="minorEastAsia" w:hAnsiTheme="minorEastAsia" w:hint="eastAsia"/>
              </w:rPr>
              <w:t>因素和环保约束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导致全球船舶使用效率下降，区域</w:t>
            </w:r>
            <w:r>
              <w:rPr>
                <w:rFonts w:asciiTheme="minorEastAsia" w:eastAsiaTheme="minorEastAsia" w:hAnsiTheme="minorEastAsia" w:hint="eastAsia"/>
              </w:rPr>
              <w:t>运输产生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风险溢价。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、中东和俄乌有重建需求，因战争而推迟的出货也将带来粮食和矿产的局部热点。</w:t>
            </w:r>
          </w:p>
          <w:p w14:paraId="154C9B9F" w14:textId="32A340D8" w:rsidR="00931577" w:rsidRPr="00931577" w:rsidRDefault="00030E26" w:rsidP="0093157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</w:rPr>
            </w:pPr>
            <w:r w:rsidRPr="00030E26">
              <w:rPr>
                <w:rFonts w:asciiTheme="minorEastAsia" w:eastAsiaTheme="minorEastAsia" w:hAnsiTheme="minorEastAsia" w:hint="eastAsia"/>
                <w:b/>
                <w:bCs/>
              </w:rPr>
              <w:t>3.</w:t>
            </w:r>
            <w:r w:rsidR="00931577" w:rsidRPr="00030E26">
              <w:rPr>
                <w:rFonts w:asciiTheme="minorEastAsia" w:eastAsiaTheme="minorEastAsia" w:hAnsiTheme="minorEastAsia" w:hint="eastAsia"/>
                <w:b/>
                <w:bCs/>
              </w:rPr>
              <w:t>集运情况：</w:t>
            </w:r>
          </w:p>
          <w:p w14:paraId="0C2D6542" w14:textId="30C68664" w:rsidR="00931577" w:rsidRPr="00931577" w:rsidRDefault="00931577" w:rsidP="0093157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</w:rPr>
            </w:pPr>
            <w:r w:rsidRPr="00931577">
              <w:rPr>
                <w:rFonts w:asciiTheme="minorEastAsia" w:eastAsiaTheme="minorEastAsia" w:hAnsiTheme="minorEastAsia" w:hint="eastAsia"/>
              </w:rPr>
              <w:t>亚洲区域内货量增长较快，尤其是</w:t>
            </w:r>
            <w:r w:rsidR="001F6F92">
              <w:rPr>
                <w:rFonts w:asciiTheme="minorEastAsia" w:eastAsiaTheme="minorEastAsia" w:hAnsiTheme="minorEastAsia" w:hint="eastAsia"/>
              </w:rPr>
              <w:t>区域内</w:t>
            </w:r>
            <w:r w:rsidRPr="00931577">
              <w:rPr>
                <w:rFonts w:asciiTheme="minorEastAsia" w:eastAsiaTheme="minorEastAsia" w:hAnsiTheme="minorEastAsia" w:hint="eastAsia"/>
              </w:rPr>
              <w:t>消费</w:t>
            </w:r>
            <w:r w:rsidR="001F6F92">
              <w:rPr>
                <w:rFonts w:asciiTheme="minorEastAsia" w:eastAsiaTheme="minorEastAsia" w:hAnsiTheme="minorEastAsia" w:hint="eastAsia"/>
              </w:rPr>
              <w:t>促进对</w:t>
            </w:r>
            <w:r w:rsidRPr="00931577">
              <w:rPr>
                <w:rFonts w:asciiTheme="minorEastAsia" w:eastAsiaTheme="minorEastAsia" w:hAnsiTheme="minorEastAsia" w:hint="eastAsia"/>
              </w:rPr>
              <w:t>货量增长。从货物流向看，东北亚</w:t>
            </w:r>
            <w:r w:rsidR="001F6F92">
              <w:rPr>
                <w:rFonts w:asciiTheme="minorEastAsia" w:eastAsiaTheme="minorEastAsia" w:hAnsiTheme="minorEastAsia" w:hint="eastAsia"/>
              </w:rPr>
              <w:t>产品供应链延伸至</w:t>
            </w:r>
            <w:r w:rsidRPr="00931577">
              <w:rPr>
                <w:rFonts w:asciiTheme="minorEastAsia" w:eastAsiaTheme="minorEastAsia" w:hAnsiTheme="minorEastAsia" w:hint="eastAsia"/>
              </w:rPr>
              <w:t>东南亚</w:t>
            </w:r>
            <w:r w:rsidR="001F6F92">
              <w:rPr>
                <w:rFonts w:asciiTheme="minorEastAsia" w:eastAsiaTheme="minorEastAsia" w:hAnsiTheme="minorEastAsia" w:hint="eastAsia"/>
              </w:rPr>
              <w:t>以及东南亚本地消费增长</w:t>
            </w:r>
            <w:r w:rsidRPr="00931577">
              <w:rPr>
                <w:rFonts w:asciiTheme="minorEastAsia" w:eastAsiaTheme="minorEastAsia" w:hAnsiTheme="minorEastAsia" w:hint="eastAsia"/>
              </w:rPr>
              <w:t>的</w:t>
            </w:r>
            <w:r w:rsidR="001F6F92">
              <w:rPr>
                <w:rFonts w:asciiTheme="minorEastAsia" w:eastAsiaTheme="minorEastAsia" w:hAnsiTheme="minorEastAsia" w:hint="eastAsia"/>
              </w:rPr>
              <w:t>趋势</w:t>
            </w:r>
            <w:r w:rsidRPr="00931577">
              <w:rPr>
                <w:rFonts w:asciiTheme="minorEastAsia" w:eastAsiaTheme="minorEastAsia" w:hAnsiTheme="minorEastAsia" w:hint="eastAsia"/>
              </w:rPr>
              <w:t>带动运距</w:t>
            </w:r>
            <w:r w:rsidR="001F6F92">
              <w:rPr>
                <w:rFonts w:asciiTheme="minorEastAsia" w:eastAsiaTheme="minorEastAsia" w:hAnsiTheme="minorEastAsia" w:hint="eastAsia"/>
              </w:rPr>
              <w:t>和需求均</w:t>
            </w:r>
            <w:r w:rsidRPr="00931577">
              <w:rPr>
                <w:rFonts w:asciiTheme="minorEastAsia" w:eastAsiaTheme="minorEastAsia" w:hAnsiTheme="minorEastAsia" w:hint="eastAsia"/>
              </w:rPr>
              <w:t>提升。上半年运价整体较稳，近期受到</w:t>
            </w:r>
            <w:r w:rsidR="001F6F92">
              <w:rPr>
                <w:rFonts w:asciiTheme="minorEastAsia" w:eastAsiaTheme="minorEastAsia" w:hAnsiTheme="minorEastAsia" w:hint="eastAsia"/>
              </w:rPr>
              <w:t>季节性波动</w:t>
            </w:r>
            <w:r w:rsidRPr="00931577">
              <w:rPr>
                <w:rFonts w:asciiTheme="minorEastAsia" w:eastAsiaTheme="minorEastAsia" w:hAnsiTheme="minorEastAsia" w:hint="eastAsia"/>
              </w:rPr>
              <w:t>以及区域内运力的增加影响，运价有所压力。但</w:t>
            </w:r>
            <w:r w:rsidR="001F6F92">
              <w:rPr>
                <w:rFonts w:asciiTheme="minorEastAsia" w:eastAsiaTheme="minorEastAsia" w:hAnsiTheme="minorEastAsia" w:hint="eastAsia"/>
              </w:rPr>
              <w:t>适航</w:t>
            </w:r>
            <w:r w:rsidRPr="00931577">
              <w:rPr>
                <w:rFonts w:asciiTheme="minorEastAsia" w:eastAsiaTheme="minorEastAsia" w:hAnsiTheme="minorEastAsia" w:hint="eastAsia"/>
              </w:rPr>
              <w:t>船队运力</w:t>
            </w:r>
            <w:r w:rsidR="001F6F92">
              <w:rPr>
                <w:rFonts w:asciiTheme="minorEastAsia" w:eastAsiaTheme="minorEastAsia" w:hAnsiTheme="minorEastAsia" w:hint="eastAsia"/>
              </w:rPr>
              <w:t>总体有限</w:t>
            </w:r>
            <w:r w:rsidRPr="00931577">
              <w:rPr>
                <w:rFonts w:asciiTheme="minorEastAsia" w:eastAsiaTheme="minorEastAsia" w:hAnsiTheme="minorEastAsia" w:hint="eastAsia"/>
              </w:rPr>
              <w:t>，</w:t>
            </w:r>
            <w:r w:rsidR="001F6F92">
              <w:rPr>
                <w:rFonts w:asciiTheme="minorEastAsia" w:eastAsiaTheme="minorEastAsia" w:hAnsiTheme="minorEastAsia" w:hint="eastAsia"/>
              </w:rPr>
              <w:t>区域内</w:t>
            </w:r>
            <w:r w:rsidRPr="00931577">
              <w:rPr>
                <w:rFonts w:asciiTheme="minorEastAsia" w:eastAsiaTheme="minorEastAsia" w:hAnsiTheme="minorEastAsia" w:hint="eastAsia"/>
              </w:rPr>
              <w:t>运力</w:t>
            </w:r>
            <w:r w:rsidR="001F6F92">
              <w:rPr>
                <w:rFonts w:asciiTheme="minorEastAsia" w:eastAsiaTheme="minorEastAsia" w:hAnsiTheme="minorEastAsia" w:hint="eastAsia"/>
              </w:rPr>
              <w:t>投放增长可控</w:t>
            </w:r>
            <w:r w:rsidRPr="00931577">
              <w:rPr>
                <w:rFonts w:asciiTheme="minorEastAsia" w:eastAsiaTheme="minorEastAsia" w:hAnsiTheme="minorEastAsia" w:hint="eastAsia"/>
              </w:rPr>
              <w:t>。总体来看，</w:t>
            </w:r>
            <w:r w:rsidR="00030E26">
              <w:rPr>
                <w:rFonts w:asciiTheme="minorEastAsia" w:eastAsiaTheme="minorEastAsia" w:hAnsiTheme="minorEastAsia" w:hint="eastAsia"/>
              </w:rPr>
              <w:t>20</w:t>
            </w:r>
            <w:r w:rsidRPr="00931577">
              <w:rPr>
                <w:rFonts w:asciiTheme="minorEastAsia" w:eastAsiaTheme="minorEastAsia" w:hAnsiTheme="minorEastAsia" w:hint="eastAsia"/>
              </w:rPr>
              <w:t>25</w:t>
            </w:r>
            <w:r w:rsidR="00030E26">
              <w:rPr>
                <w:rFonts w:asciiTheme="minorEastAsia" w:eastAsiaTheme="minorEastAsia" w:hAnsiTheme="minorEastAsia" w:hint="eastAsia"/>
              </w:rPr>
              <w:t>年上半年逐月收入保持稳定</w:t>
            </w:r>
            <w:r w:rsidRPr="00931577">
              <w:rPr>
                <w:rFonts w:asciiTheme="minorEastAsia" w:eastAsiaTheme="minorEastAsia" w:hAnsiTheme="minorEastAsia" w:hint="eastAsia"/>
              </w:rPr>
              <w:t>，Q3</w:t>
            </w:r>
            <w:r w:rsidR="00030E26">
              <w:rPr>
                <w:rFonts w:asciiTheme="minorEastAsia" w:eastAsiaTheme="minorEastAsia" w:hAnsiTheme="minorEastAsia" w:hint="eastAsia"/>
              </w:rPr>
              <w:t>原价预计季节性回落承压</w:t>
            </w:r>
            <w:r w:rsidRPr="00931577">
              <w:rPr>
                <w:rFonts w:asciiTheme="minorEastAsia" w:eastAsiaTheme="minorEastAsia" w:hAnsiTheme="minorEastAsia" w:hint="eastAsia"/>
              </w:rPr>
              <w:t>，Q4进入旺季预计景气度仍较高。</w:t>
            </w:r>
          </w:p>
          <w:p w14:paraId="38FB5272" w14:textId="49DAA901" w:rsidR="00931577" w:rsidRPr="00030E26" w:rsidRDefault="00030E26" w:rsidP="0093157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</w:pPr>
            <w:r w:rsidRPr="00030E26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4. 问答环节</w:t>
            </w:r>
          </w:p>
          <w:p w14:paraId="429E37A4" w14:textId="37533186" w:rsidR="00AE1BB8" w:rsidRDefault="00AE1BB8" w:rsidP="0088590E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</w:pPr>
            <w:r w:rsidRPr="00426DC8">
              <w:rPr>
                <w:rFonts w:asciiTheme="minorEastAsia" w:eastAsiaTheme="minorEastAsia" w:hAnsiTheme="minorEastAsia"/>
                <w:b/>
                <w:bCs/>
                <w:shd w:val="clear" w:color="auto" w:fill="FFFFFF"/>
              </w:rPr>
              <w:t>问题1：</w:t>
            </w:r>
            <w:r w:rsidR="00931577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请问</w:t>
            </w:r>
            <w:r w:rsidR="00931577" w:rsidRPr="00931577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当前</w:t>
            </w:r>
            <w:r w:rsidR="00931577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油轮</w:t>
            </w:r>
            <w:r w:rsidR="00931577" w:rsidRPr="00931577">
              <w:rPr>
                <w:rFonts w:asciiTheme="minorEastAsia" w:eastAsiaTheme="minorEastAsia" w:hAnsiTheme="minorEastAsia" w:hint="eastAsia"/>
                <w:b/>
                <w:bCs/>
                <w:shd w:val="clear" w:color="auto" w:fill="FFFFFF"/>
              </w:rPr>
              <w:t>高运价会贡献在Q2还是Q3的业绩？</w:t>
            </w:r>
            <w:r w:rsidRPr="00426DC8">
              <w:rPr>
                <w:rFonts w:asciiTheme="minorEastAsia" w:eastAsiaTheme="minorEastAsia" w:hAnsiTheme="minorEastAsia"/>
                <w:b/>
                <w:bCs/>
                <w:shd w:val="clear" w:color="auto" w:fill="FFFFFF"/>
              </w:rPr>
              <w:t>？</w:t>
            </w:r>
          </w:p>
          <w:p w14:paraId="12FF1EB6" w14:textId="4BC17A23" w:rsidR="00426DC8" w:rsidRDefault="00931577" w:rsidP="0088590E">
            <w:pPr>
              <w:spacing w:beforeLines="50" w:before="120" w:line="400" w:lineRule="exact"/>
              <w:jc w:val="left"/>
              <w:rPr>
                <w:rFonts w:asciiTheme="minorEastAsia" w:eastAsiaTheme="minorEastAsia" w:hAnsiTheme="minorEastAsia" w:hint="eastAsia"/>
                <w:shd w:val="clear" w:color="auto" w:fill="FFFFFF"/>
              </w:rPr>
            </w:pPr>
            <w:hyperlink r:id="rId7" w:history="1">
              <w:r w:rsidRPr="00426DC8">
                <w:rPr>
                  <w:rStyle w:val="a7"/>
                  <w:rFonts w:asciiTheme="minorEastAsia" w:eastAsiaTheme="minorEastAsia" w:hAnsiTheme="minorEastAsia"/>
                  <w:lang w:val="en-US"/>
                </w:rPr>
                <w:t>孔康</w:t>
              </w:r>
            </w:hyperlink>
            <w:r w:rsidR="00AE1BB8" w:rsidRPr="00426DC8">
              <w:rPr>
                <w:rFonts w:asciiTheme="minorEastAsia" w:eastAsiaTheme="minorEastAsia" w:hAnsiTheme="minorEastAsia"/>
                <w:shd w:val="clear" w:color="auto" w:fill="FFFFFF"/>
              </w:rPr>
              <w:t xml:space="preserve"> 答 ：谢谢您的提问。</w:t>
            </w:r>
          </w:p>
          <w:p w14:paraId="22D55137" w14:textId="57A9B875" w:rsidR="00426DC8" w:rsidRPr="00426DC8" w:rsidRDefault="00931577" w:rsidP="001F6F92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shd w:val="clear" w:color="auto" w:fill="FFFFFF"/>
              </w:rPr>
            </w:pP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近期市场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风险溢价提升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，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部分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做货窗口提前，现在做的很多货都是7月中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下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旬的，所以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业绩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主要在Q3体现。建议不要过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于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关注高频的现货运价，</w:t>
            </w:r>
            <w:r w:rsidR="00BF45E7">
              <w:rPr>
                <w:rFonts w:asciiTheme="minorEastAsia" w:eastAsiaTheme="minorEastAsia" w:hAnsiTheme="minorEastAsia" w:hint="eastAsia"/>
                <w:shd w:val="clear" w:color="auto" w:fill="FFFFFF"/>
              </w:rPr>
              <w:t>适当关注期租市场和资产价格走势</w:t>
            </w:r>
            <w:r w:rsidRPr="00931577">
              <w:rPr>
                <w:rFonts w:asciiTheme="minorEastAsia" w:eastAsiaTheme="minorEastAsia" w:hAnsiTheme="minorEastAsia" w:hint="eastAsia"/>
                <w:shd w:val="clear" w:color="auto" w:fill="FFFFFF"/>
              </w:rPr>
              <w:t>坚挺。</w:t>
            </w:r>
          </w:p>
          <w:p w14:paraId="2CBF002A" w14:textId="630BC315" w:rsidR="00426DC8" w:rsidRPr="00426DC8" w:rsidRDefault="00426DC8" w:rsidP="0088590E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426DC8"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问题2：</w:t>
            </w:r>
            <w:r w:rsidRPr="00426DC8">
              <w:rPr>
                <w:rFonts w:asciiTheme="minorEastAsia" w:eastAsiaTheme="minorEastAsia" w:hAnsiTheme="minorEastAsia"/>
                <w:b/>
                <w:bCs/>
              </w:rPr>
              <w:t>请问</w:t>
            </w:r>
            <w:r w:rsidR="00931577" w:rsidRPr="00931577">
              <w:rPr>
                <w:rFonts w:asciiTheme="minorEastAsia" w:eastAsiaTheme="minorEastAsia" w:hAnsiTheme="minorEastAsia" w:hint="eastAsia"/>
                <w:b/>
                <w:bCs/>
              </w:rPr>
              <w:t>欧盟和英国的制裁跟美国有何区别？</w:t>
            </w:r>
          </w:p>
          <w:p w14:paraId="6C99CBD7" w14:textId="786524C1" w:rsidR="00426DC8" w:rsidRPr="00426DC8" w:rsidRDefault="00931577" w:rsidP="001F6F92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</w:rPr>
            </w:pPr>
            <w:hyperlink r:id="rId8" w:history="1">
              <w:r w:rsidRPr="00426DC8">
                <w:rPr>
                  <w:rStyle w:val="a7"/>
                  <w:rFonts w:asciiTheme="minorEastAsia" w:eastAsiaTheme="minorEastAsia" w:hAnsiTheme="minorEastAsia"/>
                  <w:lang w:val="en-US"/>
                </w:rPr>
                <w:t>孔康</w:t>
              </w:r>
            </w:hyperlink>
            <w:r>
              <w:rPr>
                <w:rFonts w:hint="eastAsia"/>
              </w:rPr>
              <w:t xml:space="preserve"> </w:t>
            </w:r>
            <w:r w:rsidR="00426DC8" w:rsidRPr="00426DC8">
              <w:rPr>
                <w:rFonts w:asciiTheme="minorEastAsia" w:eastAsiaTheme="minorEastAsia" w:hAnsiTheme="minorEastAsia"/>
              </w:rPr>
              <w:t>答 ：感谢</w:t>
            </w:r>
            <w:r w:rsidR="00426DC8" w:rsidRPr="00931577">
              <w:rPr>
                <w:rFonts w:asciiTheme="minorEastAsia" w:eastAsiaTheme="minorEastAsia" w:hAnsiTheme="minorEastAsia"/>
              </w:rPr>
              <w:t>提问，</w:t>
            </w:r>
            <w:r w:rsidR="00BF45E7">
              <w:rPr>
                <w:rFonts w:asciiTheme="minorEastAsia" w:eastAsiaTheme="minorEastAsia" w:hAnsiTheme="minorEastAsia" w:hint="eastAsia"/>
              </w:rPr>
              <w:t>目前油轮相关制裁</w:t>
            </w:r>
            <w:r w:rsidRPr="00931577">
              <w:rPr>
                <w:rFonts w:asciiTheme="minorEastAsia" w:eastAsiaTheme="minorEastAsia" w:hAnsiTheme="minorEastAsia" w:hint="eastAsia"/>
              </w:rPr>
              <w:t>欧</w:t>
            </w:r>
            <w:r w:rsidR="001F6F92">
              <w:rPr>
                <w:rFonts w:asciiTheme="minorEastAsia" w:eastAsiaTheme="minorEastAsia" w:hAnsiTheme="minorEastAsia" w:hint="eastAsia"/>
              </w:rPr>
              <w:t>盟</w:t>
            </w:r>
            <w:r w:rsidRPr="00931577">
              <w:rPr>
                <w:rFonts w:asciiTheme="minorEastAsia" w:eastAsiaTheme="minorEastAsia" w:hAnsiTheme="minorEastAsia" w:hint="eastAsia"/>
              </w:rPr>
              <w:t>英国的没有美国</w:t>
            </w:r>
            <w:r w:rsidR="00BF45E7">
              <w:rPr>
                <w:rFonts w:asciiTheme="minorEastAsia" w:eastAsiaTheme="minorEastAsia" w:hAnsiTheme="minorEastAsia" w:hint="eastAsia"/>
              </w:rPr>
              <w:t>OFAC</w:t>
            </w:r>
            <w:r w:rsidR="001F6F92">
              <w:rPr>
                <w:rFonts w:asciiTheme="minorEastAsia" w:eastAsiaTheme="minorEastAsia" w:hAnsiTheme="minorEastAsia" w:hint="eastAsia"/>
              </w:rPr>
              <w:t>制裁</w:t>
            </w:r>
            <w:r w:rsidR="00BF45E7">
              <w:rPr>
                <w:rFonts w:asciiTheme="minorEastAsia" w:eastAsiaTheme="minorEastAsia" w:hAnsiTheme="minorEastAsia" w:hint="eastAsia"/>
              </w:rPr>
              <w:t>严厉</w:t>
            </w:r>
            <w:r w:rsidRPr="00931577">
              <w:rPr>
                <w:rFonts w:asciiTheme="minorEastAsia" w:eastAsiaTheme="minorEastAsia" w:hAnsiTheme="minorEastAsia" w:hint="eastAsia"/>
              </w:rPr>
              <w:t>。欧美英国的制裁主要限制进入港口和获得</w:t>
            </w:r>
            <w:r w:rsidR="00BF45E7">
              <w:rPr>
                <w:rFonts w:asciiTheme="minorEastAsia" w:eastAsiaTheme="minorEastAsia" w:hAnsiTheme="minorEastAsia" w:hint="eastAsia"/>
              </w:rPr>
              <w:t>金融海事</w:t>
            </w:r>
            <w:r w:rsidRPr="00931577">
              <w:rPr>
                <w:rFonts w:asciiTheme="minorEastAsia" w:eastAsiaTheme="minorEastAsia" w:hAnsiTheme="minorEastAsia" w:hint="eastAsia"/>
              </w:rPr>
              <w:t>相关服务，对贸易链本身的制裁力度</w:t>
            </w:r>
            <w:r w:rsidR="00BF45E7">
              <w:rPr>
                <w:rFonts w:asciiTheme="minorEastAsia" w:eastAsiaTheme="minorEastAsia" w:hAnsiTheme="minorEastAsia" w:hint="eastAsia"/>
              </w:rPr>
              <w:t>和效果</w:t>
            </w:r>
            <w:r w:rsidRPr="00931577">
              <w:rPr>
                <w:rFonts w:asciiTheme="minorEastAsia" w:eastAsiaTheme="minorEastAsia" w:hAnsiTheme="minorEastAsia" w:hint="eastAsia"/>
              </w:rPr>
              <w:t>没有美国</w:t>
            </w:r>
            <w:r w:rsidR="00BF45E7">
              <w:rPr>
                <w:rFonts w:asciiTheme="minorEastAsia" w:eastAsiaTheme="minorEastAsia" w:hAnsiTheme="minorEastAsia" w:hint="eastAsia"/>
              </w:rPr>
              <w:t>OFAC制裁</w:t>
            </w:r>
            <w:r w:rsidRPr="00931577">
              <w:rPr>
                <w:rFonts w:asciiTheme="minorEastAsia" w:eastAsiaTheme="minorEastAsia" w:hAnsiTheme="minorEastAsia" w:hint="eastAsia"/>
              </w:rPr>
              <w:t>那么</w:t>
            </w:r>
            <w:r w:rsidR="00BF45E7">
              <w:rPr>
                <w:rFonts w:asciiTheme="minorEastAsia" w:eastAsiaTheme="minorEastAsia" w:hAnsiTheme="minorEastAsia" w:hint="eastAsia"/>
              </w:rPr>
              <w:t>明显</w:t>
            </w:r>
            <w:r w:rsidRPr="00931577">
              <w:rPr>
                <w:rFonts w:asciiTheme="minorEastAsia" w:eastAsiaTheme="minorEastAsia" w:hAnsiTheme="minorEastAsia" w:hint="eastAsia"/>
              </w:rPr>
              <w:t>。</w:t>
            </w:r>
          </w:p>
          <w:p w14:paraId="632DDF07" w14:textId="3EA9F402" w:rsidR="00426DC8" w:rsidRPr="00426DC8" w:rsidRDefault="00426DC8" w:rsidP="0088590E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426DC8">
              <w:rPr>
                <w:rFonts w:asciiTheme="minorEastAsia" w:eastAsiaTheme="minorEastAsia" w:hAnsiTheme="minorEastAsia"/>
                <w:b/>
                <w:bCs/>
              </w:rPr>
              <w:t>问题3：</w:t>
            </w:r>
            <w:r w:rsidR="00931577">
              <w:rPr>
                <w:rFonts w:asciiTheme="minorEastAsia" w:eastAsiaTheme="minorEastAsia" w:hAnsiTheme="minorEastAsia" w:hint="eastAsia"/>
                <w:b/>
                <w:bCs/>
              </w:rPr>
              <w:t>请问</w:t>
            </w:r>
            <w:r w:rsidR="00931577" w:rsidRPr="00931577">
              <w:rPr>
                <w:rFonts w:asciiTheme="minorEastAsia" w:eastAsiaTheme="minorEastAsia" w:hAnsiTheme="minorEastAsia" w:hint="eastAsia"/>
                <w:b/>
                <w:bCs/>
              </w:rPr>
              <w:t>以伊冲突后，</w:t>
            </w:r>
            <w:r w:rsidR="001F6F92">
              <w:rPr>
                <w:rFonts w:asciiTheme="minorEastAsia" w:eastAsiaTheme="minorEastAsia" w:hAnsiTheme="minorEastAsia" w:hint="eastAsia"/>
                <w:b/>
                <w:bCs/>
              </w:rPr>
              <w:t>影子市场</w:t>
            </w:r>
            <w:r w:rsidR="00931577" w:rsidRPr="00931577">
              <w:rPr>
                <w:rFonts w:asciiTheme="minorEastAsia" w:eastAsiaTheme="minorEastAsia" w:hAnsiTheme="minorEastAsia" w:hint="eastAsia"/>
                <w:b/>
                <w:bCs/>
              </w:rPr>
              <w:t>恢复的节奏以及对合规市场的影响</w:t>
            </w:r>
            <w:r w:rsidR="001F6F92">
              <w:rPr>
                <w:rFonts w:asciiTheme="minorEastAsia" w:eastAsiaTheme="minorEastAsia" w:hAnsiTheme="minorEastAsia" w:hint="eastAsia"/>
                <w:b/>
                <w:bCs/>
              </w:rPr>
              <w:t>如何判断</w:t>
            </w:r>
            <w:r w:rsidRPr="00426DC8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07F54794" w14:textId="17CAAA67" w:rsidR="00AE1BB8" w:rsidRPr="001F6F92" w:rsidRDefault="00426DC8" w:rsidP="00BF45E7">
            <w:pPr>
              <w:spacing w:beforeLines="50" w:before="120" w:line="400" w:lineRule="exact"/>
              <w:ind w:firstLine="0"/>
              <w:jc w:val="left"/>
              <w:rPr>
                <w:rFonts w:asciiTheme="minorEastAsia" w:eastAsiaTheme="minorEastAsia" w:hAnsiTheme="minorEastAsia" w:hint="eastAsia"/>
              </w:rPr>
            </w:pPr>
            <w:hyperlink r:id="rId9" w:history="1">
              <w:r w:rsidRPr="00426DC8">
                <w:rPr>
                  <w:rStyle w:val="a7"/>
                  <w:rFonts w:asciiTheme="minorEastAsia" w:eastAsiaTheme="minorEastAsia" w:hAnsiTheme="minorEastAsia"/>
                  <w:lang w:val="en-US"/>
                </w:rPr>
                <w:t>孔康</w:t>
              </w:r>
            </w:hyperlink>
            <w:r w:rsidRPr="00426DC8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426DC8">
              <w:rPr>
                <w:rFonts w:asciiTheme="minorEastAsia" w:eastAsiaTheme="minorEastAsia" w:hAnsiTheme="minorEastAsia"/>
              </w:rPr>
              <w:t>答 ：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被</w:t>
            </w:r>
            <w:r w:rsidR="001F6F92">
              <w:rPr>
                <w:rFonts w:asciiTheme="minorEastAsia" w:eastAsiaTheme="minorEastAsia" w:hAnsiTheme="minorEastAsia" w:hint="eastAsia"/>
              </w:rPr>
              <w:t>美国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制裁的VLCC中</w:t>
            </w:r>
            <w:r w:rsidR="00BF45E7">
              <w:rPr>
                <w:rFonts w:asciiTheme="minorEastAsia" w:eastAsiaTheme="minorEastAsia" w:hAnsiTheme="minorEastAsia" w:hint="eastAsia"/>
              </w:rPr>
              <w:t>60%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以上是20岁</w:t>
            </w:r>
            <w:r w:rsidR="001F6F92">
              <w:rPr>
                <w:rFonts w:asciiTheme="minorEastAsia" w:eastAsiaTheme="minorEastAsia" w:hAnsiTheme="minorEastAsia" w:hint="eastAsia"/>
              </w:rPr>
              <w:t>以上</w:t>
            </w:r>
            <w:r w:rsidR="00BF45E7">
              <w:rPr>
                <w:rFonts w:asciiTheme="minorEastAsia" w:eastAsiaTheme="minorEastAsia" w:hAnsiTheme="minorEastAsia" w:hint="eastAsia"/>
              </w:rPr>
              <w:t>的超老龄</w:t>
            </w:r>
            <w:r w:rsidR="001F6F92">
              <w:rPr>
                <w:rFonts w:asciiTheme="minorEastAsia" w:eastAsiaTheme="minorEastAsia" w:hAnsiTheme="minorEastAsia" w:hint="eastAsia"/>
              </w:rPr>
              <w:t>船舶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，90%以上</w:t>
            </w:r>
            <w:r w:rsidR="001F6F92">
              <w:rPr>
                <w:rFonts w:asciiTheme="minorEastAsia" w:eastAsiaTheme="minorEastAsia" w:hAnsiTheme="minorEastAsia" w:hint="eastAsia"/>
              </w:rPr>
              <w:t>是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15岁</w:t>
            </w:r>
            <w:r w:rsidR="001F6F92">
              <w:rPr>
                <w:rFonts w:asciiTheme="minorEastAsia" w:eastAsiaTheme="minorEastAsia" w:hAnsiTheme="minorEastAsia" w:hint="eastAsia"/>
              </w:rPr>
              <w:t>以上</w:t>
            </w:r>
            <w:r w:rsidR="00BF45E7">
              <w:rPr>
                <w:rFonts w:asciiTheme="minorEastAsia" w:eastAsiaTheme="minorEastAsia" w:hAnsiTheme="minorEastAsia" w:hint="eastAsia"/>
              </w:rPr>
              <w:t>老龄</w:t>
            </w:r>
            <w:r w:rsidR="001F6F92">
              <w:rPr>
                <w:rFonts w:asciiTheme="minorEastAsia" w:eastAsiaTheme="minorEastAsia" w:hAnsiTheme="minorEastAsia" w:hint="eastAsia"/>
              </w:rPr>
              <w:t>船舶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。之前看到</w:t>
            </w:r>
            <w:r w:rsidR="00BF45E7">
              <w:rPr>
                <w:rFonts w:asciiTheme="minorEastAsia" w:eastAsiaTheme="minorEastAsia" w:hAnsiTheme="minorEastAsia" w:hint="eastAsia"/>
              </w:rPr>
              <w:t>专业机构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分析认为</w:t>
            </w:r>
            <w:r w:rsidR="00BF45E7">
              <w:rPr>
                <w:rFonts w:asciiTheme="minorEastAsia" w:eastAsiaTheme="minorEastAsia" w:hAnsiTheme="minorEastAsia" w:hint="eastAsia"/>
              </w:rPr>
              <w:t>如果制裁取消，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伊朗38条VLCC中</w:t>
            </w:r>
            <w:r w:rsidR="00BF45E7">
              <w:rPr>
                <w:rFonts w:asciiTheme="minorEastAsia" w:eastAsiaTheme="minorEastAsia" w:hAnsiTheme="minorEastAsia" w:hint="eastAsia"/>
              </w:rPr>
              <w:t>或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有12条可以较快</w:t>
            </w:r>
            <w:r w:rsidR="00BF45E7">
              <w:rPr>
                <w:rFonts w:asciiTheme="minorEastAsia" w:eastAsiaTheme="minorEastAsia" w:hAnsiTheme="minorEastAsia" w:hint="eastAsia"/>
              </w:rPr>
              <w:t>完成合规市场规范回到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市场，</w:t>
            </w:r>
            <w:r w:rsidR="00BF45E7">
              <w:rPr>
                <w:rFonts w:asciiTheme="minorEastAsia" w:eastAsiaTheme="minorEastAsia" w:hAnsiTheme="minorEastAsia" w:hint="eastAsia"/>
              </w:rPr>
              <w:t>其他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26条</w:t>
            </w:r>
            <w:r w:rsidR="00BF45E7">
              <w:rPr>
                <w:rFonts w:asciiTheme="minorEastAsia" w:eastAsiaTheme="minorEastAsia" w:hAnsiTheme="minorEastAsia" w:hint="eastAsia"/>
              </w:rPr>
              <w:t>其中部分或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需要6-18个月进行改造</w:t>
            </w:r>
            <w:r w:rsidR="00BF45E7">
              <w:rPr>
                <w:rFonts w:asciiTheme="minorEastAsia" w:eastAsiaTheme="minorEastAsia" w:hAnsiTheme="minorEastAsia" w:hint="eastAsia"/>
              </w:rPr>
              <w:t>升级</w:t>
            </w:r>
            <w:r w:rsidR="00931577" w:rsidRPr="00931577">
              <w:rPr>
                <w:rFonts w:asciiTheme="minorEastAsia" w:eastAsiaTheme="minorEastAsia" w:hAnsiTheme="minorEastAsia" w:hint="eastAsia"/>
              </w:rPr>
              <w:t>后进入市场</w:t>
            </w:r>
            <w:r w:rsidR="001F6F92">
              <w:rPr>
                <w:rFonts w:asciiTheme="minorEastAsia" w:eastAsiaTheme="minorEastAsia" w:hAnsiTheme="minorEastAsia" w:hint="eastAsia"/>
              </w:rPr>
              <w:t>，</w:t>
            </w:r>
            <w:r w:rsidR="00BF45E7">
              <w:rPr>
                <w:rFonts w:asciiTheme="minorEastAsia" w:eastAsiaTheme="minorEastAsia" w:hAnsiTheme="minorEastAsia" w:hint="eastAsia"/>
              </w:rPr>
              <w:t>部分估计改变用途或拆解。</w:t>
            </w:r>
            <w:r w:rsidR="001F6F92">
              <w:rPr>
                <w:rFonts w:asciiTheme="minorEastAsia" w:eastAsiaTheme="minorEastAsia" w:hAnsiTheme="minorEastAsia" w:hint="eastAsia"/>
              </w:rPr>
              <w:t>受到船龄和适航状况</w:t>
            </w:r>
            <w:r w:rsidR="00BF45E7">
              <w:rPr>
                <w:rFonts w:asciiTheme="minorEastAsia" w:eastAsiaTheme="minorEastAsia" w:hAnsiTheme="minorEastAsia" w:hint="eastAsia"/>
              </w:rPr>
              <w:t>、环保等各种</w:t>
            </w:r>
            <w:r w:rsidR="001F6F92">
              <w:rPr>
                <w:rFonts w:asciiTheme="minorEastAsia" w:eastAsiaTheme="minorEastAsia" w:hAnsiTheme="minorEastAsia" w:hint="eastAsia"/>
              </w:rPr>
              <w:t>限制，</w:t>
            </w:r>
            <w:r w:rsidR="00BF45E7">
              <w:rPr>
                <w:rFonts w:asciiTheme="minorEastAsia" w:eastAsiaTheme="minorEastAsia" w:hAnsiTheme="minorEastAsia" w:hint="eastAsia"/>
              </w:rPr>
              <w:t>老旧船的</w:t>
            </w:r>
            <w:r w:rsidR="001F6F92">
              <w:rPr>
                <w:rFonts w:asciiTheme="minorEastAsia" w:eastAsiaTheme="minorEastAsia" w:hAnsiTheme="minorEastAsia" w:hint="eastAsia"/>
              </w:rPr>
              <w:t>运营效率和竞争力</w:t>
            </w:r>
            <w:r w:rsidR="00BF45E7">
              <w:rPr>
                <w:rFonts w:asciiTheme="minorEastAsia" w:eastAsiaTheme="minorEastAsia" w:hAnsiTheme="minorEastAsia" w:hint="eastAsia"/>
              </w:rPr>
              <w:t>通常</w:t>
            </w:r>
            <w:r w:rsidR="001F6F92">
              <w:rPr>
                <w:rFonts w:asciiTheme="minorEastAsia" w:eastAsiaTheme="minorEastAsia" w:hAnsiTheme="minorEastAsia" w:hint="eastAsia"/>
              </w:rPr>
              <w:t>是很差的。</w:t>
            </w:r>
          </w:p>
        </w:tc>
      </w:tr>
      <w:bookmarkEnd w:id="1"/>
    </w:tbl>
    <w:p w14:paraId="2E33B1B3" w14:textId="77777777" w:rsidR="00252F36" w:rsidRPr="00170868" w:rsidRDefault="00252F36" w:rsidP="002F1650">
      <w:pPr>
        <w:ind w:leftChars="0" w:left="0" w:firstLine="0"/>
        <w:jc w:val="both"/>
        <w:rPr>
          <w:rFonts w:hint="eastAsia"/>
        </w:rPr>
        <w:sectPr w:rsidR="00252F36" w:rsidRPr="00170868">
          <w:footerReference w:type="default" r:id="rId10"/>
          <w:pgSz w:w="11910" w:h="16840"/>
          <w:pgMar w:top="1580" w:right="1560" w:bottom="280" w:left="1680" w:header="720" w:footer="720" w:gutter="0"/>
          <w:cols w:space="720"/>
        </w:sectPr>
      </w:pPr>
    </w:p>
    <w:p w14:paraId="794E1625" w14:textId="77777777" w:rsidR="00252F36" w:rsidRPr="00832618" w:rsidRDefault="00252F36" w:rsidP="00EC17FC">
      <w:pPr>
        <w:ind w:leftChars="0" w:left="0" w:firstLine="0"/>
        <w:jc w:val="both"/>
        <w:rPr>
          <w:rFonts w:hint="eastAsia"/>
        </w:rPr>
      </w:pPr>
    </w:p>
    <w:sectPr w:rsidR="00252F36" w:rsidRPr="00832618">
      <w:pgSz w:w="11910" w:h="16840"/>
      <w:pgMar w:top="142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9E10" w14:textId="77777777" w:rsidR="008E7290" w:rsidRDefault="008E7290" w:rsidP="00426DC8">
      <w:pPr>
        <w:ind w:firstLine="240"/>
        <w:rPr>
          <w:rFonts w:hint="eastAsia"/>
        </w:rPr>
      </w:pPr>
      <w:r>
        <w:separator/>
      </w:r>
    </w:p>
    <w:p w14:paraId="77CDA62C" w14:textId="77777777" w:rsidR="008E7290" w:rsidRDefault="008E7290" w:rsidP="00426DC8">
      <w:pPr>
        <w:ind w:firstLine="240"/>
        <w:rPr>
          <w:rFonts w:hint="eastAsia"/>
        </w:rPr>
      </w:pPr>
    </w:p>
    <w:p w14:paraId="276CE870" w14:textId="77777777" w:rsidR="008E7290" w:rsidRDefault="008E7290" w:rsidP="00426DC8">
      <w:pPr>
        <w:ind w:firstLine="240"/>
        <w:rPr>
          <w:rFonts w:hint="eastAsia"/>
        </w:rPr>
      </w:pPr>
    </w:p>
    <w:p w14:paraId="181DCD4F" w14:textId="77777777" w:rsidR="008E7290" w:rsidRDefault="008E7290" w:rsidP="00426DC8">
      <w:pPr>
        <w:ind w:firstLine="240"/>
        <w:rPr>
          <w:rFonts w:hint="eastAsia"/>
        </w:rPr>
      </w:pPr>
    </w:p>
    <w:p w14:paraId="4A5A0127" w14:textId="77777777" w:rsidR="008E7290" w:rsidRDefault="008E7290" w:rsidP="00426DC8">
      <w:pPr>
        <w:ind w:firstLine="240"/>
        <w:rPr>
          <w:rFonts w:hint="eastAsia"/>
        </w:rPr>
      </w:pPr>
    </w:p>
    <w:p w14:paraId="79EB0A82" w14:textId="77777777" w:rsidR="008E7290" w:rsidRDefault="008E7290" w:rsidP="00426DC8">
      <w:pPr>
        <w:ind w:firstLine="240"/>
        <w:rPr>
          <w:rFonts w:hint="eastAsia"/>
        </w:rPr>
      </w:pPr>
    </w:p>
    <w:p w14:paraId="48FF1928" w14:textId="77777777" w:rsidR="008E7290" w:rsidRDefault="008E7290" w:rsidP="00426DC8">
      <w:pPr>
        <w:ind w:firstLine="240"/>
        <w:rPr>
          <w:rFonts w:hint="eastAsia"/>
        </w:rPr>
      </w:pPr>
    </w:p>
    <w:p w14:paraId="7D74FE27" w14:textId="77777777" w:rsidR="008E7290" w:rsidRDefault="008E7290" w:rsidP="00426DC8">
      <w:pPr>
        <w:ind w:firstLine="240"/>
        <w:rPr>
          <w:rFonts w:hint="eastAsia"/>
        </w:rPr>
      </w:pPr>
    </w:p>
    <w:p w14:paraId="0C470A38" w14:textId="77777777" w:rsidR="008E7290" w:rsidRDefault="008E7290" w:rsidP="00426DC8">
      <w:pPr>
        <w:ind w:firstLine="240"/>
        <w:rPr>
          <w:rFonts w:hint="eastAsia"/>
        </w:rPr>
      </w:pPr>
    </w:p>
    <w:p w14:paraId="1C5FB720" w14:textId="77777777" w:rsidR="008E7290" w:rsidRDefault="008E7290" w:rsidP="00426DC8">
      <w:pPr>
        <w:ind w:firstLine="240"/>
        <w:rPr>
          <w:rFonts w:hint="eastAsia"/>
        </w:rPr>
      </w:pPr>
    </w:p>
    <w:p w14:paraId="1F01039E" w14:textId="77777777" w:rsidR="008E7290" w:rsidRDefault="008E7290" w:rsidP="00426DC8">
      <w:pPr>
        <w:ind w:firstLine="240"/>
        <w:rPr>
          <w:rFonts w:hint="eastAsia"/>
        </w:rPr>
      </w:pPr>
    </w:p>
    <w:p w14:paraId="04F498B2" w14:textId="77777777" w:rsidR="008E7290" w:rsidRDefault="008E7290" w:rsidP="0088590E">
      <w:pPr>
        <w:rPr>
          <w:rFonts w:hint="eastAsia"/>
        </w:rPr>
      </w:pPr>
    </w:p>
    <w:p w14:paraId="3692A567" w14:textId="77777777" w:rsidR="008E7290" w:rsidRDefault="008E7290" w:rsidP="0088590E">
      <w:pPr>
        <w:rPr>
          <w:rFonts w:hint="eastAsia"/>
        </w:rPr>
      </w:pPr>
    </w:p>
    <w:p w14:paraId="32E037DC" w14:textId="77777777" w:rsidR="008E7290" w:rsidRDefault="008E7290" w:rsidP="0088590E">
      <w:pPr>
        <w:rPr>
          <w:rFonts w:hint="eastAsia"/>
        </w:rPr>
      </w:pPr>
    </w:p>
    <w:p w14:paraId="5ECBCBC9" w14:textId="77777777" w:rsidR="008E7290" w:rsidRDefault="008E7290">
      <w:pPr>
        <w:rPr>
          <w:rFonts w:hint="eastAsia"/>
        </w:rPr>
      </w:pPr>
    </w:p>
    <w:p w14:paraId="4B55C831" w14:textId="77777777" w:rsidR="008E7290" w:rsidRDefault="008E7290" w:rsidP="00030E26">
      <w:pPr>
        <w:rPr>
          <w:rFonts w:hint="eastAsia"/>
        </w:rPr>
      </w:pPr>
    </w:p>
    <w:p w14:paraId="34EDE867" w14:textId="77777777" w:rsidR="008E7290" w:rsidRDefault="008E7290" w:rsidP="00030E26">
      <w:pPr>
        <w:rPr>
          <w:rFonts w:hint="eastAsia"/>
        </w:rPr>
      </w:pPr>
    </w:p>
  </w:endnote>
  <w:endnote w:type="continuationSeparator" w:id="0">
    <w:p w14:paraId="6FCDFF19" w14:textId="77777777" w:rsidR="008E7290" w:rsidRDefault="008E7290" w:rsidP="00426DC8">
      <w:pPr>
        <w:ind w:firstLine="240"/>
        <w:rPr>
          <w:rFonts w:hint="eastAsia"/>
        </w:rPr>
      </w:pPr>
      <w:r>
        <w:continuationSeparator/>
      </w:r>
    </w:p>
    <w:p w14:paraId="4CC053BF" w14:textId="77777777" w:rsidR="008E7290" w:rsidRDefault="008E7290" w:rsidP="00426DC8">
      <w:pPr>
        <w:ind w:firstLine="240"/>
        <w:rPr>
          <w:rFonts w:hint="eastAsia"/>
        </w:rPr>
      </w:pPr>
    </w:p>
    <w:p w14:paraId="0959B55C" w14:textId="77777777" w:rsidR="008E7290" w:rsidRDefault="008E7290" w:rsidP="00426DC8">
      <w:pPr>
        <w:ind w:firstLine="240"/>
        <w:rPr>
          <w:rFonts w:hint="eastAsia"/>
        </w:rPr>
      </w:pPr>
    </w:p>
    <w:p w14:paraId="518F3E46" w14:textId="77777777" w:rsidR="008E7290" w:rsidRDefault="008E7290" w:rsidP="00426DC8">
      <w:pPr>
        <w:ind w:firstLine="240"/>
        <w:rPr>
          <w:rFonts w:hint="eastAsia"/>
        </w:rPr>
      </w:pPr>
    </w:p>
    <w:p w14:paraId="7F54D194" w14:textId="77777777" w:rsidR="008E7290" w:rsidRDefault="008E7290" w:rsidP="00426DC8">
      <w:pPr>
        <w:ind w:firstLine="240"/>
        <w:rPr>
          <w:rFonts w:hint="eastAsia"/>
        </w:rPr>
      </w:pPr>
    </w:p>
    <w:p w14:paraId="73F905E9" w14:textId="77777777" w:rsidR="008E7290" w:rsidRDefault="008E7290" w:rsidP="00426DC8">
      <w:pPr>
        <w:ind w:firstLine="240"/>
        <w:rPr>
          <w:rFonts w:hint="eastAsia"/>
        </w:rPr>
      </w:pPr>
    </w:p>
    <w:p w14:paraId="3364B242" w14:textId="77777777" w:rsidR="008E7290" w:rsidRDefault="008E7290" w:rsidP="00426DC8">
      <w:pPr>
        <w:ind w:firstLine="240"/>
        <w:rPr>
          <w:rFonts w:hint="eastAsia"/>
        </w:rPr>
      </w:pPr>
    </w:p>
    <w:p w14:paraId="39175622" w14:textId="77777777" w:rsidR="008E7290" w:rsidRDefault="008E7290" w:rsidP="00426DC8">
      <w:pPr>
        <w:ind w:firstLine="240"/>
        <w:rPr>
          <w:rFonts w:hint="eastAsia"/>
        </w:rPr>
      </w:pPr>
    </w:p>
    <w:p w14:paraId="4F502D1E" w14:textId="77777777" w:rsidR="008E7290" w:rsidRDefault="008E7290" w:rsidP="00426DC8">
      <w:pPr>
        <w:ind w:firstLine="240"/>
        <w:rPr>
          <w:rFonts w:hint="eastAsia"/>
        </w:rPr>
      </w:pPr>
    </w:p>
    <w:p w14:paraId="51DFBEC6" w14:textId="77777777" w:rsidR="008E7290" w:rsidRDefault="008E7290" w:rsidP="00426DC8">
      <w:pPr>
        <w:ind w:firstLine="240"/>
        <w:rPr>
          <w:rFonts w:hint="eastAsia"/>
        </w:rPr>
      </w:pPr>
    </w:p>
    <w:p w14:paraId="0FA69AD5" w14:textId="77777777" w:rsidR="008E7290" w:rsidRDefault="008E7290" w:rsidP="00426DC8">
      <w:pPr>
        <w:ind w:firstLine="240"/>
        <w:rPr>
          <w:rFonts w:hint="eastAsia"/>
        </w:rPr>
      </w:pPr>
    </w:p>
    <w:p w14:paraId="058E9C3F" w14:textId="77777777" w:rsidR="008E7290" w:rsidRDefault="008E7290" w:rsidP="0088590E">
      <w:pPr>
        <w:rPr>
          <w:rFonts w:hint="eastAsia"/>
        </w:rPr>
      </w:pPr>
    </w:p>
    <w:p w14:paraId="4B0CDF93" w14:textId="77777777" w:rsidR="008E7290" w:rsidRDefault="008E7290" w:rsidP="0088590E">
      <w:pPr>
        <w:rPr>
          <w:rFonts w:hint="eastAsia"/>
        </w:rPr>
      </w:pPr>
    </w:p>
    <w:p w14:paraId="47E9D734" w14:textId="77777777" w:rsidR="008E7290" w:rsidRDefault="008E7290" w:rsidP="0088590E">
      <w:pPr>
        <w:rPr>
          <w:rFonts w:hint="eastAsia"/>
        </w:rPr>
      </w:pPr>
    </w:p>
    <w:p w14:paraId="70F1C6B2" w14:textId="77777777" w:rsidR="008E7290" w:rsidRDefault="008E7290">
      <w:pPr>
        <w:rPr>
          <w:rFonts w:hint="eastAsia"/>
        </w:rPr>
      </w:pPr>
    </w:p>
    <w:p w14:paraId="06608E95" w14:textId="77777777" w:rsidR="008E7290" w:rsidRDefault="008E7290" w:rsidP="00030E26">
      <w:pPr>
        <w:rPr>
          <w:rFonts w:hint="eastAsia"/>
        </w:rPr>
      </w:pPr>
    </w:p>
    <w:p w14:paraId="414A9D9B" w14:textId="77777777" w:rsidR="008E7290" w:rsidRDefault="008E7290" w:rsidP="00030E26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66434"/>
      <w:docPartObj>
        <w:docPartGallery w:val="Page Numbers (Bottom of Page)"/>
        <w:docPartUnique/>
      </w:docPartObj>
    </w:sdtPr>
    <w:sdtEndPr/>
    <w:sdtContent>
      <w:p w14:paraId="46CD0FAF" w14:textId="6F73F65A" w:rsidR="00565214" w:rsidRDefault="00565214" w:rsidP="00426DC8">
        <w:pPr>
          <w:pStyle w:val="a3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055C36" w14:textId="77777777" w:rsidR="00565214" w:rsidRDefault="00565214" w:rsidP="00426DC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1D88" w14:textId="77777777" w:rsidR="008E7290" w:rsidRDefault="008E7290" w:rsidP="00426DC8">
      <w:pPr>
        <w:ind w:firstLine="240"/>
        <w:rPr>
          <w:rFonts w:hint="eastAsia"/>
        </w:rPr>
      </w:pPr>
      <w:r>
        <w:separator/>
      </w:r>
    </w:p>
    <w:p w14:paraId="39AED5A1" w14:textId="77777777" w:rsidR="008E7290" w:rsidRDefault="008E7290" w:rsidP="00426DC8">
      <w:pPr>
        <w:ind w:firstLine="240"/>
        <w:rPr>
          <w:rFonts w:hint="eastAsia"/>
        </w:rPr>
      </w:pPr>
    </w:p>
    <w:p w14:paraId="0346588F" w14:textId="77777777" w:rsidR="008E7290" w:rsidRDefault="008E7290" w:rsidP="00426DC8">
      <w:pPr>
        <w:ind w:firstLine="240"/>
        <w:rPr>
          <w:rFonts w:hint="eastAsia"/>
        </w:rPr>
      </w:pPr>
    </w:p>
    <w:p w14:paraId="3CC01BF9" w14:textId="77777777" w:rsidR="008E7290" w:rsidRDefault="008E7290" w:rsidP="00426DC8">
      <w:pPr>
        <w:ind w:firstLine="240"/>
        <w:rPr>
          <w:rFonts w:hint="eastAsia"/>
        </w:rPr>
      </w:pPr>
    </w:p>
    <w:p w14:paraId="30FDF7E0" w14:textId="77777777" w:rsidR="008E7290" w:rsidRDefault="008E7290" w:rsidP="00426DC8">
      <w:pPr>
        <w:ind w:firstLine="240"/>
        <w:rPr>
          <w:rFonts w:hint="eastAsia"/>
        </w:rPr>
      </w:pPr>
    </w:p>
    <w:p w14:paraId="1A1B23BE" w14:textId="77777777" w:rsidR="008E7290" w:rsidRDefault="008E7290" w:rsidP="00426DC8">
      <w:pPr>
        <w:ind w:firstLine="240"/>
        <w:rPr>
          <w:rFonts w:hint="eastAsia"/>
        </w:rPr>
      </w:pPr>
    </w:p>
    <w:p w14:paraId="1E3701EC" w14:textId="77777777" w:rsidR="008E7290" w:rsidRDefault="008E7290" w:rsidP="00426DC8">
      <w:pPr>
        <w:ind w:firstLine="240"/>
        <w:rPr>
          <w:rFonts w:hint="eastAsia"/>
        </w:rPr>
      </w:pPr>
    </w:p>
    <w:p w14:paraId="3F5182AA" w14:textId="77777777" w:rsidR="008E7290" w:rsidRDefault="008E7290" w:rsidP="00426DC8">
      <w:pPr>
        <w:ind w:firstLine="240"/>
        <w:rPr>
          <w:rFonts w:hint="eastAsia"/>
        </w:rPr>
      </w:pPr>
    </w:p>
    <w:p w14:paraId="350E9BFC" w14:textId="77777777" w:rsidR="008E7290" w:rsidRDefault="008E7290" w:rsidP="00426DC8">
      <w:pPr>
        <w:ind w:firstLine="240"/>
        <w:rPr>
          <w:rFonts w:hint="eastAsia"/>
        </w:rPr>
      </w:pPr>
    </w:p>
    <w:p w14:paraId="0C82DF6D" w14:textId="77777777" w:rsidR="008E7290" w:rsidRDefault="008E7290" w:rsidP="00426DC8">
      <w:pPr>
        <w:ind w:firstLine="240"/>
        <w:rPr>
          <w:rFonts w:hint="eastAsia"/>
        </w:rPr>
      </w:pPr>
    </w:p>
    <w:p w14:paraId="13C21A03" w14:textId="77777777" w:rsidR="008E7290" w:rsidRDefault="008E7290" w:rsidP="00426DC8">
      <w:pPr>
        <w:ind w:firstLine="240"/>
        <w:rPr>
          <w:rFonts w:hint="eastAsia"/>
        </w:rPr>
      </w:pPr>
    </w:p>
    <w:p w14:paraId="186CAE86" w14:textId="77777777" w:rsidR="008E7290" w:rsidRDefault="008E7290" w:rsidP="0088590E">
      <w:pPr>
        <w:rPr>
          <w:rFonts w:hint="eastAsia"/>
        </w:rPr>
      </w:pPr>
    </w:p>
    <w:p w14:paraId="1C6FFE75" w14:textId="77777777" w:rsidR="008E7290" w:rsidRDefault="008E7290" w:rsidP="0088590E">
      <w:pPr>
        <w:rPr>
          <w:rFonts w:hint="eastAsia"/>
        </w:rPr>
      </w:pPr>
    </w:p>
    <w:p w14:paraId="0F8195B0" w14:textId="77777777" w:rsidR="008E7290" w:rsidRDefault="008E7290" w:rsidP="0088590E">
      <w:pPr>
        <w:rPr>
          <w:rFonts w:hint="eastAsia"/>
        </w:rPr>
      </w:pPr>
    </w:p>
    <w:p w14:paraId="795849D7" w14:textId="77777777" w:rsidR="008E7290" w:rsidRDefault="008E7290">
      <w:pPr>
        <w:rPr>
          <w:rFonts w:hint="eastAsia"/>
        </w:rPr>
      </w:pPr>
    </w:p>
    <w:p w14:paraId="4B15B331" w14:textId="77777777" w:rsidR="008E7290" w:rsidRDefault="008E7290" w:rsidP="00030E26">
      <w:pPr>
        <w:rPr>
          <w:rFonts w:hint="eastAsia"/>
        </w:rPr>
      </w:pPr>
    </w:p>
    <w:p w14:paraId="1A8842D5" w14:textId="77777777" w:rsidR="008E7290" w:rsidRDefault="008E7290" w:rsidP="00030E26">
      <w:pPr>
        <w:rPr>
          <w:rFonts w:hint="eastAsia"/>
        </w:rPr>
      </w:pPr>
    </w:p>
  </w:footnote>
  <w:footnote w:type="continuationSeparator" w:id="0">
    <w:p w14:paraId="485E5AC5" w14:textId="77777777" w:rsidR="008E7290" w:rsidRDefault="008E7290" w:rsidP="00426DC8">
      <w:pPr>
        <w:ind w:firstLine="240"/>
        <w:rPr>
          <w:rFonts w:hint="eastAsia"/>
        </w:rPr>
      </w:pPr>
      <w:r>
        <w:continuationSeparator/>
      </w:r>
    </w:p>
    <w:p w14:paraId="66CD1274" w14:textId="77777777" w:rsidR="008E7290" w:rsidRDefault="008E7290" w:rsidP="00426DC8">
      <w:pPr>
        <w:ind w:firstLine="240"/>
        <w:rPr>
          <w:rFonts w:hint="eastAsia"/>
        </w:rPr>
      </w:pPr>
    </w:p>
    <w:p w14:paraId="6449D2A4" w14:textId="77777777" w:rsidR="008E7290" w:rsidRDefault="008E7290" w:rsidP="00426DC8">
      <w:pPr>
        <w:ind w:firstLine="240"/>
        <w:rPr>
          <w:rFonts w:hint="eastAsia"/>
        </w:rPr>
      </w:pPr>
    </w:p>
    <w:p w14:paraId="7F22C9FF" w14:textId="77777777" w:rsidR="008E7290" w:rsidRDefault="008E7290" w:rsidP="00426DC8">
      <w:pPr>
        <w:ind w:firstLine="240"/>
        <w:rPr>
          <w:rFonts w:hint="eastAsia"/>
        </w:rPr>
      </w:pPr>
    </w:p>
    <w:p w14:paraId="74AC3578" w14:textId="77777777" w:rsidR="008E7290" w:rsidRDefault="008E7290" w:rsidP="00426DC8">
      <w:pPr>
        <w:ind w:firstLine="240"/>
        <w:rPr>
          <w:rFonts w:hint="eastAsia"/>
        </w:rPr>
      </w:pPr>
    </w:p>
    <w:p w14:paraId="0D8C23EC" w14:textId="77777777" w:rsidR="008E7290" w:rsidRDefault="008E7290" w:rsidP="00426DC8">
      <w:pPr>
        <w:ind w:firstLine="240"/>
        <w:rPr>
          <w:rFonts w:hint="eastAsia"/>
        </w:rPr>
      </w:pPr>
    </w:p>
    <w:p w14:paraId="544ADACB" w14:textId="77777777" w:rsidR="008E7290" w:rsidRDefault="008E7290" w:rsidP="00426DC8">
      <w:pPr>
        <w:ind w:firstLine="240"/>
        <w:rPr>
          <w:rFonts w:hint="eastAsia"/>
        </w:rPr>
      </w:pPr>
    </w:p>
    <w:p w14:paraId="56B87137" w14:textId="77777777" w:rsidR="008E7290" w:rsidRDefault="008E7290" w:rsidP="00426DC8">
      <w:pPr>
        <w:ind w:firstLine="240"/>
        <w:rPr>
          <w:rFonts w:hint="eastAsia"/>
        </w:rPr>
      </w:pPr>
    </w:p>
    <w:p w14:paraId="7CDC3227" w14:textId="77777777" w:rsidR="008E7290" w:rsidRDefault="008E7290" w:rsidP="00426DC8">
      <w:pPr>
        <w:ind w:firstLine="240"/>
        <w:rPr>
          <w:rFonts w:hint="eastAsia"/>
        </w:rPr>
      </w:pPr>
    </w:p>
    <w:p w14:paraId="267D06F1" w14:textId="77777777" w:rsidR="008E7290" w:rsidRDefault="008E7290" w:rsidP="00426DC8">
      <w:pPr>
        <w:ind w:firstLine="240"/>
        <w:rPr>
          <w:rFonts w:hint="eastAsia"/>
        </w:rPr>
      </w:pPr>
    </w:p>
    <w:p w14:paraId="2580204C" w14:textId="77777777" w:rsidR="008E7290" w:rsidRDefault="008E7290" w:rsidP="00426DC8">
      <w:pPr>
        <w:ind w:firstLine="240"/>
        <w:rPr>
          <w:rFonts w:hint="eastAsia"/>
        </w:rPr>
      </w:pPr>
    </w:p>
    <w:p w14:paraId="3F63C7CB" w14:textId="77777777" w:rsidR="008E7290" w:rsidRDefault="008E7290" w:rsidP="0088590E">
      <w:pPr>
        <w:rPr>
          <w:rFonts w:hint="eastAsia"/>
        </w:rPr>
      </w:pPr>
    </w:p>
    <w:p w14:paraId="71F49BD2" w14:textId="77777777" w:rsidR="008E7290" w:rsidRDefault="008E7290" w:rsidP="0088590E">
      <w:pPr>
        <w:rPr>
          <w:rFonts w:hint="eastAsia"/>
        </w:rPr>
      </w:pPr>
    </w:p>
    <w:p w14:paraId="500AC8C4" w14:textId="77777777" w:rsidR="008E7290" w:rsidRDefault="008E7290" w:rsidP="0088590E">
      <w:pPr>
        <w:rPr>
          <w:rFonts w:hint="eastAsia"/>
        </w:rPr>
      </w:pPr>
    </w:p>
    <w:p w14:paraId="48C4DC3F" w14:textId="77777777" w:rsidR="008E7290" w:rsidRDefault="008E7290">
      <w:pPr>
        <w:rPr>
          <w:rFonts w:hint="eastAsia"/>
        </w:rPr>
      </w:pPr>
    </w:p>
    <w:p w14:paraId="43423CF2" w14:textId="77777777" w:rsidR="008E7290" w:rsidRDefault="008E7290" w:rsidP="00030E26">
      <w:pPr>
        <w:rPr>
          <w:rFonts w:hint="eastAsia"/>
        </w:rPr>
      </w:pPr>
    </w:p>
    <w:p w14:paraId="5F28E482" w14:textId="77777777" w:rsidR="008E7290" w:rsidRDefault="008E7290" w:rsidP="00030E26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0YWY5YWNiNDE5NmI3YTYwMGE1ZGJhY2M2ODQ0MjMifQ=="/>
    <w:docVar w:name="OP-ThemeInfo" w:val="[{&quot;fontInfo&quot;:[],&quot;themeInfo&quot;:{&quot;styleLibId&quot;:&quot;WordThemeContent-1&quot;,&quot;styleLibName&quot;:&quot;简约通用文字模板&quot;,&quot;paymentType&quot;:1,&quot;filePath&quot;:&quot;C:\\Users\\cmes\\AppData\\Local\\OfficePLUS\\Temp\\OPWordAddin\\Files\\66bb3e5c-e4c3-f153-276b-3a151a64eadc.dotx&quot;},&quot;tag&quot;:&quot;op_1730951055&quot;}]"/>
  </w:docVars>
  <w:rsids>
    <w:rsidRoot w:val="22C02D9E"/>
    <w:rsid w:val="00023D29"/>
    <w:rsid w:val="00026E7B"/>
    <w:rsid w:val="00030E26"/>
    <w:rsid w:val="000469F1"/>
    <w:rsid w:val="00075A04"/>
    <w:rsid w:val="000A3529"/>
    <w:rsid w:val="000B0A4C"/>
    <w:rsid w:val="000B12A5"/>
    <w:rsid w:val="000B5984"/>
    <w:rsid w:val="000C3FA0"/>
    <w:rsid w:val="000D59AA"/>
    <w:rsid w:val="000D5EB7"/>
    <w:rsid w:val="000D69A4"/>
    <w:rsid w:val="00105A89"/>
    <w:rsid w:val="001226EE"/>
    <w:rsid w:val="00124A68"/>
    <w:rsid w:val="00134447"/>
    <w:rsid w:val="001515C1"/>
    <w:rsid w:val="0015611E"/>
    <w:rsid w:val="00170868"/>
    <w:rsid w:val="001803AC"/>
    <w:rsid w:val="001849AB"/>
    <w:rsid w:val="001879AB"/>
    <w:rsid w:val="001908C2"/>
    <w:rsid w:val="001B3ACD"/>
    <w:rsid w:val="001B4A0F"/>
    <w:rsid w:val="001B61C8"/>
    <w:rsid w:val="001B7DF4"/>
    <w:rsid w:val="001C25B9"/>
    <w:rsid w:val="001F6F92"/>
    <w:rsid w:val="00220C2E"/>
    <w:rsid w:val="002368E5"/>
    <w:rsid w:val="0024101C"/>
    <w:rsid w:val="00241FA5"/>
    <w:rsid w:val="00252F36"/>
    <w:rsid w:val="002551E6"/>
    <w:rsid w:val="00282FAC"/>
    <w:rsid w:val="00290D4C"/>
    <w:rsid w:val="002978E0"/>
    <w:rsid w:val="00297EF8"/>
    <w:rsid w:val="002A5633"/>
    <w:rsid w:val="002C62BE"/>
    <w:rsid w:val="002E1596"/>
    <w:rsid w:val="002E6C89"/>
    <w:rsid w:val="002F1650"/>
    <w:rsid w:val="00315A81"/>
    <w:rsid w:val="00320AAD"/>
    <w:rsid w:val="0032403C"/>
    <w:rsid w:val="00334215"/>
    <w:rsid w:val="00336B72"/>
    <w:rsid w:val="00341E40"/>
    <w:rsid w:val="00344384"/>
    <w:rsid w:val="00350B8F"/>
    <w:rsid w:val="003632BE"/>
    <w:rsid w:val="00365000"/>
    <w:rsid w:val="0036654A"/>
    <w:rsid w:val="003818DA"/>
    <w:rsid w:val="00385C3F"/>
    <w:rsid w:val="003869D7"/>
    <w:rsid w:val="00390DA6"/>
    <w:rsid w:val="003B4FD2"/>
    <w:rsid w:val="003B5034"/>
    <w:rsid w:val="003B5A70"/>
    <w:rsid w:val="003B6526"/>
    <w:rsid w:val="003C2FBD"/>
    <w:rsid w:val="003F1E85"/>
    <w:rsid w:val="003F64EA"/>
    <w:rsid w:val="004038DB"/>
    <w:rsid w:val="004127AC"/>
    <w:rsid w:val="0041577D"/>
    <w:rsid w:val="00426DC8"/>
    <w:rsid w:val="00435BB3"/>
    <w:rsid w:val="004670BD"/>
    <w:rsid w:val="00475083"/>
    <w:rsid w:val="00477C91"/>
    <w:rsid w:val="004B2557"/>
    <w:rsid w:val="004C4CEC"/>
    <w:rsid w:val="004E06C1"/>
    <w:rsid w:val="00500F4A"/>
    <w:rsid w:val="00506AF5"/>
    <w:rsid w:val="005145BC"/>
    <w:rsid w:val="00524BC5"/>
    <w:rsid w:val="00530FA8"/>
    <w:rsid w:val="00540072"/>
    <w:rsid w:val="0055094F"/>
    <w:rsid w:val="00563628"/>
    <w:rsid w:val="00565214"/>
    <w:rsid w:val="00587B4D"/>
    <w:rsid w:val="00595B2E"/>
    <w:rsid w:val="00595F5D"/>
    <w:rsid w:val="005B3801"/>
    <w:rsid w:val="005B63DD"/>
    <w:rsid w:val="005C0FC2"/>
    <w:rsid w:val="005D245F"/>
    <w:rsid w:val="005F4D1C"/>
    <w:rsid w:val="00601807"/>
    <w:rsid w:val="00602295"/>
    <w:rsid w:val="00610649"/>
    <w:rsid w:val="00635D43"/>
    <w:rsid w:val="00646EEE"/>
    <w:rsid w:val="0065377B"/>
    <w:rsid w:val="00657B9F"/>
    <w:rsid w:val="006A65AA"/>
    <w:rsid w:val="006C2A5A"/>
    <w:rsid w:val="006C3C74"/>
    <w:rsid w:val="00706643"/>
    <w:rsid w:val="00713B62"/>
    <w:rsid w:val="007245B9"/>
    <w:rsid w:val="00725083"/>
    <w:rsid w:val="00743D5B"/>
    <w:rsid w:val="0079047F"/>
    <w:rsid w:val="00792BDC"/>
    <w:rsid w:val="007B33FF"/>
    <w:rsid w:val="007E700C"/>
    <w:rsid w:val="008002B5"/>
    <w:rsid w:val="008002BE"/>
    <w:rsid w:val="008117EE"/>
    <w:rsid w:val="00812B40"/>
    <w:rsid w:val="00820108"/>
    <w:rsid w:val="00832618"/>
    <w:rsid w:val="00834DB4"/>
    <w:rsid w:val="0084502A"/>
    <w:rsid w:val="0085007E"/>
    <w:rsid w:val="0085219E"/>
    <w:rsid w:val="008609D4"/>
    <w:rsid w:val="008638C5"/>
    <w:rsid w:val="008646D0"/>
    <w:rsid w:val="00873342"/>
    <w:rsid w:val="00877B9F"/>
    <w:rsid w:val="00881CA8"/>
    <w:rsid w:val="0088533F"/>
    <w:rsid w:val="0088590E"/>
    <w:rsid w:val="008A5913"/>
    <w:rsid w:val="008B295A"/>
    <w:rsid w:val="008C5F4C"/>
    <w:rsid w:val="008E7290"/>
    <w:rsid w:val="008E7EB3"/>
    <w:rsid w:val="009037B7"/>
    <w:rsid w:val="009235B8"/>
    <w:rsid w:val="00931577"/>
    <w:rsid w:val="0098548B"/>
    <w:rsid w:val="00992CB8"/>
    <w:rsid w:val="009A3779"/>
    <w:rsid w:val="009A6BF8"/>
    <w:rsid w:val="009B6086"/>
    <w:rsid w:val="009C01A3"/>
    <w:rsid w:val="009C6F63"/>
    <w:rsid w:val="00A075BE"/>
    <w:rsid w:val="00A17374"/>
    <w:rsid w:val="00A26343"/>
    <w:rsid w:val="00A26D3A"/>
    <w:rsid w:val="00A42B88"/>
    <w:rsid w:val="00A46D2C"/>
    <w:rsid w:val="00A51716"/>
    <w:rsid w:val="00A623C6"/>
    <w:rsid w:val="00A73882"/>
    <w:rsid w:val="00A75D55"/>
    <w:rsid w:val="00A8273C"/>
    <w:rsid w:val="00A90382"/>
    <w:rsid w:val="00A90553"/>
    <w:rsid w:val="00AA05C4"/>
    <w:rsid w:val="00AA207D"/>
    <w:rsid w:val="00AB146D"/>
    <w:rsid w:val="00AB23F8"/>
    <w:rsid w:val="00AB6B2E"/>
    <w:rsid w:val="00AC749C"/>
    <w:rsid w:val="00AD5E58"/>
    <w:rsid w:val="00AE1BB8"/>
    <w:rsid w:val="00AE3D7B"/>
    <w:rsid w:val="00AE6E35"/>
    <w:rsid w:val="00AF125B"/>
    <w:rsid w:val="00B051DB"/>
    <w:rsid w:val="00B10D2B"/>
    <w:rsid w:val="00B208A8"/>
    <w:rsid w:val="00B213A6"/>
    <w:rsid w:val="00B359E3"/>
    <w:rsid w:val="00B40299"/>
    <w:rsid w:val="00B414AD"/>
    <w:rsid w:val="00B424FB"/>
    <w:rsid w:val="00B42C65"/>
    <w:rsid w:val="00B44BF4"/>
    <w:rsid w:val="00B451E2"/>
    <w:rsid w:val="00B529C2"/>
    <w:rsid w:val="00B6023D"/>
    <w:rsid w:val="00B71623"/>
    <w:rsid w:val="00B73BD4"/>
    <w:rsid w:val="00B74E83"/>
    <w:rsid w:val="00B84CFF"/>
    <w:rsid w:val="00B85F0C"/>
    <w:rsid w:val="00B87E40"/>
    <w:rsid w:val="00B922C4"/>
    <w:rsid w:val="00BD1D5C"/>
    <w:rsid w:val="00BF45E7"/>
    <w:rsid w:val="00C02992"/>
    <w:rsid w:val="00C25B58"/>
    <w:rsid w:val="00C27FB0"/>
    <w:rsid w:val="00C32D2E"/>
    <w:rsid w:val="00C4717F"/>
    <w:rsid w:val="00C5633E"/>
    <w:rsid w:val="00C56D71"/>
    <w:rsid w:val="00C56F98"/>
    <w:rsid w:val="00C62784"/>
    <w:rsid w:val="00C71F07"/>
    <w:rsid w:val="00C77168"/>
    <w:rsid w:val="00C77795"/>
    <w:rsid w:val="00C857D5"/>
    <w:rsid w:val="00C9225B"/>
    <w:rsid w:val="00CA485E"/>
    <w:rsid w:val="00CB65B3"/>
    <w:rsid w:val="00CC621A"/>
    <w:rsid w:val="00CC6DD0"/>
    <w:rsid w:val="00CD412B"/>
    <w:rsid w:val="00CE5981"/>
    <w:rsid w:val="00CE791C"/>
    <w:rsid w:val="00CF526C"/>
    <w:rsid w:val="00D11134"/>
    <w:rsid w:val="00D114B7"/>
    <w:rsid w:val="00D325EF"/>
    <w:rsid w:val="00D37FD3"/>
    <w:rsid w:val="00D41F6E"/>
    <w:rsid w:val="00D54CD3"/>
    <w:rsid w:val="00D75CEB"/>
    <w:rsid w:val="00D76631"/>
    <w:rsid w:val="00D7703D"/>
    <w:rsid w:val="00D80ABD"/>
    <w:rsid w:val="00DA50BC"/>
    <w:rsid w:val="00DA7406"/>
    <w:rsid w:val="00DB2B1C"/>
    <w:rsid w:val="00DD2F6F"/>
    <w:rsid w:val="00DE1B30"/>
    <w:rsid w:val="00E04E1F"/>
    <w:rsid w:val="00E05DAE"/>
    <w:rsid w:val="00E06F2F"/>
    <w:rsid w:val="00E32E9A"/>
    <w:rsid w:val="00E3747A"/>
    <w:rsid w:val="00E43546"/>
    <w:rsid w:val="00E543A2"/>
    <w:rsid w:val="00E56062"/>
    <w:rsid w:val="00E67735"/>
    <w:rsid w:val="00E774AC"/>
    <w:rsid w:val="00E921E9"/>
    <w:rsid w:val="00EA7477"/>
    <w:rsid w:val="00EB6E07"/>
    <w:rsid w:val="00EC0502"/>
    <w:rsid w:val="00EC17FC"/>
    <w:rsid w:val="00EC26AE"/>
    <w:rsid w:val="00EC5770"/>
    <w:rsid w:val="00ED7B2D"/>
    <w:rsid w:val="00F20A66"/>
    <w:rsid w:val="00F2161C"/>
    <w:rsid w:val="00F25B61"/>
    <w:rsid w:val="00F33667"/>
    <w:rsid w:val="00F57DC6"/>
    <w:rsid w:val="00F94FF6"/>
    <w:rsid w:val="00FD0C7A"/>
    <w:rsid w:val="00FE6DE0"/>
    <w:rsid w:val="014075AF"/>
    <w:rsid w:val="01776618"/>
    <w:rsid w:val="0204347A"/>
    <w:rsid w:val="02146827"/>
    <w:rsid w:val="02746CB9"/>
    <w:rsid w:val="029A3351"/>
    <w:rsid w:val="03351957"/>
    <w:rsid w:val="03354BA9"/>
    <w:rsid w:val="036E1AFC"/>
    <w:rsid w:val="03D913C1"/>
    <w:rsid w:val="0400177C"/>
    <w:rsid w:val="04331757"/>
    <w:rsid w:val="049B5AE0"/>
    <w:rsid w:val="05053E22"/>
    <w:rsid w:val="052B37F3"/>
    <w:rsid w:val="05415D5C"/>
    <w:rsid w:val="054F28E5"/>
    <w:rsid w:val="058853EE"/>
    <w:rsid w:val="06491895"/>
    <w:rsid w:val="06C954F9"/>
    <w:rsid w:val="06E32BC5"/>
    <w:rsid w:val="074C0946"/>
    <w:rsid w:val="07683008"/>
    <w:rsid w:val="07C82502"/>
    <w:rsid w:val="08005EC1"/>
    <w:rsid w:val="09147BD1"/>
    <w:rsid w:val="092E7E14"/>
    <w:rsid w:val="09AC3382"/>
    <w:rsid w:val="0A101979"/>
    <w:rsid w:val="0A712513"/>
    <w:rsid w:val="0B585949"/>
    <w:rsid w:val="0B8056F1"/>
    <w:rsid w:val="0C0952FA"/>
    <w:rsid w:val="0CE87AC9"/>
    <w:rsid w:val="0D345C5A"/>
    <w:rsid w:val="0D9C2B47"/>
    <w:rsid w:val="0E1F5F8F"/>
    <w:rsid w:val="0E737D3F"/>
    <w:rsid w:val="0E7C1566"/>
    <w:rsid w:val="0EB5409C"/>
    <w:rsid w:val="0FCD0D0C"/>
    <w:rsid w:val="102E103F"/>
    <w:rsid w:val="103079EA"/>
    <w:rsid w:val="10657B41"/>
    <w:rsid w:val="107447F0"/>
    <w:rsid w:val="116E2D11"/>
    <w:rsid w:val="11ED2806"/>
    <w:rsid w:val="121427F4"/>
    <w:rsid w:val="12215160"/>
    <w:rsid w:val="123A23FE"/>
    <w:rsid w:val="12E26E04"/>
    <w:rsid w:val="136A034F"/>
    <w:rsid w:val="14836F8F"/>
    <w:rsid w:val="14A55986"/>
    <w:rsid w:val="14B4537C"/>
    <w:rsid w:val="15312600"/>
    <w:rsid w:val="15603B98"/>
    <w:rsid w:val="15FF2F49"/>
    <w:rsid w:val="16375667"/>
    <w:rsid w:val="16486D01"/>
    <w:rsid w:val="17236F1E"/>
    <w:rsid w:val="17BB35FC"/>
    <w:rsid w:val="18020E75"/>
    <w:rsid w:val="181A3976"/>
    <w:rsid w:val="18F750BC"/>
    <w:rsid w:val="19D33519"/>
    <w:rsid w:val="19ED57B3"/>
    <w:rsid w:val="1A573973"/>
    <w:rsid w:val="1A6A04AE"/>
    <w:rsid w:val="1A7F45B8"/>
    <w:rsid w:val="1B944F1D"/>
    <w:rsid w:val="1C142612"/>
    <w:rsid w:val="1C1F5442"/>
    <w:rsid w:val="1C213964"/>
    <w:rsid w:val="1CE53D01"/>
    <w:rsid w:val="1D0C271F"/>
    <w:rsid w:val="1E166F81"/>
    <w:rsid w:val="1E4F5FBC"/>
    <w:rsid w:val="1E700E0E"/>
    <w:rsid w:val="1EF74C1E"/>
    <w:rsid w:val="1EFA7E51"/>
    <w:rsid w:val="208E18AB"/>
    <w:rsid w:val="20B724FA"/>
    <w:rsid w:val="20CB1D8C"/>
    <w:rsid w:val="21134F15"/>
    <w:rsid w:val="21720A1F"/>
    <w:rsid w:val="2219319E"/>
    <w:rsid w:val="2292398D"/>
    <w:rsid w:val="22C02D9E"/>
    <w:rsid w:val="23B056A3"/>
    <w:rsid w:val="23DD70FC"/>
    <w:rsid w:val="23E256F7"/>
    <w:rsid w:val="24445BEF"/>
    <w:rsid w:val="244E4F36"/>
    <w:rsid w:val="24896AB8"/>
    <w:rsid w:val="24D153E7"/>
    <w:rsid w:val="2513542C"/>
    <w:rsid w:val="25404272"/>
    <w:rsid w:val="25444D2D"/>
    <w:rsid w:val="25947FBF"/>
    <w:rsid w:val="267B643F"/>
    <w:rsid w:val="26C72527"/>
    <w:rsid w:val="27655E70"/>
    <w:rsid w:val="276F2CB5"/>
    <w:rsid w:val="27935EA3"/>
    <w:rsid w:val="283A6AB4"/>
    <w:rsid w:val="28706B56"/>
    <w:rsid w:val="28860ECC"/>
    <w:rsid w:val="28A148D5"/>
    <w:rsid w:val="291C069D"/>
    <w:rsid w:val="293C151E"/>
    <w:rsid w:val="297943AC"/>
    <w:rsid w:val="29856BE1"/>
    <w:rsid w:val="29A82D80"/>
    <w:rsid w:val="29E45531"/>
    <w:rsid w:val="2A9F3B8D"/>
    <w:rsid w:val="2AA57B1F"/>
    <w:rsid w:val="2B154DE9"/>
    <w:rsid w:val="2B1D177E"/>
    <w:rsid w:val="2B45013E"/>
    <w:rsid w:val="2B695192"/>
    <w:rsid w:val="2CD97EAA"/>
    <w:rsid w:val="2D484E6F"/>
    <w:rsid w:val="2D7D7AA7"/>
    <w:rsid w:val="2E493757"/>
    <w:rsid w:val="2E7815C7"/>
    <w:rsid w:val="2EA46D31"/>
    <w:rsid w:val="2EB47CF0"/>
    <w:rsid w:val="2F4534B3"/>
    <w:rsid w:val="2F510246"/>
    <w:rsid w:val="2F564BAE"/>
    <w:rsid w:val="2FBF4E5A"/>
    <w:rsid w:val="2FE166F3"/>
    <w:rsid w:val="2FE311E2"/>
    <w:rsid w:val="30295AA3"/>
    <w:rsid w:val="30E4200A"/>
    <w:rsid w:val="311C3E37"/>
    <w:rsid w:val="3151318A"/>
    <w:rsid w:val="31936F51"/>
    <w:rsid w:val="319932AE"/>
    <w:rsid w:val="327B4792"/>
    <w:rsid w:val="327F2B88"/>
    <w:rsid w:val="32B50D97"/>
    <w:rsid w:val="32B6761A"/>
    <w:rsid w:val="331645B1"/>
    <w:rsid w:val="333431EA"/>
    <w:rsid w:val="33B51B2F"/>
    <w:rsid w:val="3440562E"/>
    <w:rsid w:val="347668DA"/>
    <w:rsid w:val="34D72E0D"/>
    <w:rsid w:val="34E473AF"/>
    <w:rsid w:val="34E672F2"/>
    <w:rsid w:val="35526158"/>
    <w:rsid w:val="357E2C89"/>
    <w:rsid w:val="358E6F01"/>
    <w:rsid w:val="371C5DA4"/>
    <w:rsid w:val="379609DC"/>
    <w:rsid w:val="37D80396"/>
    <w:rsid w:val="37F84B3F"/>
    <w:rsid w:val="37FE7526"/>
    <w:rsid w:val="38041E96"/>
    <w:rsid w:val="382D23F5"/>
    <w:rsid w:val="38F2029B"/>
    <w:rsid w:val="391138B2"/>
    <w:rsid w:val="3A0A0FC6"/>
    <w:rsid w:val="3A14549A"/>
    <w:rsid w:val="3A903116"/>
    <w:rsid w:val="3AA24C9F"/>
    <w:rsid w:val="3AFE1875"/>
    <w:rsid w:val="3B29585C"/>
    <w:rsid w:val="3B3549EE"/>
    <w:rsid w:val="3B60096D"/>
    <w:rsid w:val="3C163E60"/>
    <w:rsid w:val="3C5621E1"/>
    <w:rsid w:val="3CC53C2C"/>
    <w:rsid w:val="3CE912B4"/>
    <w:rsid w:val="3E0C3A82"/>
    <w:rsid w:val="3E0D3E5B"/>
    <w:rsid w:val="3E3825F1"/>
    <w:rsid w:val="3E8D1F15"/>
    <w:rsid w:val="3EC7168E"/>
    <w:rsid w:val="3EE447D9"/>
    <w:rsid w:val="3F47085D"/>
    <w:rsid w:val="3FDA2A51"/>
    <w:rsid w:val="40BF1ED5"/>
    <w:rsid w:val="40C95A74"/>
    <w:rsid w:val="40E24008"/>
    <w:rsid w:val="40F26B35"/>
    <w:rsid w:val="421537A4"/>
    <w:rsid w:val="424051C7"/>
    <w:rsid w:val="42452805"/>
    <w:rsid w:val="42567842"/>
    <w:rsid w:val="425A5222"/>
    <w:rsid w:val="427020C1"/>
    <w:rsid w:val="449A33FE"/>
    <w:rsid w:val="44A91919"/>
    <w:rsid w:val="4530130F"/>
    <w:rsid w:val="45B82DA0"/>
    <w:rsid w:val="460D258F"/>
    <w:rsid w:val="46611D24"/>
    <w:rsid w:val="46961585"/>
    <w:rsid w:val="46B16601"/>
    <w:rsid w:val="471B0185"/>
    <w:rsid w:val="478314B3"/>
    <w:rsid w:val="486F66C7"/>
    <w:rsid w:val="488562C7"/>
    <w:rsid w:val="48B021C6"/>
    <w:rsid w:val="48CC55B6"/>
    <w:rsid w:val="495E27E0"/>
    <w:rsid w:val="496635CC"/>
    <w:rsid w:val="49A57642"/>
    <w:rsid w:val="49B2014C"/>
    <w:rsid w:val="49EC2014"/>
    <w:rsid w:val="4A1F6D47"/>
    <w:rsid w:val="4A3E3505"/>
    <w:rsid w:val="4AB96E81"/>
    <w:rsid w:val="4B6058FF"/>
    <w:rsid w:val="4B7E10D3"/>
    <w:rsid w:val="4B8868F7"/>
    <w:rsid w:val="4BEA2C60"/>
    <w:rsid w:val="4C2C2C6D"/>
    <w:rsid w:val="4C95294D"/>
    <w:rsid w:val="4D7475CF"/>
    <w:rsid w:val="4DAB14EE"/>
    <w:rsid w:val="4DC872D1"/>
    <w:rsid w:val="4DCE2C5D"/>
    <w:rsid w:val="4DF80DB9"/>
    <w:rsid w:val="4E1354F7"/>
    <w:rsid w:val="4F1C169F"/>
    <w:rsid w:val="4F5A600F"/>
    <w:rsid w:val="500A107C"/>
    <w:rsid w:val="502C7AAB"/>
    <w:rsid w:val="503A2BCA"/>
    <w:rsid w:val="504C565A"/>
    <w:rsid w:val="505F68CC"/>
    <w:rsid w:val="50701412"/>
    <w:rsid w:val="508B7B19"/>
    <w:rsid w:val="510A20CD"/>
    <w:rsid w:val="51311BD9"/>
    <w:rsid w:val="51AA1E80"/>
    <w:rsid w:val="51E16832"/>
    <w:rsid w:val="51E34174"/>
    <w:rsid w:val="533725EE"/>
    <w:rsid w:val="533F3AB3"/>
    <w:rsid w:val="53755C44"/>
    <w:rsid w:val="53B25CD5"/>
    <w:rsid w:val="53C020FC"/>
    <w:rsid w:val="543F343F"/>
    <w:rsid w:val="54460AFF"/>
    <w:rsid w:val="54552A11"/>
    <w:rsid w:val="546141A1"/>
    <w:rsid w:val="549F386A"/>
    <w:rsid w:val="55007CB9"/>
    <w:rsid w:val="55C87014"/>
    <w:rsid w:val="55D76548"/>
    <w:rsid w:val="56197FF3"/>
    <w:rsid w:val="56651060"/>
    <w:rsid w:val="569C51E4"/>
    <w:rsid w:val="572A5DFA"/>
    <w:rsid w:val="5793080B"/>
    <w:rsid w:val="57C85932"/>
    <w:rsid w:val="57E92765"/>
    <w:rsid w:val="588329AC"/>
    <w:rsid w:val="58D81AFC"/>
    <w:rsid w:val="58F454E2"/>
    <w:rsid w:val="599026A6"/>
    <w:rsid w:val="59D4409D"/>
    <w:rsid w:val="5A1102F9"/>
    <w:rsid w:val="5A583808"/>
    <w:rsid w:val="5A8C7275"/>
    <w:rsid w:val="5ABE6659"/>
    <w:rsid w:val="5B586CA2"/>
    <w:rsid w:val="5C247843"/>
    <w:rsid w:val="5C55137A"/>
    <w:rsid w:val="5C5525A0"/>
    <w:rsid w:val="5C945C52"/>
    <w:rsid w:val="5CCC3393"/>
    <w:rsid w:val="5D51749F"/>
    <w:rsid w:val="5D545C81"/>
    <w:rsid w:val="5DD5456D"/>
    <w:rsid w:val="5E046864"/>
    <w:rsid w:val="5E452065"/>
    <w:rsid w:val="5ED828B4"/>
    <w:rsid w:val="5EDE5F3A"/>
    <w:rsid w:val="5EFF5A8E"/>
    <w:rsid w:val="5F2A50BF"/>
    <w:rsid w:val="5F8C52D4"/>
    <w:rsid w:val="5FA5294F"/>
    <w:rsid w:val="5FB60E80"/>
    <w:rsid w:val="5FF14891"/>
    <w:rsid w:val="5FFD7F05"/>
    <w:rsid w:val="605908A1"/>
    <w:rsid w:val="60937CF0"/>
    <w:rsid w:val="6097361E"/>
    <w:rsid w:val="60C37A33"/>
    <w:rsid w:val="60EB32BE"/>
    <w:rsid w:val="60F63018"/>
    <w:rsid w:val="6122209C"/>
    <w:rsid w:val="614C5F46"/>
    <w:rsid w:val="62051ED7"/>
    <w:rsid w:val="62E64CBC"/>
    <w:rsid w:val="630C47C7"/>
    <w:rsid w:val="63400147"/>
    <w:rsid w:val="63B46BBD"/>
    <w:rsid w:val="63C128AF"/>
    <w:rsid w:val="63F243ED"/>
    <w:rsid w:val="645C4936"/>
    <w:rsid w:val="65201F66"/>
    <w:rsid w:val="6523130F"/>
    <w:rsid w:val="66003D71"/>
    <w:rsid w:val="66D47C91"/>
    <w:rsid w:val="66E463DE"/>
    <w:rsid w:val="67AF7155"/>
    <w:rsid w:val="68281439"/>
    <w:rsid w:val="6896208D"/>
    <w:rsid w:val="68A04A58"/>
    <w:rsid w:val="68AB3DD0"/>
    <w:rsid w:val="68D832EC"/>
    <w:rsid w:val="68E81ABC"/>
    <w:rsid w:val="68E8766E"/>
    <w:rsid w:val="693C033C"/>
    <w:rsid w:val="696B4984"/>
    <w:rsid w:val="696C6056"/>
    <w:rsid w:val="6A42419F"/>
    <w:rsid w:val="6A464CB0"/>
    <w:rsid w:val="6A4E0447"/>
    <w:rsid w:val="6B24785D"/>
    <w:rsid w:val="6BDF7649"/>
    <w:rsid w:val="6CAE1317"/>
    <w:rsid w:val="6CB30B6E"/>
    <w:rsid w:val="6CBD0A9A"/>
    <w:rsid w:val="6D0468E8"/>
    <w:rsid w:val="6DA33507"/>
    <w:rsid w:val="6DF644C8"/>
    <w:rsid w:val="6E2231D4"/>
    <w:rsid w:val="6E6F0B3C"/>
    <w:rsid w:val="6E711093"/>
    <w:rsid w:val="6F3D0C04"/>
    <w:rsid w:val="6F716CD6"/>
    <w:rsid w:val="6F7D25E3"/>
    <w:rsid w:val="6FA4432C"/>
    <w:rsid w:val="6FB8065A"/>
    <w:rsid w:val="70487187"/>
    <w:rsid w:val="70CA272F"/>
    <w:rsid w:val="70F91928"/>
    <w:rsid w:val="710C67BE"/>
    <w:rsid w:val="71A42734"/>
    <w:rsid w:val="71F16312"/>
    <w:rsid w:val="72151F22"/>
    <w:rsid w:val="72455BE8"/>
    <w:rsid w:val="73105145"/>
    <w:rsid w:val="73A2411E"/>
    <w:rsid w:val="73A609D6"/>
    <w:rsid w:val="73BF1B65"/>
    <w:rsid w:val="74057D8F"/>
    <w:rsid w:val="74171C8C"/>
    <w:rsid w:val="742A0A1E"/>
    <w:rsid w:val="75537A58"/>
    <w:rsid w:val="75A35CCF"/>
    <w:rsid w:val="75EF44B1"/>
    <w:rsid w:val="766156E5"/>
    <w:rsid w:val="76D25753"/>
    <w:rsid w:val="76DE0B94"/>
    <w:rsid w:val="776C55D6"/>
    <w:rsid w:val="78F64BF0"/>
    <w:rsid w:val="796A7452"/>
    <w:rsid w:val="79A4784C"/>
    <w:rsid w:val="79AA5EC1"/>
    <w:rsid w:val="79B4469B"/>
    <w:rsid w:val="7A1A4B8D"/>
    <w:rsid w:val="7A672CBD"/>
    <w:rsid w:val="7A8003EE"/>
    <w:rsid w:val="7A923C37"/>
    <w:rsid w:val="7AA43769"/>
    <w:rsid w:val="7B432F32"/>
    <w:rsid w:val="7C98665E"/>
    <w:rsid w:val="7C9B3495"/>
    <w:rsid w:val="7D3674C0"/>
    <w:rsid w:val="7DA85FAB"/>
    <w:rsid w:val="7DDC1A9F"/>
    <w:rsid w:val="7EA50649"/>
    <w:rsid w:val="7EAF147F"/>
    <w:rsid w:val="7F0B4D0E"/>
    <w:rsid w:val="7F8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6D74C"/>
  <w15:docId w15:val="{CCA7731C-95D9-44B5-B877-39FE092E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26DC8"/>
    <w:pPr>
      <w:numPr>
        <w:ilvl w:val="255"/>
      </w:numPr>
      <w:tabs>
        <w:tab w:val="left" w:pos="327"/>
      </w:tabs>
      <w:spacing w:line="380" w:lineRule="exact"/>
      <w:ind w:leftChars="136" w:left="326" w:firstLine="1"/>
      <w:jc w:val="center"/>
    </w:pPr>
    <w:rPr>
      <w:rFonts w:ascii="黑体" w:eastAsia="黑体" w:hAnsi="黑体" w:cs="Times New Roman"/>
      <w:kern w:val="2"/>
      <w:sz w:val="24"/>
      <w:szCs w:val="22"/>
      <w:lang w:val="en-AU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styleId="a7">
    <w:name w:val="Hyperlink"/>
    <w:basedOn w:val="a0"/>
    <w:rsid w:val="00AE1BB8"/>
    <w:rPr>
      <w:color w:val="0026E5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E1BB8"/>
    <w:rPr>
      <w:color w:val="605E5C"/>
      <w:shd w:val="clear" w:color="auto" w:fill="E1DFDD"/>
    </w:rPr>
  </w:style>
  <w:style w:type="paragraph" w:styleId="a9">
    <w:name w:val="Normal (Web)"/>
    <w:basedOn w:val="a"/>
    <w:rsid w:val="00AE1BB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adshow.sseinfo.com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1657-EEDE-46F3-8510-F1DB149B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1412</Words>
  <Characters>439</Characters>
  <Application>Microsoft Office Word</Application>
  <DocSecurity>0</DocSecurity>
  <Lines>25</Lines>
  <Paragraphs>40</Paragraphs>
  <ScaleCrop>false</ScaleCrop>
  <Company>中远海运能源运输股份有限公司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</dc:creator>
  <cp:lastModifiedBy>娟 赵</cp:lastModifiedBy>
  <cp:revision>3</cp:revision>
  <dcterms:created xsi:type="dcterms:W3CDTF">2025-06-25T08:29:00Z</dcterms:created>
  <dcterms:modified xsi:type="dcterms:W3CDTF">2025-06-25T08:29:00Z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A3BEFD562FAD498C9BE45954D74DC3F1_13</vt:lpwstr>
  </property>
</Properties>
</file>