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BD8D2">
      <w:pPr>
        <w:pStyle w:val="2"/>
        <w:rPr>
          <w:lang w:eastAsia="zh-CN"/>
        </w:rPr>
      </w:pPr>
      <w:r>
        <w:rPr>
          <w:lang w:eastAsia="zh-CN"/>
        </w:rPr>
        <w:t>证券代码：</w:t>
      </w:r>
      <w:r>
        <w:rPr>
          <w:rFonts w:hint="eastAsia"/>
          <w:lang w:eastAsia="zh-CN"/>
        </w:rPr>
        <w:t xml:space="preserve">600099                                   </w:t>
      </w:r>
      <w:r>
        <w:rPr>
          <w:lang w:eastAsia="zh-CN"/>
        </w:rPr>
        <w:t>证券简称：</w:t>
      </w:r>
      <w:r>
        <w:rPr>
          <w:rFonts w:hint="eastAsia"/>
          <w:lang w:eastAsia="zh-CN"/>
        </w:rPr>
        <w:t>林海股份</w:t>
      </w:r>
    </w:p>
    <w:p w14:paraId="31C8D50C">
      <w:pPr>
        <w:pStyle w:val="2"/>
        <w:rPr>
          <w:lang w:eastAsia="zh-CN"/>
        </w:rPr>
      </w:pPr>
    </w:p>
    <w:p w14:paraId="01203119">
      <w:pPr>
        <w:spacing w:line="480" w:lineRule="auto"/>
        <w:jc w:val="center"/>
        <w:rPr>
          <w:b/>
          <w:w w:val="99"/>
          <w:sz w:val="32"/>
          <w:szCs w:val="32"/>
          <w:lang w:eastAsia="zh-CN"/>
        </w:rPr>
      </w:pPr>
      <w:r>
        <w:rPr>
          <w:rFonts w:hint="eastAsia"/>
          <w:b/>
          <w:spacing w:val="4"/>
          <w:w w:val="99"/>
          <w:sz w:val="32"/>
          <w:szCs w:val="32"/>
          <w:lang w:eastAsia="zh-CN"/>
        </w:rPr>
        <w:t>林海</w:t>
      </w:r>
      <w:r>
        <w:rPr>
          <w:b/>
          <w:w w:val="99"/>
          <w:sz w:val="32"/>
          <w:szCs w:val="32"/>
          <w:lang w:eastAsia="zh-CN"/>
        </w:rPr>
        <w:t>股</w:t>
      </w:r>
      <w:r>
        <w:rPr>
          <w:b/>
          <w:spacing w:val="4"/>
          <w:w w:val="99"/>
          <w:sz w:val="32"/>
          <w:szCs w:val="32"/>
          <w:lang w:eastAsia="zh-CN"/>
        </w:rPr>
        <w:t>份有</w:t>
      </w:r>
      <w:r>
        <w:rPr>
          <w:b/>
          <w:w w:val="99"/>
          <w:sz w:val="32"/>
          <w:szCs w:val="32"/>
          <w:lang w:eastAsia="zh-CN"/>
        </w:rPr>
        <w:t>限</w:t>
      </w:r>
      <w:r>
        <w:rPr>
          <w:b/>
          <w:spacing w:val="4"/>
          <w:w w:val="99"/>
          <w:sz w:val="32"/>
          <w:szCs w:val="32"/>
          <w:lang w:eastAsia="zh-CN"/>
        </w:rPr>
        <w:t>公</w:t>
      </w:r>
      <w:r>
        <w:rPr>
          <w:b/>
          <w:w w:val="99"/>
          <w:sz w:val="32"/>
          <w:szCs w:val="32"/>
          <w:lang w:eastAsia="zh-CN"/>
        </w:rPr>
        <w:t>司</w:t>
      </w:r>
    </w:p>
    <w:p w14:paraId="326C6C8D">
      <w:pPr>
        <w:spacing w:line="480" w:lineRule="auto"/>
        <w:jc w:val="center"/>
        <w:rPr>
          <w:b/>
          <w:sz w:val="32"/>
          <w:szCs w:val="32"/>
          <w:lang w:eastAsia="zh-CN"/>
        </w:rPr>
      </w:pPr>
      <w:r>
        <w:rPr>
          <w:b/>
          <w:spacing w:val="4"/>
          <w:w w:val="99"/>
          <w:sz w:val="32"/>
          <w:szCs w:val="32"/>
          <w:lang w:eastAsia="zh-CN"/>
        </w:rPr>
        <w:t>投资</w:t>
      </w:r>
      <w:r>
        <w:rPr>
          <w:b/>
          <w:w w:val="99"/>
          <w:sz w:val="32"/>
          <w:szCs w:val="32"/>
          <w:lang w:eastAsia="zh-CN"/>
        </w:rPr>
        <w:t>者</w:t>
      </w:r>
      <w:r>
        <w:rPr>
          <w:b/>
          <w:spacing w:val="4"/>
          <w:w w:val="99"/>
          <w:sz w:val="32"/>
          <w:szCs w:val="32"/>
          <w:lang w:eastAsia="zh-CN"/>
        </w:rPr>
        <w:t>关</w:t>
      </w:r>
      <w:r>
        <w:rPr>
          <w:b/>
          <w:w w:val="99"/>
          <w:sz w:val="32"/>
          <w:szCs w:val="32"/>
          <w:lang w:eastAsia="zh-CN"/>
        </w:rPr>
        <w:t>系</w:t>
      </w:r>
      <w:r>
        <w:rPr>
          <w:b/>
          <w:spacing w:val="4"/>
          <w:w w:val="99"/>
          <w:sz w:val="32"/>
          <w:szCs w:val="32"/>
          <w:lang w:eastAsia="zh-CN"/>
        </w:rPr>
        <w:t>活</w:t>
      </w:r>
      <w:r>
        <w:rPr>
          <w:b/>
          <w:w w:val="99"/>
          <w:sz w:val="32"/>
          <w:szCs w:val="32"/>
          <w:lang w:eastAsia="zh-CN"/>
        </w:rPr>
        <w:t>动</w:t>
      </w:r>
      <w:r>
        <w:rPr>
          <w:b/>
          <w:spacing w:val="4"/>
          <w:w w:val="99"/>
          <w:sz w:val="32"/>
          <w:szCs w:val="32"/>
          <w:lang w:eastAsia="zh-CN"/>
        </w:rPr>
        <w:t>记录</w:t>
      </w:r>
      <w:r>
        <w:rPr>
          <w:b/>
          <w:w w:val="99"/>
          <w:sz w:val="32"/>
          <w:szCs w:val="32"/>
          <w:lang w:eastAsia="zh-CN"/>
        </w:rPr>
        <w:t>表</w:t>
      </w:r>
    </w:p>
    <w:tbl>
      <w:tblPr>
        <w:tblStyle w:val="6"/>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616"/>
      </w:tblGrid>
      <w:tr w14:paraId="4EEC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vAlign w:val="center"/>
          </w:tcPr>
          <w:p w14:paraId="4DF16899">
            <w:pPr>
              <w:tabs>
                <w:tab w:val="left" w:pos="828"/>
              </w:tabs>
              <w:spacing w:line="360" w:lineRule="auto"/>
              <w:jc w:val="center"/>
              <w:rPr>
                <w:sz w:val="24"/>
                <w:szCs w:val="24"/>
              </w:rPr>
            </w:pPr>
            <w:bookmarkStart w:id="0" w:name="_GoBack"/>
            <w:bookmarkEnd w:id="0"/>
            <w:r>
              <w:rPr>
                <w:rFonts w:hint="eastAsia"/>
                <w:sz w:val="24"/>
                <w:szCs w:val="24"/>
              </w:rPr>
              <w:t>投资</w:t>
            </w:r>
            <w:r>
              <w:rPr>
                <w:rFonts w:hint="eastAsia"/>
                <w:spacing w:val="4"/>
                <w:sz w:val="24"/>
                <w:szCs w:val="24"/>
              </w:rPr>
              <w:t>者</w:t>
            </w:r>
            <w:r>
              <w:rPr>
                <w:rFonts w:hint="eastAsia"/>
                <w:sz w:val="24"/>
                <w:szCs w:val="24"/>
              </w:rPr>
              <w:t>关系</w:t>
            </w:r>
          </w:p>
          <w:p w14:paraId="62E01123">
            <w:pPr>
              <w:tabs>
                <w:tab w:val="left" w:pos="828"/>
              </w:tabs>
              <w:spacing w:line="360" w:lineRule="auto"/>
              <w:jc w:val="center"/>
              <w:rPr>
                <w:sz w:val="24"/>
                <w:szCs w:val="24"/>
                <w:lang w:eastAsia="zh-CN"/>
              </w:rPr>
            </w:pPr>
            <w:r>
              <w:rPr>
                <w:rFonts w:hint="eastAsia"/>
                <w:sz w:val="24"/>
                <w:szCs w:val="24"/>
              </w:rPr>
              <w:t>活动类别</w:t>
            </w:r>
          </w:p>
        </w:tc>
        <w:tc>
          <w:tcPr>
            <w:tcW w:w="7616" w:type="dxa"/>
          </w:tcPr>
          <w:p w14:paraId="0C101F5F">
            <w:pPr>
              <w:pStyle w:val="11"/>
              <w:spacing w:before="166"/>
              <w:jc w:val="both"/>
              <w:rPr>
                <w:sz w:val="24"/>
                <w:szCs w:val="24"/>
                <w:lang w:eastAsia="zh-CN"/>
              </w:rPr>
            </w:pPr>
            <w:r>
              <w:rPr>
                <w:rFonts w:hint="eastAsia"/>
                <w:sz w:val="24"/>
                <w:szCs w:val="24"/>
                <w:lang w:eastAsia="zh-CN"/>
              </w:rPr>
              <w:t>☑特定对象调研       □分析师会议</w:t>
            </w:r>
          </w:p>
          <w:p w14:paraId="0B30F914">
            <w:pPr>
              <w:pStyle w:val="11"/>
              <w:tabs>
                <w:tab w:val="left" w:pos="3008"/>
              </w:tabs>
              <w:spacing w:before="226"/>
              <w:jc w:val="both"/>
              <w:rPr>
                <w:sz w:val="24"/>
                <w:szCs w:val="24"/>
                <w:lang w:eastAsia="zh-CN"/>
              </w:rPr>
            </w:pPr>
            <w:r>
              <w:rPr>
                <w:rFonts w:hint="eastAsia"/>
                <w:sz w:val="24"/>
                <w:szCs w:val="24"/>
                <w:lang w:eastAsia="zh-CN"/>
              </w:rPr>
              <w:t xml:space="preserve">☑媒体采访           </w:t>
            </w:r>
            <w:r>
              <w:rPr>
                <w:rFonts w:hint="eastAsia"/>
                <w:sz w:val="24"/>
                <w:szCs w:val="24"/>
                <w:lang w:eastAsia="zh-CN"/>
              </w:rPr>
              <w:sym w:font="Wingdings 2" w:char="00A3"/>
            </w:r>
            <w:r>
              <w:rPr>
                <w:rFonts w:hint="eastAsia"/>
                <w:sz w:val="24"/>
                <w:szCs w:val="24"/>
                <w:lang w:eastAsia="zh-CN"/>
              </w:rPr>
              <w:t>业绩说明会</w:t>
            </w:r>
          </w:p>
          <w:p w14:paraId="653C72E1">
            <w:pPr>
              <w:pStyle w:val="11"/>
              <w:spacing w:before="166"/>
              <w:jc w:val="both"/>
              <w:rPr>
                <w:sz w:val="24"/>
                <w:szCs w:val="24"/>
                <w:lang w:eastAsia="zh-CN"/>
              </w:rPr>
            </w:pPr>
            <w:r>
              <w:rPr>
                <w:rFonts w:hint="eastAsia"/>
                <w:sz w:val="24"/>
                <w:szCs w:val="24"/>
                <w:lang w:eastAsia="zh-CN"/>
              </w:rPr>
              <w:t>□新闻发布会</w:t>
            </w:r>
            <w:r>
              <w:rPr>
                <w:rFonts w:hint="eastAsia"/>
                <w:sz w:val="24"/>
                <w:szCs w:val="24"/>
                <w:lang w:eastAsia="zh-CN"/>
              </w:rPr>
              <w:tab/>
            </w:r>
            <w:r>
              <w:rPr>
                <w:rFonts w:hint="eastAsia"/>
                <w:sz w:val="24"/>
                <w:szCs w:val="24"/>
                <w:lang w:eastAsia="zh-CN"/>
              </w:rPr>
              <w:t xml:space="preserve">    □路演活动</w:t>
            </w:r>
          </w:p>
          <w:p w14:paraId="0C30A45A">
            <w:pPr>
              <w:pStyle w:val="11"/>
              <w:spacing w:before="166"/>
              <w:jc w:val="both"/>
              <w:rPr>
                <w:sz w:val="24"/>
                <w:szCs w:val="24"/>
                <w:lang w:eastAsia="zh-CN"/>
              </w:rPr>
            </w:pPr>
            <w:r>
              <w:rPr>
                <w:rFonts w:hint="eastAsia"/>
                <w:sz w:val="24"/>
                <w:szCs w:val="24"/>
                <w:lang w:eastAsia="zh-CN"/>
              </w:rPr>
              <w:t>□现场参观</w:t>
            </w:r>
          </w:p>
          <w:p w14:paraId="4B6DB84A">
            <w:pPr>
              <w:pStyle w:val="11"/>
              <w:spacing w:before="166"/>
              <w:jc w:val="both"/>
              <w:rPr>
                <w:sz w:val="24"/>
                <w:szCs w:val="24"/>
                <w:lang w:eastAsia="zh-CN"/>
              </w:rPr>
            </w:pPr>
            <w:r>
              <w:rPr>
                <w:rFonts w:hint="eastAsia"/>
                <w:sz w:val="24"/>
                <w:szCs w:val="24"/>
                <w:lang w:eastAsia="zh-CN"/>
              </w:rPr>
              <w:t xml:space="preserve">□其他  </w:t>
            </w:r>
          </w:p>
        </w:tc>
      </w:tr>
      <w:tr w14:paraId="7627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2BEBDA0D">
            <w:pPr>
              <w:tabs>
                <w:tab w:val="left" w:pos="828"/>
              </w:tabs>
              <w:jc w:val="center"/>
              <w:rPr>
                <w:sz w:val="24"/>
                <w:szCs w:val="24"/>
                <w:lang w:eastAsia="zh-CN"/>
              </w:rPr>
            </w:pPr>
            <w:r>
              <w:rPr>
                <w:rFonts w:hint="eastAsia"/>
                <w:sz w:val="24"/>
                <w:szCs w:val="24"/>
                <w:lang w:eastAsia="zh-CN"/>
              </w:rPr>
              <w:t>参与</w:t>
            </w:r>
            <w:r>
              <w:rPr>
                <w:rFonts w:hint="eastAsia"/>
                <w:spacing w:val="4"/>
                <w:sz w:val="24"/>
                <w:szCs w:val="24"/>
                <w:lang w:eastAsia="zh-CN"/>
              </w:rPr>
              <w:t>单</w:t>
            </w:r>
            <w:r>
              <w:rPr>
                <w:rFonts w:hint="eastAsia"/>
                <w:sz w:val="24"/>
                <w:szCs w:val="24"/>
                <w:lang w:eastAsia="zh-CN"/>
              </w:rPr>
              <w:t>位名称</w:t>
            </w:r>
          </w:p>
          <w:p w14:paraId="3C9027A9">
            <w:pPr>
              <w:tabs>
                <w:tab w:val="left" w:pos="828"/>
              </w:tabs>
              <w:jc w:val="center"/>
              <w:rPr>
                <w:sz w:val="24"/>
                <w:szCs w:val="24"/>
                <w:lang w:eastAsia="zh-CN"/>
              </w:rPr>
            </w:pPr>
            <w:r>
              <w:rPr>
                <w:rFonts w:hint="eastAsia"/>
                <w:sz w:val="24"/>
                <w:szCs w:val="24"/>
                <w:lang w:eastAsia="zh-CN"/>
              </w:rPr>
              <w:t>及人员姓名</w:t>
            </w:r>
          </w:p>
        </w:tc>
        <w:tc>
          <w:tcPr>
            <w:tcW w:w="7616" w:type="dxa"/>
            <w:vAlign w:val="center"/>
          </w:tcPr>
          <w:p w14:paraId="5A1E7366">
            <w:pPr>
              <w:pStyle w:val="11"/>
              <w:ind w:left="0"/>
              <w:jc w:val="left"/>
              <w:rPr>
                <w:rFonts w:hint="eastAsia"/>
                <w:sz w:val="24"/>
                <w:szCs w:val="24"/>
                <w:lang w:eastAsia="zh-CN"/>
              </w:rPr>
            </w:pPr>
            <w:r>
              <w:rPr>
                <w:rFonts w:hint="eastAsia"/>
                <w:sz w:val="24"/>
                <w:szCs w:val="24"/>
                <w:lang w:eastAsia="zh-CN"/>
              </w:rPr>
              <w:t>国信证券</w:t>
            </w:r>
          </w:p>
          <w:p w14:paraId="5D3EB2C1">
            <w:pPr>
              <w:pStyle w:val="11"/>
              <w:ind w:left="0"/>
              <w:jc w:val="left"/>
              <w:rPr>
                <w:rFonts w:hint="eastAsia"/>
                <w:sz w:val="24"/>
                <w:szCs w:val="24"/>
                <w:lang w:eastAsia="zh-CN"/>
              </w:rPr>
            </w:pPr>
            <w:r>
              <w:rPr>
                <w:rFonts w:hint="eastAsia"/>
                <w:sz w:val="24"/>
                <w:szCs w:val="24"/>
                <w:lang w:eastAsia="zh-CN"/>
              </w:rPr>
              <w:t>无锡华景联合投资管理有限公司</w:t>
            </w:r>
          </w:p>
          <w:p w14:paraId="013359D4">
            <w:pPr>
              <w:pStyle w:val="11"/>
              <w:ind w:left="0"/>
              <w:jc w:val="left"/>
              <w:rPr>
                <w:rFonts w:hint="eastAsia"/>
                <w:sz w:val="24"/>
                <w:szCs w:val="24"/>
                <w:lang w:eastAsia="zh-CN"/>
              </w:rPr>
            </w:pPr>
            <w:r>
              <w:rPr>
                <w:rFonts w:hint="eastAsia"/>
                <w:sz w:val="24"/>
                <w:szCs w:val="24"/>
                <w:lang w:eastAsia="zh-CN"/>
              </w:rPr>
              <w:t xml:space="preserve">财联社 </w:t>
            </w:r>
          </w:p>
        </w:tc>
      </w:tr>
      <w:tr w14:paraId="41E0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0B2FBD38">
            <w:pPr>
              <w:pStyle w:val="11"/>
              <w:ind w:left="0" w:firstLine="240" w:firstLineChars="100"/>
              <w:jc w:val="center"/>
              <w:rPr>
                <w:sz w:val="24"/>
                <w:szCs w:val="24"/>
                <w:lang w:eastAsia="zh-CN"/>
              </w:rPr>
            </w:pPr>
            <w:r>
              <w:rPr>
                <w:rFonts w:hint="eastAsia"/>
                <w:sz w:val="24"/>
                <w:szCs w:val="24"/>
                <w:lang w:eastAsia="zh-CN"/>
              </w:rPr>
              <w:t>时间</w:t>
            </w:r>
          </w:p>
        </w:tc>
        <w:tc>
          <w:tcPr>
            <w:tcW w:w="7616" w:type="dxa"/>
            <w:vAlign w:val="center"/>
          </w:tcPr>
          <w:p w14:paraId="2A9D960C">
            <w:pPr>
              <w:pStyle w:val="11"/>
              <w:ind w:left="0"/>
              <w:jc w:val="both"/>
              <w:rPr>
                <w:rFonts w:hint="default"/>
                <w:sz w:val="24"/>
                <w:szCs w:val="24"/>
                <w:lang w:val="en-US" w:eastAsia="zh-CN"/>
              </w:rPr>
            </w:pPr>
            <w:r>
              <w:rPr>
                <w:rFonts w:hint="eastAsia"/>
                <w:sz w:val="24"/>
                <w:szCs w:val="24"/>
                <w:lang w:eastAsia="zh-CN"/>
              </w:rPr>
              <w:t>202</w:t>
            </w:r>
            <w:r>
              <w:rPr>
                <w:rFonts w:hint="eastAsia"/>
                <w:sz w:val="24"/>
                <w:szCs w:val="24"/>
                <w:lang w:val="en-US" w:eastAsia="zh-CN"/>
              </w:rPr>
              <w:t>5</w:t>
            </w:r>
            <w:r>
              <w:rPr>
                <w:rFonts w:hint="eastAsia"/>
                <w:sz w:val="24"/>
                <w:szCs w:val="24"/>
                <w:lang w:eastAsia="zh-CN"/>
              </w:rPr>
              <w:t>年</w:t>
            </w:r>
            <w:r>
              <w:rPr>
                <w:rFonts w:hint="eastAsia"/>
                <w:sz w:val="24"/>
                <w:szCs w:val="24"/>
                <w:lang w:val="en-US" w:eastAsia="zh-CN"/>
              </w:rPr>
              <w:t>6</w:t>
            </w:r>
            <w:r>
              <w:rPr>
                <w:rFonts w:hint="eastAsia"/>
                <w:sz w:val="24"/>
                <w:szCs w:val="24"/>
                <w:lang w:eastAsia="zh-CN"/>
              </w:rPr>
              <w:t>月</w:t>
            </w:r>
            <w:r>
              <w:rPr>
                <w:rFonts w:hint="eastAsia"/>
                <w:sz w:val="24"/>
                <w:szCs w:val="24"/>
                <w:lang w:val="en-US" w:eastAsia="zh-CN"/>
              </w:rPr>
              <w:t>20</w:t>
            </w:r>
            <w:r>
              <w:rPr>
                <w:rFonts w:hint="eastAsia"/>
                <w:sz w:val="24"/>
                <w:szCs w:val="24"/>
                <w:lang w:eastAsia="zh-CN"/>
              </w:rPr>
              <w:t>日下午</w:t>
            </w:r>
          </w:p>
        </w:tc>
      </w:tr>
      <w:tr w14:paraId="1D4C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129AD5D0">
            <w:pPr>
              <w:tabs>
                <w:tab w:val="left" w:pos="828"/>
              </w:tabs>
              <w:ind w:firstLine="240" w:firstLineChars="100"/>
              <w:jc w:val="center"/>
              <w:rPr>
                <w:sz w:val="24"/>
                <w:szCs w:val="24"/>
                <w:lang w:eastAsia="zh-CN"/>
              </w:rPr>
            </w:pPr>
            <w:r>
              <w:rPr>
                <w:rFonts w:hint="eastAsia"/>
                <w:sz w:val="24"/>
                <w:szCs w:val="24"/>
                <w:lang w:eastAsia="zh-CN"/>
              </w:rPr>
              <w:t>地点</w:t>
            </w:r>
          </w:p>
        </w:tc>
        <w:tc>
          <w:tcPr>
            <w:tcW w:w="7616" w:type="dxa"/>
            <w:vAlign w:val="center"/>
          </w:tcPr>
          <w:p w14:paraId="118EFEA1">
            <w:pPr>
              <w:pStyle w:val="11"/>
              <w:ind w:left="0"/>
              <w:jc w:val="both"/>
              <w:rPr>
                <w:sz w:val="24"/>
                <w:szCs w:val="24"/>
                <w:lang w:eastAsia="zh-CN"/>
              </w:rPr>
            </w:pPr>
            <w:r>
              <w:rPr>
                <w:rFonts w:hint="eastAsia"/>
                <w:sz w:val="24"/>
                <w:szCs w:val="24"/>
                <w:lang w:eastAsia="zh-CN"/>
              </w:rPr>
              <w:t>公司会议室</w:t>
            </w:r>
          </w:p>
        </w:tc>
      </w:tr>
      <w:tr w14:paraId="1028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6BAD7E95">
            <w:pPr>
              <w:tabs>
                <w:tab w:val="left" w:pos="828"/>
              </w:tabs>
              <w:jc w:val="center"/>
              <w:rPr>
                <w:sz w:val="24"/>
                <w:szCs w:val="24"/>
                <w:lang w:eastAsia="zh-CN"/>
              </w:rPr>
            </w:pPr>
            <w:r>
              <w:rPr>
                <w:rFonts w:hint="eastAsia"/>
                <w:sz w:val="24"/>
                <w:szCs w:val="24"/>
                <w:lang w:eastAsia="zh-CN"/>
              </w:rPr>
              <w:t>上市公司接待人员姓名</w:t>
            </w:r>
          </w:p>
        </w:tc>
        <w:tc>
          <w:tcPr>
            <w:tcW w:w="7616" w:type="dxa"/>
            <w:vAlign w:val="center"/>
          </w:tcPr>
          <w:p w14:paraId="2BA405EC">
            <w:pPr>
              <w:pStyle w:val="11"/>
              <w:ind w:left="0"/>
              <w:jc w:val="both"/>
              <w:rPr>
                <w:rFonts w:hint="eastAsia"/>
                <w:sz w:val="24"/>
                <w:szCs w:val="24"/>
                <w:lang w:eastAsia="zh-CN"/>
              </w:rPr>
            </w:pPr>
            <w:r>
              <w:rPr>
                <w:rFonts w:hint="eastAsia"/>
                <w:sz w:val="24"/>
                <w:szCs w:val="24"/>
                <w:lang w:eastAsia="zh-CN"/>
              </w:rPr>
              <w:t>财务总监、董秘：李鹏鹏</w:t>
            </w:r>
          </w:p>
          <w:p w14:paraId="54E75BC8">
            <w:pPr>
              <w:pStyle w:val="11"/>
              <w:ind w:left="0"/>
              <w:jc w:val="both"/>
              <w:rPr>
                <w:rFonts w:hint="eastAsia"/>
                <w:sz w:val="24"/>
                <w:szCs w:val="24"/>
                <w:lang w:eastAsia="zh-CN"/>
              </w:rPr>
            </w:pPr>
            <w:r>
              <w:rPr>
                <w:rFonts w:hint="eastAsia"/>
                <w:sz w:val="24"/>
                <w:szCs w:val="24"/>
                <w:lang w:eastAsia="zh-CN"/>
              </w:rPr>
              <w:t>证券事务代表：夏圣炜</w:t>
            </w:r>
          </w:p>
          <w:p w14:paraId="103F413F">
            <w:pPr>
              <w:pStyle w:val="11"/>
              <w:ind w:left="0"/>
              <w:jc w:val="both"/>
              <w:rPr>
                <w:rFonts w:hint="eastAsia"/>
                <w:sz w:val="24"/>
                <w:szCs w:val="24"/>
                <w:lang w:eastAsia="zh-CN"/>
              </w:rPr>
            </w:pPr>
            <w:r>
              <w:rPr>
                <w:rFonts w:hint="eastAsia"/>
                <w:sz w:val="24"/>
                <w:szCs w:val="24"/>
                <w:lang w:eastAsia="zh-CN"/>
              </w:rPr>
              <w:t>董事会办公室：周敏</w:t>
            </w:r>
          </w:p>
        </w:tc>
      </w:tr>
      <w:tr w14:paraId="4540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vAlign w:val="center"/>
          </w:tcPr>
          <w:p w14:paraId="185E66D7">
            <w:pPr>
              <w:tabs>
                <w:tab w:val="left" w:pos="828"/>
              </w:tabs>
              <w:spacing w:line="360" w:lineRule="auto"/>
              <w:jc w:val="center"/>
              <w:rPr>
                <w:sz w:val="24"/>
                <w:szCs w:val="24"/>
                <w:lang w:eastAsia="zh-CN"/>
              </w:rPr>
            </w:pPr>
            <w:r>
              <w:rPr>
                <w:rFonts w:hint="eastAsia"/>
                <w:sz w:val="24"/>
                <w:szCs w:val="24"/>
                <w:lang w:eastAsia="zh-CN"/>
              </w:rPr>
              <w:t>投资者关系活动主要内容介绍</w:t>
            </w:r>
          </w:p>
        </w:tc>
        <w:tc>
          <w:tcPr>
            <w:tcW w:w="7616" w:type="dxa"/>
            <w:vAlign w:val="center"/>
          </w:tcPr>
          <w:p w14:paraId="32F763F7">
            <w:pPr>
              <w:spacing w:line="360" w:lineRule="auto"/>
              <w:jc w:val="both"/>
              <w:rPr>
                <w:b/>
                <w:bCs/>
                <w:sz w:val="24"/>
                <w:szCs w:val="24"/>
                <w:lang w:eastAsia="zh-CN"/>
              </w:rPr>
            </w:pPr>
            <w:r>
              <w:rPr>
                <w:rFonts w:hint="eastAsia"/>
                <w:b/>
                <w:bCs/>
                <w:sz w:val="24"/>
                <w:szCs w:val="24"/>
                <w:lang w:val="en-US" w:eastAsia="zh-CN"/>
              </w:rPr>
              <w:t>1</w:t>
            </w:r>
            <w:r>
              <w:rPr>
                <w:rFonts w:hint="eastAsia"/>
                <w:b/>
                <w:bCs/>
                <w:sz w:val="24"/>
                <w:szCs w:val="24"/>
                <w:lang w:eastAsia="zh-CN"/>
              </w:rPr>
              <w:t>、问：</w:t>
            </w:r>
            <w:r>
              <w:rPr>
                <w:rFonts w:hint="eastAsia"/>
                <w:b/>
                <w:bCs/>
                <w:sz w:val="24"/>
                <w:szCs w:val="24"/>
                <w:lang w:val="en-US" w:eastAsia="zh-CN"/>
              </w:rPr>
              <w:t>公司特种车辆多以出口为主，是否有认证要求</w:t>
            </w:r>
            <w:r>
              <w:rPr>
                <w:rFonts w:hint="eastAsia"/>
                <w:b/>
                <w:bCs/>
                <w:sz w:val="24"/>
                <w:szCs w:val="24"/>
                <w:lang w:eastAsia="zh-CN"/>
              </w:rPr>
              <w:t>？</w:t>
            </w:r>
          </w:p>
          <w:p w14:paraId="2E95BE0B">
            <w:pPr>
              <w:spacing w:line="360" w:lineRule="auto"/>
              <w:jc w:val="both"/>
              <w:rPr>
                <w:rFonts w:hint="eastAsia"/>
                <w:sz w:val="24"/>
                <w:szCs w:val="24"/>
                <w:highlight w:val="none"/>
                <w:lang w:val="en-US" w:eastAsia="zh-CN"/>
              </w:rPr>
            </w:pPr>
            <w:r>
              <w:rPr>
                <w:rFonts w:hint="eastAsia"/>
                <w:sz w:val="24"/>
                <w:szCs w:val="24"/>
                <w:lang w:eastAsia="zh-CN"/>
              </w:rPr>
              <w:t>答：</w:t>
            </w:r>
            <w:r>
              <w:rPr>
                <w:rFonts w:hint="eastAsia"/>
                <w:sz w:val="24"/>
                <w:szCs w:val="24"/>
                <w:highlight w:val="none"/>
                <w:lang w:val="en-US" w:eastAsia="zh-CN"/>
              </w:rPr>
              <w:t>公司特种车辆市场遍及亚洲、欧洲、南北美洲、非洲、大洋洲等世界多个国家和地区，部分市场有型式认证要求，如欧洲市场需要通过T类、L类、CE认证等，美国市场需要通过ANSI2021、EPA认证等。</w:t>
            </w:r>
          </w:p>
          <w:p w14:paraId="1A44D66D">
            <w:pPr>
              <w:numPr>
                <w:ilvl w:val="0"/>
                <w:numId w:val="0"/>
              </w:numPr>
              <w:spacing w:line="360" w:lineRule="auto"/>
              <w:ind w:left="0" w:leftChars="0" w:firstLine="0" w:firstLineChars="0"/>
              <w:jc w:val="both"/>
              <w:rPr>
                <w:rFonts w:hint="eastAsia"/>
                <w:b/>
                <w:bCs/>
                <w:sz w:val="24"/>
                <w:szCs w:val="24"/>
                <w:lang w:val="en-US" w:eastAsia="zh-CN"/>
              </w:rPr>
            </w:pPr>
            <w:r>
              <w:rPr>
                <w:rFonts w:hint="eastAsia" w:cs="宋体"/>
                <w:b/>
                <w:bCs/>
                <w:sz w:val="24"/>
                <w:szCs w:val="24"/>
                <w:lang w:val="en-US" w:eastAsia="zh-CN" w:bidi="ar-SA"/>
              </w:rPr>
              <w:t>2</w:t>
            </w:r>
            <w:r>
              <w:rPr>
                <w:rFonts w:hint="eastAsia" w:ascii="宋体" w:hAnsi="宋体" w:eastAsia="宋体" w:cs="宋体"/>
                <w:b/>
                <w:bCs/>
                <w:sz w:val="24"/>
                <w:szCs w:val="24"/>
                <w:lang w:val="en-US" w:eastAsia="zh-CN" w:bidi="ar-SA"/>
              </w:rPr>
              <w:t>、</w:t>
            </w:r>
            <w:r>
              <w:rPr>
                <w:rFonts w:hint="eastAsia"/>
                <w:b/>
                <w:bCs/>
                <w:sz w:val="24"/>
                <w:szCs w:val="24"/>
                <w:lang w:val="en-US" w:eastAsia="zh-CN"/>
              </w:rPr>
              <w:t>问：林业机械主要销售对象是政府吗？</w:t>
            </w:r>
          </w:p>
          <w:p w14:paraId="014586B6">
            <w:pPr>
              <w:spacing w:line="360" w:lineRule="auto"/>
              <w:jc w:val="both"/>
              <w:rPr>
                <w:rFonts w:hint="eastAsia"/>
                <w:sz w:val="24"/>
                <w:szCs w:val="24"/>
                <w:highlight w:val="none"/>
                <w:lang w:val="en-US" w:eastAsia="zh-CN"/>
              </w:rPr>
            </w:pPr>
            <w:r>
              <w:rPr>
                <w:rFonts w:hint="eastAsia"/>
                <w:sz w:val="24"/>
                <w:szCs w:val="24"/>
                <w:highlight w:val="none"/>
                <w:lang w:val="en-US" w:eastAsia="zh-CN"/>
              </w:rPr>
              <w:t>答：公司消防机械业务主要专注于森林消防机械细分行业，该行业客户多为政府部门。</w:t>
            </w:r>
          </w:p>
          <w:p w14:paraId="6D7DA186">
            <w:pPr>
              <w:spacing w:line="360" w:lineRule="auto"/>
              <w:jc w:val="both"/>
              <w:rPr>
                <w:rFonts w:hint="eastAsia"/>
                <w:b/>
                <w:bCs/>
                <w:sz w:val="24"/>
                <w:szCs w:val="24"/>
                <w:lang w:eastAsia="zh-CN"/>
              </w:rPr>
            </w:pPr>
            <w:r>
              <w:rPr>
                <w:rFonts w:hint="eastAsia"/>
                <w:b/>
                <w:bCs/>
                <w:sz w:val="24"/>
                <w:szCs w:val="24"/>
                <w:lang w:val="en-US" w:eastAsia="zh-CN"/>
              </w:rPr>
              <w:t>3</w:t>
            </w:r>
            <w:r>
              <w:rPr>
                <w:rFonts w:hint="eastAsia"/>
                <w:b/>
                <w:bCs/>
                <w:sz w:val="24"/>
                <w:szCs w:val="24"/>
                <w:lang w:eastAsia="zh-CN"/>
              </w:rPr>
              <w:t>、问：</w:t>
            </w:r>
            <w:r>
              <w:rPr>
                <w:rFonts w:hint="eastAsia"/>
                <w:b/>
                <w:bCs/>
                <w:sz w:val="24"/>
                <w:szCs w:val="24"/>
                <w:lang w:val="en-US" w:eastAsia="zh-CN"/>
              </w:rPr>
              <w:t>国内对特种车辆的需求多吗，大概销量是多少</w:t>
            </w:r>
            <w:r>
              <w:rPr>
                <w:rFonts w:hint="eastAsia"/>
                <w:b/>
                <w:bCs/>
                <w:sz w:val="24"/>
                <w:szCs w:val="24"/>
                <w:lang w:eastAsia="zh-CN"/>
              </w:rPr>
              <w:t>？</w:t>
            </w:r>
          </w:p>
          <w:p w14:paraId="68451FC4">
            <w:pPr>
              <w:spacing w:line="360" w:lineRule="auto"/>
              <w:jc w:val="both"/>
              <w:rPr>
                <w:rFonts w:hint="default"/>
                <w:sz w:val="24"/>
                <w:szCs w:val="24"/>
                <w:highlight w:val="none"/>
                <w:lang w:val="en-US" w:eastAsia="zh-CN"/>
              </w:rPr>
            </w:pPr>
            <w:r>
              <w:rPr>
                <w:rFonts w:hint="eastAsia"/>
                <w:sz w:val="24"/>
                <w:szCs w:val="24"/>
                <w:lang w:eastAsia="zh-CN"/>
              </w:rPr>
              <w:t>答：公司特种车辆的国内销售主要分为以消防、巡逻为主的专业用途车辆和以非道路休闲娱乐、旅游景区娱乐项目为主的休闲娱乐用途车辆两类，休闲娱乐用途的全地形车在国内有少量销售</w:t>
            </w:r>
            <w:r>
              <w:rPr>
                <w:rFonts w:hint="eastAsia"/>
                <w:sz w:val="24"/>
                <w:szCs w:val="24"/>
                <w:lang w:val="en-US" w:eastAsia="zh-CN"/>
              </w:rPr>
              <w:t>，专业用途的全地形车销售与政府招标情况的关联度较大。</w:t>
            </w:r>
          </w:p>
          <w:p w14:paraId="3AC2524A">
            <w:pPr>
              <w:spacing w:line="360" w:lineRule="auto"/>
              <w:jc w:val="both"/>
              <w:rPr>
                <w:b/>
                <w:bCs/>
                <w:sz w:val="24"/>
                <w:szCs w:val="24"/>
                <w:lang w:eastAsia="zh-CN"/>
              </w:rPr>
            </w:pPr>
            <w:r>
              <w:rPr>
                <w:rFonts w:hint="eastAsia"/>
                <w:b/>
                <w:bCs/>
                <w:sz w:val="24"/>
                <w:szCs w:val="24"/>
                <w:lang w:val="en-US" w:eastAsia="zh-CN"/>
              </w:rPr>
              <w:t>4</w:t>
            </w:r>
            <w:r>
              <w:rPr>
                <w:rFonts w:hint="eastAsia"/>
                <w:b/>
                <w:bCs/>
                <w:sz w:val="24"/>
                <w:szCs w:val="24"/>
                <w:lang w:eastAsia="zh-CN"/>
              </w:rPr>
              <w:t>、问：特种车辆的使用年限是多少，维修保养、售后服务工作如何开展？</w:t>
            </w:r>
          </w:p>
          <w:p w14:paraId="1D9F5F47">
            <w:pPr>
              <w:spacing w:line="360" w:lineRule="auto"/>
              <w:jc w:val="both"/>
              <w:rPr>
                <w:rFonts w:hint="eastAsia"/>
                <w:sz w:val="24"/>
                <w:szCs w:val="24"/>
                <w:lang w:eastAsia="zh-CN"/>
              </w:rPr>
            </w:pPr>
            <w:r>
              <w:rPr>
                <w:rFonts w:hint="eastAsia"/>
                <w:sz w:val="24"/>
                <w:szCs w:val="24"/>
                <w:lang w:eastAsia="zh-CN"/>
              </w:rPr>
              <w:t>答：公司全地形车主要用于为休闲娱乐、赛事竞技、日常生活、探险等，主要市场为海外市场，无具体的使用年限，一定程度上受应用场所、环境、道路条件、用途等因素影响。公司产品的主要售后服务工作由海外市场经销商负责，公司也会不定期委派专业的技术人员前往主要市场对售后维修等工作进行辅导和协助。</w:t>
            </w:r>
          </w:p>
          <w:p w14:paraId="5CD804CC">
            <w:pPr>
              <w:numPr>
                <w:ilvl w:val="0"/>
                <w:numId w:val="0"/>
              </w:numPr>
              <w:spacing w:line="360" w:lineRule="auto"/>
              <w:jc w:val="both"/>
              <w:rPr>
                <w:rFonts w:hint="eastAsia"/>
                <w:b/>
                <w:bCs/>
                <w:sz w:val="24"/>
                <w:szCs w:val="24"/>
                <w:lang w:val="en-US" w:eastAsia="zh-CN"/>
              </w:rPr>
            </w:pPr>
            <w:r>
              <w:rPr>
                <w:rFonts w:hint="eastAsia" w:cs="宋体"/>
                <w:b/>
                <w:bCs/>
                <w:sz w:val="24"/>
                <w:szCs w:val="24"/>
                <w:lang w:val="en-US" w:eastAsia="zh-CN" w:bidi="ar-SA"/>
              </w:rPr>
              <w:t>5</w:t>
            </w:r>
            <w:r>
              <w:rPr>
                <w:rFonts w:hint="eastAsia" w:ascii="宋体" w:hAnsi="宋体" w:eastAsia="宋体" w:cs="宋体"/>
                <w:b/>
                <w:bCs/>
                <w:sz w:val="24"/>
                <w:szCs w:val="24"/>
                <w:lang w:val="en-US" w:eastAsia="zh-CN" w:bidi="ar-SA"/>
              </w:rPr>
              <w:t>、</w:t>
            </w:r>
            <w:r>
              <w:rPr>
                <w:rFonts w:hint="eastAsia"/>
                <w:b/>
                <w:bCs/>
                <w:sz w:val="24"/>
                <w:szCs w:val="24"/>
                <w:lang w:val="en-US" w:eastAsia="zh-CN"/>
              </w:rPr>
              <w:t>问：公司农机产品使用寿命？</w:t>
            </w:r>
          </w:p>
          <w:p w14:paraId="6CC1D53A">
            <w:pPr>
              <w:numPr>
                <w:ilvl w:val="0"/>
                <w:numId w:val="0"/>
              </w:numPr>
              <w:spacing w:line="360" w:lineRule="auto"/>
              <w:jc w:val="both"/>
              <w:rPr>
                <w:rFonts w:hint="default"/>
                <w:sz w:val="24"/>
                <w:szCs w:val="24"/>
                <w:lang w:val="en-US" w:eastAsia="zh-CN"/>
              </w:rPr>
            </w:pPr>
            <w:r>
              <w:rPr>
                <w:rFonts w:hint="eastAsia"/>
                <w:sz w:val="24"/>
                <w:szCs w:val="24"/>
                <w:lang w:val="en-US" w:eastAsia="zh-CN"/>
              </w:rPr>
              <w:t>答：公司手扶插秧机、高速插秧机等农机产品更新周期一般为4-5年。</w:t>
            </w:r>
          </w:p>
          <w:p w14:paraId="14DCD59D">
            <w:pPr>
              <w:numPr>
                <w:ilvl w:val="0"/>
                <w:numId w:val="0"/>
              </w:numPr>
              <w:spacing w:line="360" w:lineRule="auto"/>
              <w:ind w:left="0" w:leftChars="0" w:firstLine="0" w:firstLineChars="0"/>
              <w:jc w:val="both"/>
              <w:rPr>
                <w:rFonts w:hint="eastAsia"/>
                <w:b/>
                <w:bCs/>
                <w:sz w:val="24"/>
                <w:szCs w:val="24"/>
                <w:lang w:val="en-US" w:eastAsia="zh-CN"/>
              </w:rPr>
            </w:pPr>
            <w:r>
              <w:rPr>
                <w:rFonts w:hint="eastAsia" w:cs="宋体"/>
                <w:b/>
                <w:bCs/>
                <w:sz w:val="24"/>
                <w:szCs w:val="24"/>
                <w:lang w:val="en-US" w:eastAsia="zh-CN" w:bidi="ar-SA"/>
              </w:rPr>
              <w:t>6</w:t>
            </w:r>
            <w:r>
              <w:rPr>
                <w:rFonts w:hint="eastAsia" w:ascii="宋体" w:hAnsi="宋体" w:eastAsia="宋体" w:cs="宋体"/>
                <w:b/>
                <w:bCs/>
                <w:sz w:val="24"/>
                <w:szCs w:val="24"/>
                <w:lang w:val="en-US" w:eastAsia="zh-CN" w:bidi="ar-SA"/>
              </w:rPr>
              <w:t>、</w:t>
            </w:r>
            <w:r>
              <w:rPr>
                <w:rFonts w:hint="eastAsia"/>
                <w:b/>
                <w:bCs/>
                <w:sz w:val="24"/>
                <w:szCs w:val="24"/>
                <w:lang w:val="en-US" w:eastAsia="zh-CN"/>
              </w:rPr>
              <w:t>问：公司当前摩托车市场有哪些，是出口占多数吗？</w:t>
            </w:r>
          </w:p>
          <w:p w14:paraId="174BF00C">
            <w:pPr>
              <w:numPr>
                <w:ilvl w:val="0"/>
                <w:numId w:val="0"/>
              </w:numPr>
              <w:spacing w:line="360" w:lineRule="auto"/>
              <w:ind w:leftChars="0"/>
              <w:jc w:val="both"/>
              <w:rPr>
                <w:rFonts w:hint="default"/>
                <w:sz w:val="24"/>
                <w:szCs w:val="24"/>
                <w:lang w:val="en-US" w:eastAsia="zh-CN"/>
              </w:rPr>
            </w:pPr>
            <w:r>
              <w:rPr>
                <w:rFonts w:hint="eastAsia"/>
                <w:sz w:val="24"/>
                <w:szCs w:val="24"/>
                <w:lang w:val="en-US" w:eastAsia="zh-CN"/>
              </w:rPr>
              <w:t>答：公司两轮摩托车市场包含国内市场和国外市场，在2024年度的摩托车销售中，出口市场占多数。</w:t>
            </w:r>
          </w:p>
          <w:p w14:paraId="4586ACE3">
            <w:pPr>
              <w:spacing w:line="360" w:lineRule="auto"/>
              <w:jc w:val="both"/>
              <w:rPr>
                <w:rFonts w:hint="default"/>
                <w:sz w:val="24"/>
                <w:szCs w:val="24"/>
                <w:highlight w:val="none"/>
                <w:lang w:val="en-US" w:eastAsia="zh-CN"/>
              </w:rPr>
            </w:pPr>
          </w:p>
        </w:tc>
      </w:tr>
      <w:tr w14:paraId="4E3A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tcPr>
          <w:p w14:paraId="4DFF07CD">
            <w:pPr>
              <w:pStyle w:val="11"/>
              <w:spacing w:before="41"/>
              <w:ind w:left="105" w:right="-19"/>
              <w:jc w:val="center"/>
              <w:rPr>
                <w:rFonts w:hint="eastAsia"/>
                <w:spacing w:val="0"/>
                <w:sz w:val="24"/>
                <w:szCs w:val="24"/>
              </w:rPr>
            </w:pPr>
            <w:r>
              <w:rPr>
                <w:rFonts w:hint="eastAsia"/>
                <w:spacing w:val="0"/>
                <w:sz w:val="24"/>
                <w:szCs w:val="24"/>
              </w:rPr>
              <w:t>附件清单</w:t>
            </w:r>
          </w:p>
          <w:p w14:paraId="205C156D">
            <w:pPr>
              <w:pStyle w:val="11"/>
              <w:spacing w:before="41"/>
              <w:ind w:left="105" w:right="-19"/>
              <w:jc w:val="center"/>
              <w:rPr>
                <w:sz w:val="24"/>
                <w:szCs w:val="24"/>
                <w:lang w:eastAsia="zh-CN"/>
              </w:rPr>
            </w:pPr>
            <w:r>
              <w:rPr>
                <w:rFonts w:hint="eastAsia"/>
                <w:spacing w:val="0"/>
                <w:sz w:val="24"/>
                <w:szCs w:val="24"/>
                <w:lang w:eastAsia="zh-CN"/>
              </w:rPr>
              <w:t>(如有)</w:t>
            </w:r>
          </w:p>
        </w:tc>
        <w:tc>
          <w:tcPr>
            <w:tcW w:w="7616" w:type="dxa"/>
            <w:vAlign w:val="center"/>
          </w:tcPr>
          <w:p w14:paraId="1697C568">
            <w:pPr>
              <w:pStyle w:val="11"/>
              <w:spacing w:before="41"/>
              <w:ind w:left="105" w:right="-19"/>
              <w:jc w:val="both"/>
              <w:rPr>
                <w:sz w:val="24"/>
                <w:szCs w:val="24"/>
                <w:lang w:eastAsia="zh-CN"/>
              </w:rPr>
            </w:pPr>
            <w:r>
              <w:rPr>
                <w:rFonts w:hint="eastAsia"/>
                <w:sz w:val="24"/>
                <w:szCs w:val="24"/>
                <w:lang w:eastAsia="zh-CN"/>
              </w:rPr>
              <w:t>无</w:t>
            </w:r>
          </w:p>
        </w:tc>
      </w:tr>
      <w:tr w14:paraId="666F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78" w:type="dxa"/>
          </w:tcPr>
          <w:p w14:paraId="2C2CDF6F">
            <w:pPr>
              <w:pStyle w:val="11"/>
              <w:spacing w:before="108"/>
              <w:ind w:left="105"/>
              <w:jc w:val="center"/>
              <w:rPr>
                <w:sz w:val="24"/>
                <w:szCs w:val="24"/>
                <w:lang w:eastAsia="zh-CN"/>
              </w:rPr>
            </w:pPr>
            <w:r>
              <w:rPr>
                <w:rFonts w:hint="eastAsia"/>
                <w:sz w:val="24"/>
                <w:szCs w:val="24"/>
              </w:rPr>
              <w:t>日期</w:t>
            </w:r>
          </w:p>
        </w:tc>
        <w:tc>
          <w:tcPr>
            <w:tcW w:w="7616" w:type="dxa"/>
          </w:tcPr>
          <w:p w14:paraId="743E92C8">
            <w:pPr>
              <w:pStyle w:val="11"/>
              <w:spacing w:before="108"/>
              <w:jc w:val="both"/>
              <w:rPr>
                <w:sz w:val="24"/>
                <w:szCs w:val="24"/>
                <w:lang w:eastAsia="zh-CN"/>
              </w:rPr>
            </w:pPr>
            <w:r>
              <w:rPr>
                <w:rFonts w:hint="eastAsia"/>
                <w:sz w:val="24"/>
                <w:szCs w:val="24"/>
                <w:lang w:eastAsia="zh-CN"/>
              </w:rPr>
              <w:t>202</w:t>
            </w:r>
            <w:r>
              <w:rPr>
                <w:rFonts w:hint="eastAsia"/>
                <w:sz w:val="24"/>
                <w:szCs w:val="24"/>
                <w:lang w:val="en-US" w:eastAsia="zh-CN"/>
              </w:rPr>
              <w:t>5</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20</w:t>
            </w:r>
            <w:r>
              <w:rPr>
                <w:rFonts w:hint="eastAsia"/>
                <w:sz w:val="24"/>
                <w:szCs w:val="24"/>
              </w:rPr>
              <w:t>日</w:t>
            </w:r>
          </w:p>
        </w:tc>
      </w:tr>
    </w:tbl>
    <w:p w14:paraId="1835FF4E"/>
    <w:sectPr>
      <w:pgSz w:w="11910" w:h="16840"/>
      <w:pgMar w:top="1191" w:right="1560" w:bottom="1134"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OGViMzE5ZjYzMmFmZTRmNTQwZDMzNzk2ODdhYmYifQ=="/>
  </w:docVars>
  <w:rsids>
    <w:rsidRoot w:val="002E6828"/>
    <w:rsid w:val="0007798A"/>
    <w:rsid w:val="000A18FB"/>
    <w:rsid w:val="00231C2F"/>
    <w:rsid w:val="002E6828"/>
    <w:rsid w:val="00312CD5"/>
    <w:rsid w:val="00361CDA"/>
    <w:rsid w:val="00521AB5"/>
    <w:rsid w:val="005537C6"/>
    <w:rsid w:val="00574784"/>
    <w:rsid w:val="006932BD"/>
    <w:rsid w:val="006D2A98"/>
    <w:rsid w:val="006F5F10"/>
    <w:rsid w:val="00746E46"/>
    <w:rsid w:val="007C6E95"/>
    <w:rsid w:val="00875AC1"/>
    <w:rsid w:val="009153DF"/>
    <w:rsid w:val="00967F00"/>
    <w:rsid w:val="00976781"/>
    <w:rsid w:val="00A15C49"/>
    <w:rsid w:val="00AB59E5"/>
    <w:rsid w:val="00AE5207"/>
    <w:rsid w:val="00BD006A"/>
    <w:rsid w:val="00CA511F"/>
    <w:rsid w:val="00E37B6C"/>
    <w:rsid w:val="00EA2D10"/>
    <w:rsid w:val="01115C7F"/>
    <w:rsid w:val="01315624"/>
    <w:rsid w:val="014F4893"/>
    <w:rsid w:val="02713DE6"/>
    <w:rsid w:val="02A23DA7"/>
    <w:rsid w:val="02DF2093"/>
    <w:rsid w:val="043438CC"/>
    <w:rsid w:val="0453511D"/>
    <w:rsid w:val="055D1082"/>
    <w:rsid w:val="05784265"/>
    <w:rsid w:val="0586701B"/>
    <w:rsid w:val="058E2A81"/>
    <w:rsid w:val="05C55124"/>
    <w:rsid w:val="06AD6F44"/>
    <w:rsid w:val="06CE1DB6"/>
    <w:rsid w:val="07A71460"/>
    <w:rsid w:val="07BC2556"/>
    <w:rsid w:val="08517DBF"/>
    <w:rsid w:val="08A21AF3"/>
    <w:rsid w:val="08B945CC"/>
    <w:rsid w:val="08CC6078"/>
    <w:rsid w:val="0A375EC4"/>
    <w:rsid w:val="0A3E69D1"/>
    <w:rsid w:val="0A5346D9"/>
    <w:rsid w:val="0A7B67B1"/>
    <w:rsid w:val="0AB063A2"/>
    <w:rsid w:val="0ABF74D6"/>
    <w:rsid w:val="0BF51F2D"/>
    <w:rsid w:val="0C0C702E"/>
    <w:rsid w:val="0C3E5B31"/>
    <w:rsid w:val="0D036452"/>
    <w:rsid w:val="0D6E60A1"/>
    <w:rsid w:val="0DB3350E"/>
    <w:rsid w:val="0DB6446C"/>
    <w:rsid w:val="0DC97929"/>
    <w:rsid w:val="0E86745E"/>
    <w:rsid w:val="0EE007E8"/>
    <w:rsid w:val="0EE82616"/>
    <w:rsid w:val="0F5E6042"/>
    <w:rsid w:val="0F707EAE"/>
    <w:rsid w:val="0FD43597"/>
    <w:rsid w:val="0FEC6BCB"/>
    <w:rsid w:val="0FF15885"/>
    <w:rsid w:val="10A12FE8"/>
    <w:rsid w:val="10FD7E68"/>
    <w:rsid w:val="11041023"/>
    <w:rsid w:val="113D38F1"/>
    <w:rsid w:val="12A66F27"/>
    <w:rsid w:val="12C67C4E"/>
    <w:rsid w:val="13695D54"/>
    <w:rsid w:val="136D1608"/>
    <w:rsid w:val="136F47F2"/>
    <w:rsid w:val="1442760C"/>
    <w:rsid w:val="14DF4854"/>
    <w:rsid w:val="14E76E65"/>
    <w:rsid w:val="155928BA"/>
    <w:rsid w:val="15B900D5"/>
    <w:rsid w:val="161955AE"/>
    <w:rsid w:val="161C07B7"/>
    <w:rsid w:val="169052DA"/>
    <w:rsid w:val="16CB2F83"/>
    <w:rsid w:val="16D87002"/>
    <w:rsid w:val="173059AA"/>
    <w:rsid w:val="179E5E79"/>
    <w:rsid w:val="186B56B7"/>
    <w:rsid w:val="18E473A1"/>
    <w:rsid w:val="1989323D"/>
    <w:rsid w:val="1A4E5290"/>
    <w:rsid w:val="1A6D0C8B"/>
    <w:rsid w:val="1A907657"/>
    <w:rsid w:val="1AE206AC"/>
    <w:rsid w:val="1B554FAF"/>
    <w:rsid w:val="1B920372"/>
    <w:rsid w:val="1C552DE0"/>
    <w:rsid w:val="1C5B2381"/>
    <w:rsid w:val="1CEC5203"/>
    <w:rsid w:val="1D7F75D2"/>
    <w:rsid w:val="1D8F4263"/>
    <w:rsid w:val="1E047E92"/>
    <w:rsid w:val="1E0C793C"/>
    <w:rsid w:val="1E105E8F"/>
    <w:rsid w:val="1E991657"/>
    <w:rsid w:val="1ED206A0"/>
    <w:rsid w:val="1F664E2A"/>
    <w:rsid w:val="20B214F5"/>
    <w:rsid w:val="20B83B8F"/>
    <w:rsid w:val="20FD60D7"/>
    <w:rsid w:val="214722C6"/>
    <w:rsid w:val="21504FB2"/>
    <w:rsid w:val="21A1645C"/>
    <w:rsid w:val="22291070"/>
    <w:rsid w:val="22C7660E"/>
    <w:rsid w:val="2302255A"/>
    <w:rsid w:val="233223D1"/>
    <w:rsid w:val="235E43E6"/>
    <w:rsid w:val="23612F59"/>
    <w:rsid w:val="23796BA7"/>
    <w:rsid w:val="23A9597F"/>
    <w:rsid w:val="23D9206E"/>
    <w:rsid w:val="24BB5C18"/>
    <w:rsid w:val="24DA5304"/>
    <w:rsid w:val="255D589C"/>
    <w:rsid w:val="27377EA1"/>
    <w:rsid w:val="28405D8F"/>
    <w:rsid w:val="28FF1DA8"/>
    <w:rsid w:val="291135F5"/>
    <w:rsid w:val="295F0625"/>
    <w:rsid w:val="29D84B76"/>
    <w:rsid w:val="29E76B67"/>
    <w:rsid w:val="2A2C599F"/>
    <w:rsid w:val="2A56698C"/>
    <w:rsid w:val="2A973C48"/>
    <w:rsid w:val="2AA61ED3"/>
    <w:rsid w:val="2B8B0885"/>
    <w:rsid w:val="2B93734B"/>
    <w:rsid w:val="2BD15D21"/>
    <w:rsid w:val="2BE912BD"/>
    <w:rsid w:val="2C755F41"/>
    <w:rsid w:val="2C775033"/>
    <w:rsid w:val="2D0732A2"/>
    <w:rsid w:val="2D120D1F"/>
    <w:rsid w:val="2D7E3C87"/>
    <w:rsid w:val="2D937732"/>
    <w:rsid w:val="2DB25727"/>
    <w:rsid w:val="2DBF68A0"/>
    <w:rsid w:val="2DD502B1"/>
    <w:rsid w:val="2DED6716"/>
    <w:rsid w:val="2E0E596E"/>
    <w:rsid w:val="2E110F39"/>
    <w:rsid w:val="2EA9088F"/>
    <w:rsid w:val="2FC15979"/>
    <w:rsid w:val="301F61D4"/>
    <w:rsid w:val="308524BB"/>
    <w:rsid w:val="30915A7F"/>
    <w:rsid w:val="30A95287"/>
    <w:rsid w:val="30DF2C8E"/>
    <w:rsid w:val="30F87468"/>
    <w:rsid w:val="31BD307D"/>
    <w:rsid w:val="32D13BDA"/>
    <w:rsid w:val="32FA693C"/>
    <w:rsid w:val="33355F17"/>
    <w:rsid w:val="33CB3404"/>
    <w:rsid w:val="3513017D"/>
    <w:rsid w:val="353A5AEE"/>
    <w:rsid w:val="360511C1"/>
    <w:rsid w:val="369B2F2B"/>
    <w:rsid w:val="36C76516"/>
    <w:rsid w:val="37416463"/>
    <w:rsid w:val="3751287A"/>
    <w:rsid w:val="379E29EC"/>
    <w:rsid w:val="37AB5678"/>
    <w:rsid w:val="3822004A"/>
    <w:rsid w:val="38AF5476"/>
    <w:rsid w:val="38DF70B8"/>
    <w:rsid w:val="39352EA1"/>
    <w:rsid w:val="393F0F12"/>
    <w:rsid w:val="395D0BF4"/>
    <w:rsid w:val="39A83CA4"/>
    <w:rsid w:val="39B90520"/>
    <w:rsid w:val="39C41ADC"/>
    <w:rsid w:val="39FC21BB"/>
    <w:rsid w:val="3A1754D5"/>
    <w:rsid w:val="3A7D77A0"/>
    <w:rsid w:val="3AA47AD5"/>
    <w:rsid w:val="3B7E311A"/>
    <w:rsid w:val="3C037BBF"/>
    <w:rsid w:val="3C220374"/>
    <w:rsid w:val="3C757998"/>
    <w:rsid w:val="3CF81FA4"/>
    <w:rsid w:val="3D0C1550"/>
    <w:rsid w:val="3D295820"/>
    <w:rsid w:val="3D5A3DC8"/>
    <w:rsid w:val="3D8976D5"/>
    <w:rsid w:val="3E0F588E"/>
    <w:rsid w:val="3E5208B0"/>
    <w:rsid w:val="3EF42A4B"/>
    <w:rsid w:val="3F0F2990"/>
    <w:rsid w:val="3F45474E"/>
    <w:rsid w:val="40430E17"/>
    <w:rsid w:val="406E5A9F"/>
    <w:rsid w:val="406E7B8B"/>
    <w:rsid w:val="41C22FD4"/>
    <w:rsid w:val="41E35778"/>
    <w:rsid w:val="42D950B7"/>
    <w:rsid w:val="436037BB"/>
    <w:rsid w:val="43947A22"/>
    <w:rsid w:val="43B840E5"/>
    <w:rsid w:val="44352E99"/>
    <w:rsid w:val="445826E4"/>
    <w:rsid w:val="447913A7"/>
    <w:rsid w:val="449832F3"/>
    <w:rsid w:val="44CD6516"/>
    <w:rsid w:val="450B1E4C"/>
    <w:rsid w:val="454011EB"/>
    <w:rsid w:val="457A48DC"/>
    <w:rsid w:val="45C57174"/>
    <w:rsid w:val="45D52834"/>
    <w:rsid w:val="45FE037A"/>
    <w:rsid w:val="46C51940"/>
    <w:rsid w:val="48AF713A"/>
    <w:rsid w:val="496E4757"/>
    <w:rsid w:val="49ED7F9F"/>
    <w:rsid w:val="4A063A00"/>
    <w:rsid w:val="4A8C0F22"/>
    <w:rsid w:val="4A9326C8"/>
    <w:rsid w:val="4B0C247A"/>
    <w:rsid w:val="4B4B7714"/>
    <w:rsid w:val="4B4E7897"/>
    <w:rsid w:val="4BA833BF"/>
    <w:rsid w:val="4BD00792"/>
    <w:rsid w:val="4C7C2C83"/>
    <w:rsid w:val="4C852A0C"/>
    <w:rsid w:val="4CAA5AA7"/>
    <w:rsid w:val="4CB2425D"/>
    <w:rsid w:val="4CDD1FE8"/>
    <w:rsid w:val="4D6270CE"/>
    <w:rsid w:val="4DA34B85"/>
    <w:rsid w:val="4DEE3CA1"/>
    <w:rsid w:val="4E2875CB"/>
    <w:rsid w:val="4E5626C3"/>
    <w:rsid w:val="4ECC7F56"/>
    <w:rsid w:val="4F0B6405"/>
    <w:rsid w:val="4F1E7C08"/>
    <w:rsid w:val="50632B3C"/>
    <w:rsid w:val="508C3766"/>
    <w:rsid w:val="50FF1F51"/>
    <w:rsid w:val="512027DB"/>
    <w:rsid w:val="512C739B"/>
    <w:rsid w:val="51772FC4"/>
    <w:rsid w:val="51A06D10"/>
    <w:rsid w:val="5277788F"/>
    <w:rsid w:val="530E3233"/>
    <w:rsid w:val="53B37937"/>
    <w:rsid w:val="53E47AF0"/>
    <w:rsid w:val="54152401"/>
    <w:rsid w:val="54961A63"/>
    <w:rsid w:val="54A97D77"/>
    <w:rsid w:val="54F50075"/>
    <w:rsid w:val="55A27C63"/>
    <w:rsid w:val="56335942"/>
    <w:rsid w:val="569435F9"/>
    <w:rsid w:val="56BC3940"/>
    <w:rsid w:val="578C3E5D"/>
    <w:rsid w:val="57D62EBD"/>
    <w:rsid w:val="58584F66"/>
    <w:rsid w:val="58CC7966"/>
    <w:rsid w:val="58D81BED"/>
    <w:rsid w:val="58D96EF9"/>
    <w:rsid w:val="594628AC"/>
    <w:rsid w:val="598A4430"/>
    <w:rsid w:val="59910E77"/>
    <w:rsid w:val="5A65081C"/>
    <w:rsid w:val="5A73308E"/>
    <w:rsid w:val="5ABE0C8A"/>
    <w:rsid w:val="5B58738C"/>
    <w:rsid w:val="5B741EAE"/>
    <w:rsid w:val="5C1E57B7"/>
    <w:rsid w:val="5C2B04AE"/>
    <w:rsid w:val="5C7232A0"/>
    <w:rsid w:val="5D4F4649"/>
    <w:rsid w:val="5E880D7F"/>
    <w:rsid w:val="5E9C2F2A"/>
    <w:rsid w:val="5FB46F10"/>
    <w:rsid w:val="600A4823"/>
    <w:rsid w:val="613C71BD"/>
    <w:rsid w:val="61442516"/>
    <w:rsid w:val="61BA27D8"/>
    <w:rsid w:val="61FE12C4"/>
    <w:rsid w:val="62952C2D"/>
    <w:rsid w:val="62F37D50"/>
    <w:rsid w:val="630540BC"/>
    <w:rsid w:val="631E7A1B"/>
    <w:rsid w:val="639D5D2C"/>
    <w:rsid w:val="6491140D"/>
    <w:rsid w:val="65460A60"/>
    <w:rsid w:val="65DC04C1"/>
    <w:rsid w:val="66200D3B"/>
    <w:rsid w:val="670C6F9F"/>
    <w:rsid w:val="67E67104"/>
    <w:rsid w:val="682D01BF"/>
    <w:rsid w:val="685F19E3"/>
    <w:rsid w:val="68C1134F"/>
    <w:rsid w:val="697D2657"/>
    <w:rsid w:val="699B74F7"/>
    <w:rsid w:val="69D81A4D"/>
    <w:rsid w:val="6A471FB6"/>
    <w:rsid w:val="6AC06E16"/>
    <w:rsid w:val="6B550E39"/>
    <w:rsid w:val="6C0A3F26"/>
    <w:rsid w:val="6C1D45C3"/>
    <w:rsid w:val="6CA4236F"/>
    <w:rsid w:val="6DD016BD"/>
    <w:rsid w:val="6DF84BAC"/>
    <w:rsid w:val="6E5378F4"/>
    <w:rsid w:val="6E661BB9"/>
    <w:rsid w:val="6E917B1B"/>
    <w:rsid w:val="6E9835BF"/>
    <w:rsid w:val="6FF670D1"/>
    <w:rsid w:val="70971289"/>
    <w:rsid w:val="70DF5C52"/>
    <w:rsid w:val="71094BE2"/>
    <w:rsid w:val="711B2179"/>
    <w:rsid w:val="71744751"/>
    <w:rsid w:val="71C034F3"/>
    <w:rsid w:val="72404200"/>
    <w:rsid w:val="725620A9"/>
    <w:rsid w:val="725A3947"/>
    <w:rsid w:val="72800D0F"/>
    <w:rsid w:val="72905A21"/>
    <w:rsid w:val="72C94629"/>
    <w:rsid w:val="72E47908"/>
    <w:rsid w:val="73663A5B"/>
    <w:rsid w:val="737D2E0A"/>
    <w:rsid w:val="745B6F20"/>
    <w:rsid w:val="753049E3"/>
    <w:rsid w:val="758C3782"/>
    <w:rsid w:val="75DF5F11"/>
    <w:rsid w:val="76A612DF"/>
    <w:rsid w:val="76AE6010"/>
    <w:rsid w:val="77212C85"/>
    <w:rsid w:val="777A7E82"/>
    <w:rsid w:val="778A27EE"/>
    <w:rsid w:val="77C31153"/>
    <w:rsid w:val="786F2929"/>
    <w:rsid w:val="78847479"/>
    <w:rsid w:val="788E099A"/>
    <w:rsid w:val="78C9316E"/>
    <w:rsid w:val="78CE00ED"/>
    <w:rsid w:val="78DE0F24"/>
    <w:rsid w:val="796E5475"/>
    <w:rsid w:val="7A0B3E64"/>
    <w:rsid w:val="7A8A0AC1"/>
    <w:rsid w:val="7AF4245F"/>
    <w:rsid w:val="7AF81CD8"/>
    <w:rsid w:val="7BA12DAD"/>
    <w:rsid w:val="7BAB5214"/>
    <w:rsid w:val="7BBD0AA3"/>
    <w:rsid w:val="7BEF1F0C"/>
    <w:rsid w:val="7C89589D"/>
    <w:rsid w:val="7C913608"/>
    <w:rsid w:val="7C9336AF"/>
    <w:rsid w:val="7DB95D76"/>
    <w:rsid w:val="7DDF11A4"/>
    <w:rsid w:val="7DE7349C"/>
    <w:rsid w:val="7E23576E"/>
    <w:rsid w:val="7E521976"/>
    <w:rsid w:val="7F23769E"/>
    <w:rsid w:val="7FC04835"/>
    <w:rsid w:val="7FD06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tabs>
        <w:tab w:val="left" w:pos="6002"/>
      </w:tabs>
      <w:spacing w:before="8"/>
      <w:ind w:right="378"/>
    </w:pPr>
    <w:rPr>
      <w:sz w:val="24"/>
      <w:szCs w:val="24"/>
    </w:rPr>
  </w:style>
  <w:style w:type="paragraph" w:styleId="3">
    <w:name w:val="footer"/>
    <w:basedOn w:val="1"/>
    <w:link w:val="13"/>
    <w:autoRedefine/>
    <w:qFormat/>
    <w:uiPriority w:val="0"/>
    <w:pPr>
      <w:tabs>
        <w:tab w:val="center" w:pos="4153"/>
        <w:tab w:val="right" w:pos="8306"/>
      </w:tabs>
      <w:snapToGrid w:val="0"/>
    </w:pPr>
    <w:rPr>
      <w:sz w:val="18"/>
      <w:szCs w:val="18"/>
    </w:rPr>
  </w:style>
  <w:style w:type="paragraph" w:styleId="4">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0"/>
    <w:rPr>
      <w:b/>
    </w:rPr>
  </w:style>
  <w:style w:type="table" w:customStyle="1" w:styleId="9">
    <w:name w:val="Table Normal"/>
    <w:autoRedefine/>
    <w:semiHidden/>
    <w:unhideWhenUsed/>
    <w:qFormat/>
    <w:uiPriority w:val="2"/>
    <w:tblPr>
      <w:tblCellMar>
        <w:top w:w="0" w:type="dxa"/>
        <w:left w:w="0" w:type="dxa"/>
        <w:bottom w:w="0" w:type="dxa"/>
        <w:right w:w="0" w:type="dxa"/>
      </w:tblCellMar>
    </w:tblPr>
  </w:style>
  <w:style w:type="paragraph" w:styleId="10">
    <w:name w:val="List Paragraph"/>
    <w:basedOn w:val="1"/>
    <w:autoRedefine/>
    <w:qFormat/>
    <w:uiPriority w:val="1"/>
  </w:style>
  <w:style w:type="paragraph" w:customStyle="1" w:styleId="11">
    <w:name w:val="Table Paragraph"/>
    <w:basedOn w:val="1"/>
    <w:autoRedefine/>
    <w:qFormat/>
    <w:uiPriority w:val="1"/>
    <w:pPr>
      <w:ind w:left="100"/>
    </w:pPr>
  </w:style>
  <w:style w:type="character" w:customStyle="1" w:styleId="12">
    <w:name w:val="页眉 Char"/>
    <w:basedOn w:val="7"/>
    <w:link w:val="4"/>
    <w:autoRedefine/>
    <w:qFormat/>
    <w:uiPriority w:val="0"/>
    <w:rPr>
      <w:rFonts w:ascii="宋体" w:hAnsi="宋体" w:eastAsia="宋体" w:cs="宋体"/>
      <w:sz w:val="18"/>
      <w:szCs w:val="18"/>
      <w:lang w:eastAsia="en-US"/>
    </w:rPr>
  </w:style>
  <w:style w:type="character" w:customStyle="1" w:styleId="13">
    <w:name w:val="页脚 Char"/>
    <w:basedOn w:val="7"/>
    <w:link w:val="3"/>
    <w:autoRedefine/>
    <w:qFormat/>
    <w:uiPriority w:val="0"/>
    <w:rPr>
      <w:rFonts w:ascii="宋体" w:hAnsi="宋体" w:eastAsia="宋体" w:cs="宋体"/>
      <w:sz w:val="18"/>
      <w:szCs w:val="18"/>
      <w:lang w:eastAsia="en-US"/>
    </w:rPr>
  </w:style>
  <w:style w:type="paragraph" w:customStyle="1" w:styleId="14">
    <w:name w:val="005正文"/>
    <w:basedOn w:val="1"/>
    <w:autoRedefine/>
    <w:qFormat/>
    <w:uiPriority w:val="0"/>
    <w:pPr>
      <w:adjustRightInd w:val="0"/>
      <w:snapToGrid w:val="0"/>
      <w:spacing w:beforeLines="50" w:afterLines="50" w:line="360" w:lineRule="auto"/>
      <w:ind w:firstLine="200" w:firstLineChars="200"/>
      <w:jc w:val="both"/>
    </w:pPr>
    <w:rPr>
      <w:kern w:val="2"/>
    </w:rPr>
  </w:style>
  <w:style w:type="paragraph" w:customStyle="1" w:styleId="15">
    <w:name w:val="修订1"/>
    <w:autoRedefine/>
    <w:hidden/>
    <w:unhideWhenUsed/>
    <w:qFormat/>
    <w:uiPriority w:val="99"/>
    <w:rPr>
      <w:rFonts w:ascii="宋体" w:hAnsi="宋体" w:eastAsia="宋体" w:cs="宋体"/>
      <w:sz w:val="22"/>
      <w:szCs w:val="22"/>
      <w:lang w:val="en-US" w:eastAsia="en-US" w:bidi="ar-SA"/>
    </w:rPr>
  </w:style>
  <w:style w:type="paragraph" w:customStyle="1" w:styleId="16">
    <w:name w:val="修订2"/>
    <w:autoRedefine/>
    <w:hidden/>
    <w:unhideWhenUsed/>
    <w:qFormat/>
    <w:uiPriority w:val="99"/>
    <w:rPr>
      <w:rFonts w:ascii="宋体" w:hAnsi="宋体" w:eastAsia="宋体" w:cs="宋体"/>
      <w:sz w:val="22"/>
      <w:szCs w:val="22"/>
      <w:lang w:val="en-US" w:eastAsia="en-US" w:bidi="ar-SA"/>
    </w:rPr>
  </w:style>
  <w:style w:type="paragraph" w:customStyle="1" w:styleId="17">
    <w:name w:val="修订3"/>
    <w:hidden/>
    <w:unhideWhenUsed/>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797</Words>
  <Characters>833</Characters>
  <Lines>12</Lines>
  <Paragraphs>3</Paragraphs>
  <TotalTime>91</TotalTime>
  <ScaleCrop>false</ScaleCrop>
  <LinksUpToDate>false</LinksUpToDate>
  <CharactersWithSpaces>894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2021-06-16T13:10:00Z</dcterms:created>
  <dc:creator>周九</dc:creator>
  <cp:lastModifiedBy>夏圣炜</cp:lastModifiedBy>
  <cp:lastPrinted>2025-06-25T00:11:00Z</cp:lastPrinted>
  <dcterms:modified xsi:type="dcterms:W3CDTF">2025-06-25T06:11:14Z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Microsoft® Office Word 2007</vt:lpwstr>
  </property>
  <property fmtid="{D5CDD505-2E9C-101B-9397-08002B2CF9AE}" pid="4" name="LastSaved">
    <vt:filetime>2021-06-16T00:00:00Z</vt:filetime>
  </property>
  <property fmtid="{D5CDD505-2E9C-101B-9397-08002B2CF9AE}" pid="5" name="KSOProductBuildVer">
    <vt:lpwstr>2052-12.1.0.21541</vt:lpwstr>
  </property>
  <property fmtid="{D5CDD505-2E9C-101B-9397-08002B2CF9AE}" pid="6" name="ICV">
    <vt:lpwstr>6D09E1AD0A2E4FA39762E968480DEEC3_13</vt:lpwstr>
  </property>
  <property fmtid="{D5CDD505-2E9C-101B-9397-08002B2CF9AE}" pid="7" name="KSOTemplateDocerSaveRecord">
    <vt:lpwstr>eyJoZGlkIjoiZGEzZDUxOTUyMmE0NzE2OTk1OGM5MDhlNTJjZjlhZmQiLCJ1c2VySWQiOiIyNzQ1MjAyNzkifQ==</vt:lpwstr>
  </property>
</Properties>
</file>