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BD8D2">
      <w:pPr>
        <w:pStyle w:val="2"/>
        <w:rPr>
          <w:lang w:eastAsia="zh-CN"/>
        </w:rPr>
      </w:pPr>
      <w:r>
        <w:rPr>
          <w:lang w:eastAsia="zh-CN"/>
        </w:rPr>
        <w:t>证券代码：</w:t>
      </w:r>
      <w:r>
        <w:rPr>
          <w:rFonts w:hint="eastAsia"/>
          <w:lang w:eastAsia="zh-CN"/>
        </w:rPr>
        <w:t xml:space="preserve">600099                                   </w:t>
      </w:r>
      <w:r>
        <w:rPr>
          <w:lang w:eastAsia="zh-CN"/>
        </w:rPr>
        <w:t>证券简称：</w:t>
      </w:r>
      <w:r>
        <w:rPr>
          <w:rFonts w:hint="eastAsia"/>
          <w:lang w:eastAsia="zh-CN"/>
        </w:rPr>
        <w:t>林海股份</w:t>
      </w:r>
    </w:p>
    <w:p w14:paraId="31C8D50C">
      <w:pPr>
        <w:pStyle w:val="2"/>
        <w:rPr>
          <w:lang w:eastAsia="zh-CN"/>
        </w:rPr>
      </w:pPr>
    </w:p>
    <w:p w14:paraId="01203119">
      <w:pPr>
        <w:spacing w:line="480" w:lineRule="auto"/>
        <w:jc w:val="center"/>
        <w:rPr>
          <w:b/>
          <w:w w:val="99"/>
          <w:sz w:val="32"/>
          <w:szCs w:val="32"/>
          <w:lang w:eastAsia="zh-CN"/>
        </w:rPr>
      </w:pPr>
      <w:r>
        <w:rPr>
          <w:rFonts w:hint="eastAsia"/>
          <w:b/>
          <w:spacing w:val="4"/>
          <w:w w:val="99"/>
          <w:sz w:val="32"/>
          <w:szCs w:val="32"/>
          <w:lang w:eastAsia="zh-CN"/>
        </w:rPr>
        <w:t>林海</w:t>
      </w:r>
      <w:r>
        <w:rPr>
          <w:b/>
          <w:w w:val="99"/>
          <w:sz w:val="32"/>
          <w:szCs w:val="32"/>
          <w:lang w:eastAsia="zh-CN"/>
        </w:rPr>
        <w:t>股</w:t>
      </w:r>
      <w:r>
        <w:rPr>
          <w:b/>
          <w:spacing w:val="4"/>
          <w:w w:val="99"/>
          <w:sz w:val="32"/>
          <w:szCs w:val="32"/>
          <w:lang w:eastAsia="zh-CN"/>
        </w:rPr>
        <w:t>份有</w:t>
      </w:r>
      <w:r>
        <w:rPr>
          <w:b/>
          <w:w w:val="99"/>
          <w:sz w:val="32"/>
          <w:szCs w:val="32"/>
          <w:lang w:eastAsia="zh-CN"/>
        </w:rPr>
        <w:t>限</w:t>
      </w:r>
      <w:r>
        <w:rPr>
          <w:b/>
          <w:spacing w:val="4"/>
          <w:w w:val="99"/>
          <w:sz w:val="32"/>
          <w:szCs w:val="32"/>
          <w:lang w:eastAsia="zh-CN"/>
        </w:rPr>
        <w:t>公</w:t>
      </w:r>
      <w:r>
        <w:rPr>
          <w:b/>
          <w:w w:val="99"/>
          <w:sz w:val="32"/>
          <w:szCs w:val="32"/>
          <w:lang w:eastAsia="zh-CN"/>
        </w:rPr>
        <w:t>司</w:t>
      </w:r>
    </w:p>
    <w:p w14:paraId="326C6C8D">
      <w:pPr>
        <w:spacing w:line="480" w:lineRule="auto"/>
        <w:jc w:val="center"/>
        <w:rPr>
          <w:b/>
          <w:sz w:val="32"/>
          <w:szCs w:val="32"/>
          <w:lang w:eastAsia="zh-CN"/>
        </w:rPr>
      </w:pPr>
      <w:r>
        <w:rPr>
          <w:b/>
          <w:spacing w:val="4"/>
          <w:w w:val="99"/>
          <w:sz w:val="32"/>
          <w:szCs w:val="32"/>
          <w:lang w:eastAsia="zh-CN"/>
        </w:rPr>
        <w:t>投资</w:t>
      </w:r>
      <w:r>
        <w:rPr>
          <w:b/>
          <w:w w:val="99"/>
          <w:sz w:val="32"/>
          <w:szCs w:val="32"/>
          <w:lang w:eastAsia="zh-CN"/>
        </w:rPr>
        <w:t>者</w:t>
      </w:r>
      <w:r>
        <w:rPr>
          <w:b/>
          <w:spacing w:val="4"/>
          <w:w w:val="99"/>
          <w:sz w:val="32"/>
          <w:szCs w:val="32"/>
          <w:lang w:eastAsia="zh-CN"/>
        </w:rPr>
        <w:t>关</w:t>
      </w:r>
      <w:r>
        <w:rPr>
          <w:b/>
          <w:w w:val="99"/>
          <w:sz w:val="32"/>
          <w:szCs w:val="32"/>
          <w:lang w:eastAsia="zh-CN"/>
        </w:rPr>
        <w:t>系</w:t>
      </w:r>
      <w:r>
        <w:rPr>
          <w:b/>
          <w:spacing w:val="4"/>
          <w:w w:val="99"/>
          <w:sz w:val="32"/>
          <w:szCs w:val="32"/>
          <w:lang w:eastAsia="zh-CN"/>
        </w:rPr>
        <w:t>活</w:t>
      </w:r>
      <w:r>
        <w:rPr>
          <w:b/>
          <w:w w:val="99"/>
          <w:sz w:val="32"/>
          <w:szCs w:val="32"/>
          <w:lang w:eastAsia="zh-CN"/>
        </w:rPr>
        <w:t>动</w:t>
      </w:r>
      <w:r>
        <w:rPr>
          <w:b/>
          <w:spacing w:val="4"/>
          <w:w w:val="99"/>
          <w:sz w:val="32"/>
          <w:szCs w:val="32"/>
          <w:lang w:eastAsia="zh-CN"/>
        </w:rPr>
        <w:t>记录</w:t>
      </w:r>
      <w:r>
        <w:rPr>
          <w:b/>
          <w:w w:val="99"/>
          <w:sz w:val="32"/>
          <w:szCs w:val="32"/>
          <w:lang w:eastAsia="zh-CN"/>
        </w:rPr>
        <w:t>表</w:t>
      </w:r>
    </w:p>
    <w:tbl>
      <w:tblPr>
        <w:tblStyle w:val="6"/>
        <w:tblW w:w="9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7616"/>
      </w:tblGrid>
      <w:tr w14:paraId="4EEC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8" w:type="dxa"/>
            <w:vAlign w:val="center"/>
          </w:tcPr>
          <w:p w14:paraId="4DF16899">
            <w:pPr>
              <w:tabs>
                <w:tab w:val="left" w:pos="828"/>
              </w:tabs>
              <w:spacing w:line="360" w:lineRule="auto"/>
              <w:jc w:val="center"/>
              <w:rPr>
                <w:sz w:val="24"/>
                <w:szCs w:val="24"/>
              </w:rPr>
            </w:pPr>
            <w:r>
              <w:rPr>
                <w:rFonts w:hint="eastAsia"/>
                <w:sz w:val="24"/>
                <w:szCs w:val="24"/>
              </w:rPr>
              <w:t>投资</w:t>
            </w:r>
            <w:r>
              <w:rPr>
                <w:rFonts w:hint="eastAsia"/>
                <w:spacing w:val="4"/>
                <w:sz w:val="24"/>
                <w:szCs w:val="24"/>
              </w:rPr>
              <w:t>者</w:t>
            </w:r>
            <w:r>
              <w:rPr>
                <w:rFonts w:hint="eastAsia"/>
                <w:sz w:val="24"/>
                <w:szCs w:val="24"/>
              </w:rPr>
              <w:t>关系</w:t>
            </w:r>
          </w:p>
          <w:p w14:paraId="62E01123">
            <w:pPr>
              <w:tabs>
                <w:tab w:val="left" w:pos="828"/>
              </w:tabs>
              <w:spacing w:line="360" w:lineRule="auto"/>
              <w:jc w:val="center"/>
              <w:rPr>
                <w:sz w:val="24"/>
                <w:szCs w:val="24"/>
                <w:lang w:eastAsia="zh-CN"/>
              </w:rPr>
            </w:pPr>
            <w:r>
              <w:rPr>
                <w:rFonts w:hint="eastAsia"/>
                <w:sz w:val="24"/>
                <w:szCs w:val="24"/>
              </w:rPr>
              <w:t>活动类别</w:t>
            </w:r>
          </w:p>
        </w:tc>
        <w:tc>
          <w:tcPr>
            <w:tcW w:w="7616" w:type="dxa"/>
          </w:tcPr>
          <w:p w14:paraId="0C101F5F">
            <w:pPr>
              <w:pStyle w:val="11"/>
              <w:spacing w:before="166"/>
              <w:jc w:val="both"/>
              <w:rPr>
                <w:sz w:val="24"/>
                <w:szCs w:val="24"/>
                <w:lang w:eastAsia="zh-CN"/>
              </w:rPr>
            </w:pPr>
            <w:r>
              <w:rPr>
                <w:rFonts w:hint="eastAsia"/>
                <w:sz w:val="24"/>
                <w:szCs w:val="24"/>
                <w:lang w:eastAsia="zh-CN"/>
              </w:rPr>
              <w:t>☑特定对象调研       □分析师会议</w:t>
            </w:r>
          </w:p>
          <w:p w14:paraId="0B30F914">
            <w:pPr>
              <w:pStyle w:val="11"/>
              <w:tabs>
                <w:tab w:val="left" w:pos="3008"/>
              </w:tabs>
              <w:spacing w:before="226"/>
              <w:jc w:val="both"/>
              <w:rPr>
                <w:sz w:val="24"/>
                <w:szCs w:val="24"/>
                <w:lang w:eastAsia="zh-CN"/>
              </w:rPr>
            </w:pPr>
            <w:r>
              <w:rPr>
                <w:rFonts w:hint="eastAsia"/>
                <w:sz w:val="24"/>
                <w:szCs w:val="24"/>
                <w:lang w:eastAsia="zh-CN"/>
              </w:rPr>
              <w:t xml:space="preserve">□媒体采访           </w:t>
            </w:r>
            <w:r>
              <w:rPr>
                <w:rFonts w:hint="eastAsia"/>
                <w:sz w:val="24"/>
                <w:szCs w:val="24"/>
                <w:lang w:eastAsia="zh-CN"/>
              </w:rPr>
              <w:sym w:font="Wingdings 2" w:char="00A3"/>
            </w:r>
            <w:r>
              <w:rPr>
                <w:rFonts w:hint="eastAsia"/>
                <w:sz w:val="24"/>
                <w:szCs w:val="24"/>
                <w:lang w:eastAsia="zh-CN"/>
              </w:rPr>
              <w:t>业绩说明会</w:t>
            </w:r>
          </w:p>
          <w:p w14:paraId="653C72E1">
            <w:pPr>
              <w:pStyle w:val="11"/>
              <w:spacing w:before="166"/>
              <w:jc w:val="both"/>
              <w:rPr>
                <w:sz w:val="24"/>
                <w:szCs w:val="24"/>
                <w:lang w:eastAsia="zh-CN"/>
              </w:rPr>
            </w:pPr>
            <w:r>
              <w:rPr>
                <w:rFonts w:hint="eastAsia"/>
                <w:sz w:val="24"/>
                <w:szCs w:val="24"/>
                <w:lang w:eastAsia="zh-CN"/>
              </w:rPr>
              <w:t>□新闻发布会</w:t>
            </w:r>
            <w:r>
              <w:rPr>
                <w:rFonts w:hint="eastAsia"/>
                <w:sz w:val="24"/>
                <w:szCs w:val="24"/>
                <w:lang w:eastAsia="zh-CN"/>
              </w:rPr>
              <w:tab/>
            </w:r>
            <w:r>
              <w:rPr>
                <w:rFonts w:hint="eastAsia"/>
                <w:sz w:val="24"/>
                <w:szCs w:val="24"/>
                <w:lang w:eastAsia="zh-CN"/>
              </w:rPr>
              <w:t xml:space="preserve">    □路演活动</w:t>
            </w:r>
          </w:p>
          <w:p w14:paraId="0C30A45A">
            <w:pPr>
              <w:pStyle w:val="11"/>
              <w:spacing w:before="166"/>
              <w:jc w:val="both"/>
              <w:rPr>
                <w:sz w:val="24"/>
                <w:szCs w:val="24"/>
                <w:lang w:eastAsia="zh-CN"/>
              </w:rPr>
            </w:pPr>
            <w:r>
              <w:rPr>
                <w:rFonts w:hint="eastAsia"/>
                <w:sz w:val="24"/>
                <w:szCs w:val="24"/>
                <w:lang w:eastAsia="zh-CN"/>
              </w:rPr>
              <w:t>□现场参观</w:t>
            </w:r>
          </w:p>
          <w:p w14:paraId="4B6DB84A">
            <w:pPr>
              <w:pStyle w:val="11"/>
              <w:spacing w:before="166"/>
              <w:jc w:val="both"/>
              <w:rPr>
                <w:sz w:val="24"/>
                <w:szCs w:val="24"/>
                <w:lang w:eastAsia="zh-CN"/>
              </w:rPr>
            </w:pPr>
            <w:r>
              <w:rPr>
                <w:rFonts w:hint="eastAsia"/>
                <w:sz w:val="24"/>
                <w:szCs w:val="24"/>
                <w:lang w:eastAsia="zh-CN"/>
              </w:rPr>
              <w:t xml:space="preserve">□其他  </w:t>
            </w:r>
          </w:p>
        </w:tc>
      </w:tr>
      <w:tr w14:paraId="7627C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8" w:type="dxa"/>
            <w:vAlign w:val="center"/>
          </w:tcPr>
          <w:p w14:paraId="2BEBDA0D">
            <w:pPr>
              <w:tabs>
                <w:tab w:val="left" w:pos="828"/>
              </w:tabs>
              <w:jc w:val="center"/>
              <w:rPr>
                <w:sz w:val="24"/>
                <w:szCs w:val="24"/>
                <w:lang w:eastAsia="zh-CN"/>
              </w:rPr>
            </w:pPr>
            <w:r>
              <w:rPr>
                <w:rFonts w:hint="eastAsia"/>
                <w:sz w:val="24"/>
                <w:szCs w:val="24"/>
                <w:lang w:eastAsia="zh-CN"/>
              </w:rPr>
              <w:t>参与</w:t>
            </w:r>
            <w:r>
              <w:rPr>
                <w:rFonts w:hint="eastAsia"/>
                <w:spacing w:val="4"/>
                <w:sz w:val="24"/>
                <w:szCs w:val="24"/>
                <w:lang w:eastAsia="zh-CN"/>
              </w:rPr>
              <w:t>单</w:t>
            </w:r>
            <w:r>
              <w:rPr>
                <w:rFonts w:hint="eastAsia"/>
                <w:sz w:val="24"/>
                <w:szCs w:val="24"/>
                <w:lang w:eastAsia="zh-CN"/>
              </w:rPr>
              <w:t>位名称</w:t>
            </w:r>
          </w:p>
          <w:p w14:paraId="3C9027A9">
            <w:pPr>
              <w:tabs>
                <w:tab w:val="left" w:pos="828"/>
              </w:tabs>
              <w:jc w:val="center"/>
              <w:rPr>
                <w:sz w:val="24"/>
                <w:szCs w:val="24"/>
                <w:lang w:eastAsia="zh-CN"/>
              </w:rPr>
            </w:pPr>
            <w:r>
              <w:rPr>
                <w:rFonts w:hint="eastAsia"/>
                <w:sz w:val="24"/>
                <w:szCs w:val="24"/>
                <w:lang w:eastAsia="zh-CN"/>
              </w:rPr>
              <w:t>及人员姓名</w:t>
            </w:r>
          </w:p>
        </w:tc>
        <w:tc>
          <w:tcPr>
            <w:tcW w:w="7616" w:type="dxa"/>
            <w:vAlign w:val="center"/>
          </w:tcPr>
          <w:p w14:paraId="013359D4">
            <w:pPr>
              <w:pStyle w:val="11"/>
              <w:ind w:left="0"/>
              <w:jc w:val="left"/>
              <w:rPr>
                <w:rFonts w:hint="eastAsia"/>
                <w:sz w:val="24"/>
                <w:szCs w:val="24"/>
                <w:lang w:eastAsia="zh-CN"/>
              </w:rPr>
            </w:pPr>
            <w:r>
              <w:rPr>
                <w:rFonts w:hint="eastAsia"/>
                <w:sz w:val="24"/>
                <w:szCs w:val="24"/>
                <w:lang w:eastAsia="zh-CN"/>
              </w:rPr>
              <w:t xml:space="preserve">北京世邦私募基金管理有限公司 </w:t>
            </w:r>
          </w:p>
        </w:tc>
      </w:tr>
      <w:tr w14:paraId="41E0A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8" w:type="dxa"/>
            <w:vAlign w:val="center"/>
          </w:tcPr>
          <w:p w14:paraId="0B2FBD38">
            <w:pPr>
              <w:pStyle w:val="11"/>
              <w:ind w:left="0" w:firstLine="240" w:firstLineChars="100"/>
              <w:jc w:val="center"/>
              <w:rPr>
                <w:sz w:val="24"/>
                <w:szCs w:val="24"/>
                <w:lang w:eastAsia="zh-CN"/>
              </w:rPr>
            </w:pPr>
            <w:r>
              <w:rPr>
                <w:rFonts w:hint="eastAsia"/>
                <w:sz w:val="24"/>
                <w:szCs w:val="24"/>
                <w:lang w:eastAsia="zh-CN"/>
              </w:rPr>
              <w:t>时间</w:t>
            </w:r>
          </w:p>
        </w:tc>
        <w:tc>
          <w:tcPr>
            <w:tcW w:w="7616" w:type="dxa"/>
            <w:vAlign w:val="center"/>
          </w:tcPr>
          <w:p w14:paraId="2A9D960C">
            <w:pPr>
              <w:pStyle w:val="11"/>
              <w:ind w:left="0"/>
              <w:jc w:val="both"/>
              <w:rPr>
                <w:rFonts w:hint="default"/>
                <w:sz w:val="24"/>
                <w:szCs w:val="24"/>
                <w:lang w:val="en-US" w:eastAsia="zh-CN"/>
              </w:rPr>
            </w:pPr>
            <w:r>
              <w:rPr>
                <w:rFonts w:hint="eastAsia"/>
                <w:sz w:val="24"/>
                <w:szCs w:val="24"/>
                <w:lang w:eastAsia="zh-CN"/>
              </w:rPr>
              <w:t>202</w:t>
            </w:r>
            <w:r>
              <w:rPr>
                <w:rFonts w:hint="eastAsia"/>
                <w:sz w:val="24"/>
                <w:szCs w:val="24"/>
                <w:lang w:val="en-US" w:eastAsia="zh-CN"/>
              </w:rPr>
              <w:t>5</w:t>
            </w:r>
            <w:r>
              <w:rPr>
                <w:rFonts w:hint="eastAsia"/>
                <w:sz w:val="24"/>
                <w:szCs w:val="24"/>
                <w:lang w:eastAsia="zh-CN"/>
              </w:rPr>
              <w:t>年</w:t>
            </w:r>
            <w:r>
              <w:rPr>
                <w:rFonts w:hint="eastAsia"/>
                <w:sz w:val="24"/>
                <w:szCs w:val="24"/>
                <w:lang w:val="en-US" w:eastAsia="zh-CN"/>
              </w:rPr>
              <w:t>6</w:t>
            </w:r>
            <w:r>
              <w:rPr>
                <w:rFonts w:hint="eastAsia"/>
                <w:sz w:val="24"/>
                <w:szCs w:val="24"/>
                <w:lang w:eastAsia="zh-CN"/>
              </w:rPr>
              <w:t>月</w:t>
            </w:r>
            <w:r>
              <w:rPr>
                <w:rFonts w:hint="eastAsia"/>
                <w:sz w:val="24"/>
                <w:szCs w:val="24"/>
                <w:lang w:val="en-US" w:eastAsia="zh-CN"/>
              </w:rPr>
              <w:t>20</w:t>
            </w:r>
            <w:r>
              <w:rPr>
                <w:rFonts w:hint="eastAsia"/>
                <w:sz w:val="24"/>
                <w:szCs w:val="24"/>
                <w:lang w:eastAsia="zh-CN"/>
              </w:rPr>
              <w:t>日上午</w:t>
            </w:r>
          </w:p>
        </w:tc>
      </w:tr>
      <w:tr w14:paraId="1D4C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8" w:type="dxa"/>
            <w:vAlign w:val="center"/>
          </w:tcPr>
          <w:p w14:paraId="129AD5D0">
            <w:pPr>
              <w:tabs>
                <w:tab w:val="left" w:pos="828"/>
              </w:tabs>
              <w:ind w:firstLine="240" w:firstLineChars="100"/>
              <w:jc w:val="center"/>
              <w:rPr>
                <w:sz w:val="24"/>
                <w:szCs w:val="24"/>
                <w:lang w:eastAsia="zh-CN"/>
              </w:rPr>
            </w:pPr>
            <w:r>
              <w:rPr>
                <w:rFonts w:hint="eastAsia"/>
                <w:sz w:val="24"/>
                <w:szCs w:val="24"/>
                <w:lang w:eastAsia="zh-CN"/>
              </w:rPr>
              <w:t>地点</w:t>
            </w:r>
          </w:p>
        </w:tc>
        <w:tc>
          <w:tcPr>
            <w:tcW w:w="7616" w:type="dxa"/>
            <w:vAlign w:val="center"/>
          </w:tcPr>
          <w:p w14:paraId="118EFEA1">
            <w:pPr>
              <w:pStyle w:val="11"/>
              <w:ind w:left="0"/>
              <w:jc w:val="both"/>
              <w:rPr>
                <w:sz w:val="24"/>
                <w:szCs w:val="24"/>
                <w:lang w:eastAsia="zh-CN"/>
              </w:rPr>
            </w:pPr>
            <w:r>
              <w:rPr>
                <w:rFonts w:hint="eastAsia"/>
                <w:sz w:val="24"/>
                <w:szCs w:val="24"/>
                <w:lang w:eastAsia="zh-CN"/>
              </w:rPr>
              <w:t>公司会议室</w:t>
            </w:r>
          </w:p>
        </w:tc>
      </w:tr>
      <w:tr w14:paraId="1028A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8" w:type="dxa"/>
            <w:vAlign w:val="center"/>
          </w:tcPr>
          <w:p w14:paraId="6BAD7E95">
            <w:pPr>
              <w:tabs>
                <w:tab w:val="left" w:pos="828"/>
              </w:tabs>
              <w:jc w:val="center"/>
              <w:rPr>
                <w:sz w:val="24"/>
                <w:szCs w:val="24"/>
                <w:lang w:eastAsia="zh-CN"/>
              </w:rPr>
            </w:pPr>
            <w:r>
              <w:rPr>
                <w:rFonts w:hint="eastAsia"/>
                <w:sz w:val="24"/>
                <w:szCs w:val="24"/>
                <w:lang w:eastAsia="zh-CN"/>
              </w:rPr>
              <w:t>上市公司接待人员姓名</w:t>
            </w:r>
          </w:p>
        </w:tc>
        <w:tc>
          <w:tcPr>
            <w:tcW w:w="7616" w:type="dxa"/>
            <w:vAlign w:val="center"/>
          </w:tcPr>
          <w:p w14:paraId="2BA405EC">
            <w:pPr>
              <w:pStyle w:val="11"/>
              <w:ind w:left="0"/>
              <w:jc w:val="both"/>
              <w:rPr>
                <w:rFonts w:hint="eastAsia"/>
                <w:sz w:val="24"/>
                <w:szCs w:val="24"/>
                <w:lang w:eastAsia="zh-CN"/>
              </w:rPr>
            </w:pPr>
            <w:r>
              <w:rPr>
                <w:rFonts w:hint="eastAsia"/>
                <w:sz w:val="24"/>
                <w:szCs w:val="24"/>
                <w:lang w:eastAsia="zh-CN"/>
              </w:rPr>
              <w:t>财务总监、董秘：李鹏鹏</w:t>
            </w:r>
          </w:p>
          <w:p w14:paraId="54E75BC8">
            <w:pPr>
              <w:pStyle w:val="11"/>
              <w:ind w:left="0"/>
              <w:jc w:val="both"/>
              <w:rPr>
                <w:rFonts w:hint="eastAsia"/>
                <w:sz w:val="24"/>
                <w:szCs w:val="24"/>
                <w:lang w:eastAsia="zh-CN"/>
              </w:rPr>
            </w:pPr>
            <w:r>
              <w:rPr>
                <w:rFonts w:hint="eastAsia"/>
                <w:sz w:val="24"/>
                <w:szCs w:val="24"/>
                <w:lang w:eastAsia="zh-CN"/>
              </w:rPr>
              <w:t>证券事务代表：夏圣炜</w:t>
            </w:r>
          </w:p>
          <w:p w14:paraId="6364AC98">
            <w:pPr>
              <w:pStyle w:val="11"/>
              <w:ind w:left="0"/>
              <w:jc w:val="both"/>
              <w:rPr>
                <w:rFonts w:hint="eastAsia"/>
                <w:sz w:val="24"/>
                <w:szCs w:val="24"/>
                <w:lang w:eastAsia="zh-CN"/>
              </w:rPr>
            </w:pPr>
            <w:r>
              <w:rPr>
                <w:rFonts w:hint="eastAsia"/>
                <w:sz w:val="24"/>
                <w:szCs w:val="24"/>
                <w:lang w:eastAsia="zh-CN"/>
              </w:rPr>
              <w:t>董事会办公室：周敏</w:t>
            </w:r>
          </w:p>
        </w:tc>
      </w:tr>
      <w:tr w14:paraId="45406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8" w:type="dxa"/>
            <w:vAlign w:val="center"/>
          </w:tcPr>
          <w:p w14:paraId="185E66D7">
            <w:pPr>
              <w:tabs>
                <w:tab w:val="left" w:pos="828"/>
              </w:tabs>
              <w:spacing w:line="360" w:lineRule="auto"/>
              <w:jc w:val="center"/>
              <w:rPr>
                <w:sz w:val="24"/>
                <w:szCs w:val="24"/>
                <w:lang w:eastAsia="zh-CN"/>
              </w:rPr>
            </w:pPr>
            <w:r>
              <w:rPr>
                <w:rFonts w:hint="eastAsia"/>
                <w:sz w:val="24"/>
                <w:szCs w:val="24"/>
                <w:lang w:eastAsia="zh-CN"/>
              </w:rPr>
              <w:t>投资者关系活动主要内容介绍</w:t>
            </w:r>
          </w:p>
        </w:tc>
        <w:tc>
          <w:tcPr>
            <w:tcW w:w="7616" w:type="dxa"/>
            <w:vAlign w:val="center"/>
          </w:tcPr>
          <w:p w14:paraId="32F763F7">
            <w:pPr>
              <w:spacing w:line="360" w:lineRule="auto"/>
              <w:jc w:val="both"/>
              <w:rPr>
                <w:b/>
                <w:bCs/>
                <w:sz w:val="24"/>
                <w:szCs w:val="24"/>
                <w:lang w:eastAsia="zh-CN"/>
              </w:rPr>
            </w:pPr>
            <w:r>
              <w:rPr>
                <w:rFonts w:hint="eastAsia"/>
                <w:b/>
                <w:bCs/>
                <w:sz w:val="24"/>
                <w:szCs w:val="24"/>
                <w:lang w:val="en-US" w:eastAsia="zh-CN"/>
              </w:rPr>
              <w:t>1</w:t>
            </w:r>
            <w:r>
              <w:rPr>
                <w:rFonts w:hint="eastAsia"/>
                <w:b/>
                <w:bCs/>
                <w:sz w:val="24"/>
                <w:szCs w:val="24"/>
                <w:lang w:eastAsia="zh-CN"/>
              </w:rPr>
              <w:t>、问：</w:t>
            </w:r>
            <w:r>
              <w:rPr>
                <w:rFonts w:hint="eastAsia"/>
                <w:b/>
                <w:bCs/>
                <w:sz w:val="24"/>
                <w:szCs w:val="24"/>
                <w:lang w:val="en-US" w:eastAsia="zh-CN"/>
              </w:rPr>
              <w:t>公司控股股东福马集团是否只有林海股份一家上市公司</w:t>
            </w:r>
            <w:r>
              <w:rPr>
                <w:rFonts w:hint="eastAsia"/>
                <w:b/>
                <w:bCs/>
                <w:sz w:val="24"/>
                <w:szCs w:val="24"/>
                <w:lang w:eastAsia="zh-CN"/>
              </w:rPr>
              <w:t>？</w:t>
            </w:r>
          </w:p>
          <w:p w14:paraId="2E95BE0B">
            <w:pPr>
              <w:spacing w:line="360" w:lineRule="auto"/>
              <w:jc w:val="both"/>
              <w:rPr>
                <w:rFonts w:hint="eastAsia"/>
                <w:sz w:val="24"/>
                <w:szCs w:val="24"/>
                <w:highlight w:val="none"/>
                <w:lang w:val="en-US" w:eastAsia="zh-CN"/>
              </w:rPr>
            </w:pPr>
            <w:r>
              <w:rPr>
                <w:rFonts w:hint="eastAsia"/>
                <w:sz w:val="24"/>
                <w:szCs w:val="24"/>
                <w:lang w:eastAsia="zh-CN"/>
              </w:rPr>
              <w:t>答：</w:t>
            </w:r>
            <w:r>
              <w:rPr>
                <w:rFonts w:hint="eastAsia"/>
                <w:sz w:val="24"/>
                <w:szCs w:val="24"/>
                <w:highlight w:val="none"/>
                <w:lang w:val="en-US" w:eastAsia="zh-CN"/>
              </w:rPr>
              <w:t>公司控股股东中国福马机械集团有限公司旗下仅有林海股份一家上市公司。</w:t>
            </w:r>
          </w:p>
          <w:p w14:paraId="1A44D66D">
            <w:pPr>
              <w:numPr>
                <w:ilvl w:val="0"/>
                <w:numId w:val="0"/>
              </w:numPr>
              <w:spacing w:line="360" w:lineRule="auto"/>
              <w:ind w:left="0" w:leftChars="0" w:firstLine="0" w:firstLineChars="0"/>
              <w:jc w:val="both"/>
              <w:rPr>
                <w:rFonts w:hint="eastAsia"/>
                <w:b/>
                <w:bCs/>
                <w:sz w:val="24"/>
                <w:szCs w:val="24"/>
                <w:lang w:val="en-US" w:eastAsia="zh-CN"/>
              </w:rPr>
            </w:pPr>
            <w:r>
              <w:rPr>
                <w:rFonts w:hint="eastAsia" w:cs="宋体"/>
                <w:b/>
                <w:bCs/>
                <w:sz w:val="24"/>
                <w:szCs w:val="24"/>
                <w:lang w:val="en-US" w:eastAsia="zh-CN" w:bidi="ar-SA"/>
              </w:rPr>
              <w:t>2</w:t>
            </w:r>
            <w:r>
              <w:rPr>
                <w:rFonts w:hint="eastAsia" w:ascii="宋体" w:hAnsi="宋体" w:eastAsia="宋体" w:cs="宋体"/>
                <w:b/>
                <w:bCs/>
                <w:sz w:val="24"/>
                <w:szCs w:val="24"/>
                <w:lang w:val="en-US" w:eastAsia="zh-CN" w:bidi="ar-SA"/>
              </w:rPr>
              <w:t>、</w:t>
            </w:r>
            <w:r>
              <w:rPr>
                <w:rFonts w:hint="eastAsia"/>
                <w:b/>
                <w:bCs/>
                <w:sz w:val="24"/>
                <w:szCs w:val="24"/>
                <w:lang w:val="en-US" w:eastAsia="zh-CN"/>
              </w:rPr>
              <w:t>问：公司核心业务及发展趋势如何？</w:t>
            </w:r>
          </w:p>
          <w:p w14:paraId="517AF7D7">
            <w:pPr>
              <w:spacing w:line="360" w:lineRule="auto"/>
              <w:jc w:val="both"/>
              <w:rPr>
                <w:rFonts w:hint="default"/>
                <w:sz w:val="24"/>
                <w:szCs w:val="24"/>
                <w:highlight w:val="none"/>
                <w:lang w:val="en-US" w:eastAsia="zh-CN"/>
              </w:rPr>
            </w:pPr>
            <w:r>
              <w:rPr>
                <w:rFonts w:hint="eastAsia"/>
                <w:sz w:val="24"/>
                <w:szCs w:val="24"/>
                <w:highlight w:val="none"/>
                <w:lang w:val="en-US" w:eastAsia="zh-CN"/>
              </w:rPr>
              <w:t>答：公司核心业务为以森林消防为主的消防机械业务、以插秧机为主的农业机械业务和以ATV全地形车为主的特种车辆业务。消防机械业务，随着各级政府对森林防火的重视，可以预见森林消防装备的需求将显著增长，同时针对不同地区、不同类型的森林火灾，多元化装备也将成为未来的发展趋势。农业机械业务，随着近几年农业现代化、农业机械化、农业规模化的发展，高速插秧机等高效率、自动化程度高的农业机械产品预计将保持良好的发展态势。特种车辆业务，由于其适用于不同地形，灵活性强等特点，应用非常广泛，全球范围内以休闲娱乐、赛事竞技、日常生活为用途的全地形车消费需求仍将保持较高水平，尤其在欧美等发达国家，全地形车已经成为一种流行的户外休闲工具，市场前景广阔。</w:t>
            </w:r>
          </w:p>
          <w:p w14:paraId="6D7DA186">
            <w:pPr>
              <w:spacing w:line="360" w:lineRule="auto"/>
              <w:jc w:val="both"/>
              <w:rPr>
                <w:rFonts w:hint="eastAsia"/>
                <w:b/>
                <w:bCs/>
                <w:sz w:val="24"/>
                <w:szCs w:val="24"/>
                <w:lang w:eastAsia="zh-CN"/>
              </w:rPr>
            </w:pPr>
            <w:r>
              <w:rPr>
                <w:rFonts w:hint="eastAsia"/>
                <w:b/>
                <w:bCs/>
                <w:sz w:val="24"/>
                <w:szCs w:val="24"/>
                <w:lang w:val="en-US" w:eastAsia="zh-CN"/>
              </w:rPr>
              <w:t>3</w:t>
            </w:r>
            <w:r>
              <w:rPr>
                <w:rFonts w:hint="eastAsia"/>
                <w:b/>
                <w:bCs/>
                <w:sz w:val="24"/>
                <w:szCs w:val="24"/>
                <w:lang w:eastAsia="zh-CN"/>
              </w:rPr>
              <w:t>、问：</w:t>
            </w:r>
            <w:r>
              <w:rPr>
                <w:rFonts w:hint="eastAsia"/>
                <w:b/>
                <w:bCs/>
                <w:sz w:val="24"/>
                <w:szCs w:val="24"/>
                <w:lang w:val="en-US" w:eastAsia="zh-CN"/>
              </w:rPr>
              <w:t>目前公司对外出口的主要是哪些产品</w:t>
            </w:r>
            <w:r>
              <w:rPr>
                <w:rFonts w:hint="eastAsia"/>
                <w:b/>
                <w:bCs/>
                <w:sz w:val="24"/>
                <w:szCs w:val="24"/>
                <w:lang w:eastAsia="zh-CN"/>
              </w:rPr>
              <w:t>？是自营出口还是通过第三方进行代理出口？</w:t>
            </w:r>
          </w:p>
          <w:p w14:paraId="68451FC4">
            <w:pPr>
              <w:spacing w:line="360" w:lineRule="auto"/>
              <w:jc w:val="both"/>
              <w:rPr>
                <w:rFonts w:hint="default"/>
                <w:sz w:val="24"/>
                <w:szCs w:val="24"/>
                <w:highlight w:val="none"/>
                <w:lang w:val="en-US" w:eastAsia="zh-CN"/>
              </w:rPr>
            </w:pPr>
            <w:r>
              <w:rPr>
                <w:rFonts w:hint="eastAsia"/>
                <w:sz w:val="24"/>
                <w:szCs w:val="24"/>
                <w:lang w:eastAsia="zh-CN"/>
              </w:rPr>
              <w:t>答：公司主要出口产品为林海自主研发、生产的</w:t>
            </w:r>
            <w:r>
              <w:rPr>
                <w:rFonts w:hint="eastAsia"/>
                <w:sz w:val="24"/>
                <w:szCs w:val="24"/>
                <w:lang w:val="en-US" w:eastAsia="zh-CN"/>
              </w:rPr>
              <w:t>ATV全地形车和摩托车产品，公司出口方式主要为自营出口。</w:t>
            </w:r>
          </w:p>
          <w:p w14:paraId="3AC2524A">
            <w:pPr>
              <w:spacing w:line="360" w:lineRule="auto"/>
              <w:jc w:val="both"/>
              <w:rPr>
                <w:b/>
                <w:bCs/>
                <w:sz w:val="24"/>
                <w:szCs w:val="24"/>
                <w:lang w:eastAsia="zh-CN"/>
              </w:rPr>
            </w:pPr>
            <w:r>
              <w:rPr>
                <w:rFonts w:hint="eastAsia"/>
                <w:b/>
                <w:bCs/>
                <w:sz w:val="24"/>
                <w:szCs w:val="24"/>
                <w:lang w:val="en-US" w:eastAsia="zh-CN"/>
              </w:rPr>
              <w:t>4</w:t>
            </w:r>
            <w:r>
              <w:rPr>
                <w:rFonts w:hint="eastAsia"/>
                <w:b/>
                <w:bCs/>
                <w:sz w:val="24"/>
                <w:szCs w:val="24"/>
                <w:lang w:eastAsia="zh-CN"/>
              </w:rPr>
              <w:t>、问：全地形车国内有卖吗，全地形车国内用途是什么？</w:t>
            </w:r>
          </w:p>
          <w:p w14:paraId="1D9F5F47">
            <w:pPr>
              <w:spacing w:line="360" w:lineRule="auto"/>
              <w:jc w:val="both"/>
              <w:rPr>
                <w:rFonts w:hint="eastAsia"/>
                <w:sz w:val="24"/>
                <w:szCs w:val="24"/>
                <w:lang w:eastAsia="zh-CN"/>
              </w:rPr>
            </w:pPr>
            <w:r>
              <w:rPr>
                <w:rFonts w:hint="eastAsia"/>
                <w:sz w:val="24"/>
                <w:szCs w:val="24"/>
                <w:lang w:eastAsia="zh-CN"/>
              </w:rPr>
              <w:t>答：公司特种车辆的国内销售主要分为两类，一是专业用途车辆销售，主要用于消防、巡逻等；二是休闲娱乐用途车辆销售，主要用于非道路休闲娱乐、旅游景区娱乐项目等。</w:t>
            </w:r>
          </w:p>
          <w:p w14:paraId="5CD804CC">
            <w:pPr>
              <w:numPr>
                <w:ilvl w:val="0"/>
                <w:numId w:val="0"/>
              </w:numPr>
              <w:spacing w:line="360" w:lineRule="auto"/>
              <w:jc w:val="both"/>
              <w:rPr>
                <w:rFonts w:hint="eastAsia"/>
                <w:b/>
                <w:bCs/>
                <w:sz w:val="24"/>
                <w:szCs w:val="24"/>
                <w:lang w:val="en-US" w:eastAsia="zh-CN"/>
              </w:rPr>
            </w:pPr>
            <w:r>
              <w:rPr>
                <w:rFonts w:hint="eastAsia" w:cs="宋体"/>
                <w:b/>
                <w:bCs/>
                <w:sz w:val="24"/>
                <w:szCs w:val="24"/>
                <w:lang w:val="en-US" w:eastAsia="zh-CN" w:bidi="ar-SA"/>
              </w:rPr>
              <w:t>5</w:t>
            </w:r>
            <w:r>
              <w:rPr>
                <w:rFonts w:hint="eastAsia" w:ascii="宋体" w:hAnsi="宋体" w:eastAsia="宋体" w:cs="宋体"/>
                <w:b/>
                <w:bCs/>
                <w:sz w:val="24"/>
                <w:szCs w:val="24"/>
                <w:lang w:val="en-US" w:eastAsia="zh-CN" w:bidi="ar-SA"/>
              </w:rPr>
              <w:t>、</w:t>
            </w:r>
            <w:r>
              <w:rPr>
                <w:rFonts w:hint="eastAsia"/>
                <w:b/>
                <w:bCs/>
                <w:sz w:val="24"/>
                <w:szCs w:val="24"/>
                <w:lang w:val="en-US" w:eastAsia="zh-CN"/>
              </w:rPr>
              <w:t>问：公司消防机械、农业机械主要销售对象？</w:t>
            </w:r>
          </w:p>
          <w:p w14:paraId="6CC1D53A">
            <w:pPr>
              <w:numPr>
                <w:ilvl w:val="0"/>
                <w:numId w:val="0"/>
              </w:numPr>
              <w:spacing w:line="360" w:lineRule="auto"/>
              <w:jc w:val="both"/>
              <w:rPr>
                <w:rFonts w:hint="default"/>
                <w:sz w:val="24"/>
                <w:szCs w:val="24"/>
                <w:lang w:val="en-US" w:eastAsia="zh-CN"/>
              </w:rPr>
            </w:pPr>
            <w:r>
              <w:rPr>
                <w:rFonts w:hint="eastAsia"/>
                <w:sz w:val="24"/>
                <w:szCs w:val="24"/>
                <w:lang w:val="en-US" w:eastAsia="zh-CN"/>
              </w:rPr>
              <w:t>答：公司消防机械业务主要专注于森林消防机械细分行业，该行业客户多为政府部门；公司农业机械产品所属行业为插秧机细分行业，产品包括手扶插秧机、高速插秧机等，主要销售对象为个体农户和农业合作社等。</w:t>
            </w:r>
          </w:p>
          <w:p w14:paraId="14DCD59D">
            <w:pPr>
              <w:numPr>
                <w:ilvl w:val="0"/>
                <w:numId w:val="0"/>
              </w:numPr>
              <w:spacing w:line="360" w:lineRule="auto"/>
              <w:ind w:left="0" w:leftChars="0" w:firstLine="0" w:firstLineChars="0"/>
              <w:jc w:val="both"/>
              <w:rPr>
                <w:rFonts w:hint="eastAsia"/>
                <w:b/>
                <w:bCs/>
                <w:sz w:val="24"/>
                <w:szCs w:val="24"/>
                <w:lang w:val="en-US" w:eastAsia="zh-CN"/>
              </w:rPr>
            </w:pPr>
            <w:r>
              <w:rPr>
                <w:rFonts w:hint="eastAsia" w:cs="宋体"/>
                <w:b/>
                <w:bCs/>
                <w:sz w:val="24"/>
                <w:szCs w:val="24"/>
                <w:lang w:val="en-US" w:eastAsia="zh-CN" w:bidi="ar-SA"/>
              </w:rPr>
              <w:t>6</w:t>
            </w:r>
            <w:r>
              <w:rPr>
                <w:rFonts w:hint="eastAsia" w:ascii="宋体" w:hAnsi="宋体" w:eastAsia="宋体" w:cs="宋体"/>
                <w:b/>
                <w:bCs/>
                <w:sz w:val="24"/>
                <w:szCs w:val="24"/>
                <w:lang w:val="en-US" w:eastAsia="zh-CN" w:bidi="ar-SA"/>
              </w:rPr>
              <w:t>、</w:t>
            </w:r>
            <w:r>
              <w:rPr>
                <w:rFonts w:hint="eastAsia"/>
                <w:b/>
                <w:bCs/>
                <w:sz w:val="24"/>
                <w:szCs w:val="24"/>
                <w:lang w:val="en-US" w:eastAsia="zh-CN"/>
              </w:rPr>
              <w:t>问：公司产品有哪些亮点或优势？</w:t>
            </w:r>
          </w:p>
          <w:p w14:paraId="4586ACE3">
            <w:pPr>
              <w:numPr>
                <w:ilvl w:val="0"/>
                <w:numId w:val="0"/>
              </w:numPr>
              <w:spacing w:line="360" w:lineRule="auto"/>
              <w:ind w:leftChars="0"/>
              <w:jc w:val="both"/>
              <w:rPr>
                <w:rFonts w:hint="default"/>
                <w:sz w:val="24"/>
                <w:szCs w:val="24"/>
                <w:highlight w:val="none"/>
                <w:lang w:val="en-US" w:eastAsia="zh-CN"/>
              </w:rPr>
            </w:pPr>
            <w:r>
              <w:rPr>
                <w:rFonts w:hint="eastAsia"/>
                <w:sz w:val="24"/>
                <w:szCs w:val="24"/>
                <w:lang w:val="en-US" w:eastAsia="zh-CN"/>
              </w:rPr>
              <w:t>答：消防机械产品主要有森林消防泵、全地形消防车等，公司消防泵技术水平、性能等在行业中处于领先地位，近年来推出的智能串联森林消防泵更是富集了多种智能化、自动化要素。全地形消防车则结合了全地形车的高通过性和消防设备的专业性，兼具了林海全地形车和森林消防泵的优势。农业机械产品在市场具有较为强劲的竞争力，主要体现在一是具有突出的质量优势，公司主导产品质量较为优异；二是公司产品品类齐全，已经基本覆盖市场所有型号，且部分核心主导产品实现了与国外品牌的性能对标；三是具有完善的市场体系和售后服务体系，公司在全国主要市场构建了成熟的营销网络和售后服务网络。全地形车产品，以LH500ATV系列为代表的多用途ATV全地形车，最高车速、最大功率、升功率、最大扭矩、油耗等性能指标都达到了国内外同类产品的先进水平，公司已形成了从150CC-1000CC小、中、大排量机型以及电动特种车全品种系列，在主要海外市场享有良好的知名度。</w:t>
            </w:r>
          </w:p>
        </w:tc>
      </w:tr>
      <w:tr w14:paraId="4E3A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8" w:type="dxa"/>
          </w:tcPr>
          <w:p w14:paraId="4DFF07CD">
            <w:pPr>
              <w:pStyle w:val="11"/>
              <w:spacing w:before="41"/>
              <w:ind w:left="105" w:right="-19"/>
              <w:jc w:val="center"/>
              <w:rPr>
                <w:rFonts w:hint="eastAsia"/>
                <w:spacing w:val="0"/>
                <w:sz w:val="24"/>
                <w:szCs w:val="24"/>
              </w:rPr>
            </w:pPr>
            <w:r>
              <w:rPr>
                <w:rFonts w:hint="eastAsia"/>
                <w:spacing w:val="0"/>
                <w:sz w:val="24"/>
                <w:szCs w:val="24"/>
              </w:rPr>
              <w:t>附件清单</w:t>
            </w:r>
          </w:p>
          <w:p w14:paraId="205C156D">
            <w:pPr>
              <w:pStyle w:val="11"/>
              <w:spacing w:before="41"/>
              <w:ind w:left="105" w:right="-19"/>
              <w:jc w:val="center"/>
              <w:rPr>
                <w:sz w:val="24"/>
                <w:szCs w:val="24"/>
                <w:lang w:eastAsia="zh-CN"/>
              </w:rPr>
            </w:pPr>
            <w:r>
              <w:rPr>
                <w:rFonts w:hint="eastAsia"/>
                <w:spacing w:val="0"/>
                <w:sz w:val="24"/>
                <w:szCs w:val="24"/>
                <w:lang w:eastAsia="zh-CN"/>
              </w:rPr>
              <w:t>(如有)</w:t>
            </w:r>
          </w:p>
        </w:tc>
        <w:tc>
          <w:tcPr>
            <w:tcW w:w="7616" w:type="dxa"/>
            <w:vAlign w:val="center"/>
          </w:tcPr>
          <w:p w14:paraId="1697C568">
            <w:pPr>
              <w:pStyle w:val="11"/>
              <w:spacing w:before="41"/>
              <w:ind w:left="105" w:right="-19"/>
              <w:jc w:val="both"/>
              <w:rPr>
                <w:sz w:val="24"/>
                <w:szCs w:val="24"/>
                <w:lang w:eastAsia="zh-CN"/>
              </w:rPr>
            </w:pPr>
            <w:r>
              <w:rPr>
                <w:rFonts w:hint="eastAsia"/>
                <w:sz w:val="24"/>
                <w:szCs w:val="24"/>
                <w:lang w:eastAsia="zh-CN"/>
              </w:rPr>
              <w:t>无</w:t>
            </w:r>
          </w:p>
        </w:tc>
      </w:tr>
      <w:tr w14:paraId="666FB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78" w:type="dxa"/>
          </w:tcPr>
          <w:p w14:paraId="2C2CDF6F">
            <w:pPr>
              <w:pStyle w:val="11"/>
              <w:spacing w:before="108"/>
              <w:ind w:left="105"/>
              <w:jc w:val="center"/>
              <w:rPr>
                <w:sz w:val="24"/>
                <w:szCs w:val="24"/>
                <w:lang w:eastAsia="zh-CN"/>
              </w:rPr>
            </w:pPr>
            <w:r>
              <w:rPr>
                <w:rFonts w:hint="eastAsia"/>
                <w:sz w:val="24"/>
                <w:szCs w:val="24"/>
              </w:rPr>
              <w:t>日期</w:t>
            </w:r>
          </w:p>
        </w:tc>
        <w:tc>
          <w:tcPr>
            <w:tcW w:w="7616" w:type="dxa"/>
          </w:tcPr>
          <w:p w14:paraId="743E92C8">
            <w:pPr>
              <w:pStyle w:val="11"/>
              <w:spacing w:before="108"/>
              <w:jc w:val="both"/>
              <w:rPr>
                <w:sz w:val="24"/>
                <w:szCs w:val="24"/>
                <w:lang w:eastAsia="zh-CN"/>
              </w:rPr>
            </w:pPr>
            <w:r>
              <w:rPr>
                <w:rFonts w:hint="eastAsia"/>
                <w:sz w:val="24"/>
                <w:szCs w:val="24"/>
                <w:lang w:eastAsia="zh-CN"/>
              </w:rPr>
              <w:t>202</w:t>
            </w:r>
            <w:r>
              <w:rPr>
                <w:rFonts w:hint="eastAsia"/>
                <w:sz w:val="24"/>
                <w:szCs w:val="24"/>
                <w:lang w:val="en-US" w:eastAsia="zh-CN"/>
              </w:rPr>
              <w:t>5</w:t>
            </w:r>
            <w:r>
              <w:rPr>
                <w:rFonts w:hint="eastAsia"/>
                <w:sz w:val="24"/>
                <w:szCs w:val="24"/>
              </w:rPr>
              <w:t>年</w:t>
            </w:r>
            <w:r>
              <w:rPr>
                <w:rFonts w:hint="eastAsia"/>
                <w:sz w:val="24"/>
                <w:szCs w:val="24"/>
                <w:lang w:val="en-US" w:eastAsia="zh-CN"/>
              </w:rPr>
              <w:t>6</w:t>
            </w:r>
            <w:r>
              <w:rPr>
                <w:rFonts w:hint="eastAsia"/>
                <w:sz w:val="24"/>
                <w:szCs w:val="24"/>
              </w:rPr>
              <w:t>月</w:t>
            </w:r>
            <w:r>
              <w:rPr>
                <w:rFonts w:hint="eastAsia"/>
                <w:sz w:val="24"/>
                <w:szCs w:val="24"/>
                <w:lang w:val="en-US" w:eastAsia="zh-CN"/>
              </w:rPr>
              <w:t>20</w:t>
            </w:r>
            <w:r>
              <w:rPr>
                <w:rFonts w:hint="eastAsia"/>
                <w:sz w:val="24"/>
                <w:szCs w:val="24"/>
              </w:rPr>
              <w:t>日</w:t>
            </w:r>
          </w:p>
        </w:tc>
      </w:tr>
    </w:tbl>
    <w:p w14:paraId="1835FF4E">
      <w:pPr>
        <w:keepNext w:val="0"/>
        <w:keepLines w:val="0"/>
        <w:pageBreakBefore w:val="0"/>
        <w:widowControl w:val="0"/>
        <w:kinsoku/>
        <w:wordWrap/>
        <w:overflowPunct/>
        <w:topLinePunct w:val="0"/>
        <w:autoSpaceDE w:val="0"/>
        <w:autoSpaceDN w:val="0"/>
        <w:bidi w:val="0"/>
        <w:adjustRightInd/>
        <w:snapToGrid/>
        <w:spacing w:line="20" w:lineRule="exact"/>
        <w:textAlignment w:val="auto"/>
      </w:pPr>
      <w:bookmarkStart w:id="0" w:name="_GoBack"/>
      <w:bookmarkEnd w:id="0"/>
    </w:p>
    <w:sectPr>
      <w:pgSz w:w="11910" w:h="16840"/>
      <w:pgMar w:top="1191" w:right="1560" w:bottom="1134"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mOGViMzE5ZjYzMmFmZTRmNTQwZDMzNzk2ODdhYmYifQ=="/>
  </w:docVars>
  <w:rsids>
    <w:rsidRoot w:val="002E6828"/>
    <w:rsid w:val="0007798A"/>
    <w:rsid w:val="000A18FB"/>
    <w:rsid w:val="00231C2F"/>
    <w:rsid w:val="002E6828"/>
    <w:rsid w:val="00312CD5"/>
    <w:rsid w:val="00361CDA"/>
    <w:rsid w:val="00521AB5"/>
    <w:rsid w:val="00574784"/>
    <w:rsid w:val="006932BD"/>
    <w:rsid w:val="006D2A98"/>
    <w:rsid w:val="006F5F10"/>
    <w:rsid w:val="00746E46"/>
    <w:rsid w:val="007C6E95"/>
    <w:rsid w:val="00875AC1"/>
    <w:rsid w:val="009153DF"/>
    <w:rsid w:val="00967F00"/>
    <w:rsid w:val="00976781"/>
    <w:rsid w:val="00A15C49"/>
    <w:rsid w:val="00AB59E5"/>
    <w:rsid w:val="00AE5207"/>
    <w:rsid w:val="00BD006A"/>
    <w:rsid w:val="00CA511F"/>
    <w:rsid w:val="00E37B6C"/>
    <w:rsid w:val="00EA2D10"/>
    <w:rsid w:val="01115C7F"/>
    <w:rsid w:val="01315624"/>
    <w:rsid w:val="014F4893"/>
    <w:rsid w:val="02713DE6"/>
    <w:rsid w:val="02A23DA7"/>
    <w:rsid w:val="02DF2093"/>
    <w:rsid w:val="043438CC"/>
    <w:rsid w:val="0453511D"/>
    <w:rsid w:val="055D1082"/>
    <w:rsid w:val="05784265"/>
    <w:rsid w:val="058E2A81"/>
    <w:rsid w:val="05C55124"/>
    <w:rsid w:val="06AD6F44"/>
    <w:rsid w:val="06CE1DB6"/>
    <w:rsid w:val="07A71460"/>
    <w:rsid w:val="07BC2556"/>
    <w:rsid w:val="08517DBF"/>
    <w:rsid w:val="08A21AF3"/>
    <w:rsid w:val="08B945CC"/>
    <w:rsid w:val="08CC6078"/>
    <w:rsid w:val="0A375EC4"/>
    <w:rsid w:val="0A3E69D1"/>
    <w:rsid w:val="0A5346D9"/>
    <w:rsid w:val="0A7B67B1"/>
    <w:rsid w:val="0AB063A2"/>
    <w:rsid w:val="0ABF74D6"/>
    <w:rsid w:val="0B272912"/>
    <w:rsid w:val="0BF51F2D"/>
    <w:rsid w:val="0C0C702E"/>
    <w:rsid w:val="0C3E5B31"/>
    <w:rsid w:val="0D036452"/>
    <w:rsid w:val="0D6E60A1"/>
    <w:rsid w:val="0DB3350E"/>
    <w:rsid w:val="0DB6446C"/>
    <w:rsid w:val="0DC97929"/>
    <w:rsid w:val="0E86745E"/>
    <w:rsid w:val="0EE007E8"/>
    <w:rsid w:val="0EE82616"/>
    <w:rsid w:val="0F5E6042"/>
    <w:rsid w:val="0F707EAE"/>
    <w:rsid w:val="0FD43597"/>
    <w:rsid w:val="0FEC6BCB"/>
    <w:rsid w:val="0FF15885"/>
    <w:rsid w:val="10A12FE8"/>
    <w:rsid w:val="10FD7E68"/>
    <w:rsid w:val="11041023"/>
    <w:rsid w:val="113D38F1"/>
    <w:rsid w:val="12A66F27"/>
    <w:rsid w:val="12C67C4E"/>
    <w:rsid w:val="13695D54"/>
    <w:rsid w:val="136D1608"/>
    <w:rsid w:val="136F47F2"/>
    <w:rsid w:val="1442760C"/>
    <w:rsid w:val="14DF4854"/>
    <w:rsid w:val="14E76E65"/>
    <w:rsid w:val="155928BA"/>
    <w:rsid w:val="15B900D5"/>
    <w:rsid w:val="161C07B7"/>
    <w:rsid w:val="169052DA"/>
    <w:rsid w:val="16CB2F83"/>
    <w:rsid w:val="16D87002"/>
    <w:rsid w:val="173059AA"/>
    <w:rsid w:val="179E5E79"/>
    <w:rsid w:val="186B56B7"/>
    <w:rsid w:val="18E473A1"/>
    <w:rsid w:val="190C0403"/>
    <w:rsid w:val="1989323D"/>
    <w:rsid w:val="19D572A1"/>
    <w:rsid w:val="1A4E5290"/>
    <w:rsid w:val="1A6D0C8B"/>
    <w:rsid w:val="1A907657"/>
    <w:rsid w:val="1AE206AC"/>
    <w:rsid w:val="1B554FAF"/>
    <w:rsid w:val="1B920372"/>
    <w:rsid w:val="1C552DE0"/>
    <w:rsid w:val="1C5B2381"/>
    <w:rsid w:val="1CEC5203"/>
    <w:rsid w:val="1CEE21B7"/>
    <w:rsid w:val="1D7F75D2"/>
    <w:rsid w:val="1D8F4263"/>
    <w:rsid w:val="1E047E92"/>
    <w:rsid w:val="1E0C793C"/>
    <w:rsid w:val="1E105E8F"/>
    <w:rsid w:val="1E991657"/>
    <w:rsid w:val="1ED206A0"/>
    <w:rsid w:val="1F664E2A"/>
    <w:rsid w:val="20B214F5"/>
    <w:rsid w:val="20B83B8F"/>
    <w:rsid w:val="20FD60D7"/>
    <w:rsid w:val="214722C6"/>
    <w:rsid w:val="21504FB2"/>
    <w:rsid w:val="21A1645C"/>
    <w:rsid w:val="22291070"/>
    <w:rsid w:val="22C7660E"/>
    <w:rsid w:val="2302255A"/>
    <w:rsid w:val="233223D1"/>
    <w:rsid w:val="235E43E6"/>
    <w:rsid w:val="23612F59"/>
    <w:rsid w:val="23796BA7"/>
    <w:rsid w:val="23A9597F"/>
    <w:rsid w:val="23D9206E"/>
    <w:rsid w:val="24BB5C18"/>
    <w:rsid w:val="24DA5304"/>
    <w:rsid w:val="252A374A"/>
    <w:rsid w:val="255D589C"/>
    <w:rsid w:val="27377EA1"/>
    <w:rsid w:val="28405D8F"/>
    <w:rsid w:val="28FF1DA8"/>
    <w:rsid w:val="291135F5"/>
    <w:rsid w:val="295F0625"/>
    <w:rsid w:val="29D84B76"/>
    <w:rsid w:val="29E76B67"/>
    <w:rsid w:val="2A2C599F"/>
    <w:rsid w:val="2A973C48"/>
    <w:rsid w:val="2AA61ED3"/>
    <w:rsid w:val="2B8B0885"/>
    <w:rsid w:val="2B93734B"/>
    <w:rsid w:val="2BD15D21"/>
    <w:rsid w:val="2BE912BD"/>
    <w:rsid w:val="2C755F41"/>
    <w:rsid w:val="2C775033"/>
    <w:rsid w:val="2D0732A2"/>
    <w:rsid w:val="2D120D1F"/>
    <w:rsid w:val="2D7E3C87"/>
    <w:rsid w:val="2D937732"/>
    <w:rsid w:val="2DB25727"/>
    <w:rsid w:val="2DBF68A0"/>
    <w:rsid w:val="2DD502B1"/>
    <w:rsid w:val="2DED6716"/>
    <w:rsid w:val="2E0E596E"/>
    <w:rsid w:val="2E110F39"/>
    <w:rsid w:val="2EA9088F"/>
    <w:rsid w:val="2F9F7938"/>
    <w:rsid w:val="2FC15979"/>
    <w:rsid w:val="301F61D4"/>
    <w:rsid w:val="308524BB"/>
    <w:rsid w:val="30915A7F"/>
    <w:rsid w:val="30A95287"/>
    <w:rsid w:val="30DF2C8E"/>
    <w:rsid w:val="30F87468"/>
    <w:rsid w:val="310F4508"/>
    <w:rsid w:val="31BD307D"/>
    <w:rsid w:val="32D13BDA"/>
    <w:rsid w:val="32FA693C"/>
    <w:rsid w:val="33355F17"/>
    <w:rsid w:val="33CB3404"/>
    <w:rsid w:val="3513017D"/>
    <w:rsid w:val="353A5AEE"/>
    <w:rsid w:val="360511C1"/>
    <w:rsid w:val="369B2F2B"/>
    <w:rsid w:val="36C76516"/>
    <w:rsid w:val="37416463"/>
    <w:rsid w:val="3751287A"/>
    <w:rsid w:val="379E29EC"/>
    <w:rsid w:val="37AB5678"/>
    <w:rsid w:val="3822004A"/>
    <w:rsid w:val="38AF5476"/>
    <w:rsid w:val="38DF70B8"/>
    <w:rsid w:val="39352EA1"/>
    <w:rsid w:val="393F0F12"/>
    <w:rsid w:val="395D0BF4"/>
    <w:rsid w:val="39A83CA4"/>
    <w:rsid w:val="39C41ADC"/>
    <w:rsid w:val="39FC21BB"/>
    <w:rsid w:val="3A1754D5"/>
    <w:rsid w:val="3A7D77A0"/>
    <w:rsid w:val="3AA47AD5"/>
    <w:rsid w:val="3B7E311A"/>
    <w:rsid w:val="3C037BBF"/>
    <w:rsid w:val="3C220374"/>
    <w:rsid w:val="3C757998"/>
    <w:rsid w:val="3CF81FA4"/>
    <w:rsid w:val="3D0C1550"/>
    <w:rsid w:val="3D295820"/>
    <w:rsid w:val="3D5A3DC8"/>
    <w:rsid w:val="3D8976D5"/>
    <w:rsid w:val="3E0F588E"/>
    <w:rsid w:val="3E5208B0"/>
    <w:rsid w:val="3EF42A4B"/>
    <w:rsid w:val="3F0F2990"/>
    <w:rsid w:val="3F45474E"/>
    <w:rsid w:val="40430E17"/>
    <w:rsid w:val="406E5A9F"/>
    <w:rsid w:val="406E7B8B"/>
    <w:rsid w:val="41C22FD4"/>
    <w:rsid w:val="41E35778"/>
    <w:rsid w:val="42D950B7"/>
    <w:rsid w:val="436037BB"/>
    <w:rsid w:val="43947A22"/>
    <w:rsid w:val="43B840E5"/>
    <w:rsid w:val="44352E99"/>
    <w:rsid w:val="445826E4"/>
    <w:rsid w:val="447913A7"/>
    <w:rsid w:val="449832F3"/>
    <w:rsid w:val="44CD6516"/>
    <w:rsid w:val="450B1E4C"/>
    <w:rsid w:val="454011EB"/>
    <w:rsid w:val="457A48DC"/>
    <w:rsid w:val="45C57174"/>
    <w:rsid w:val="45D52834"/>
    <w:rsid w:val="45FE037A"/>
    <w:rsid w:val="48AF713A"/>
    <w:rsid w:val="496E4757"/>
    <w:rsid w:val="49ED7F9F"/>
    <w:rsid w:val="4A063A00"/>
    <w:rsid w:val="4A2424E8"/>
    <w:rsid w:val="4A8C0F22"/>
    <w:rsid w:val="4A9326C8"/>
    <w:rsid w:val="4B0C247A"/>
    <w:rsid w:val="4B4B7714"/>
    <w:rsid w:val="4B4E7897"/>
    <w:rsid w:val="4BA833BF"/>
    <w:rsid w:val="4BD00792"/>
    <w:rsid w:val="4C7C2C83"/>
    <w:rsid w:val="4C852A0C"/>
    <w:rsid w:val="4CAA5AA7"/>
    <w:rsid w:val="4CB2425D"/>
    <w:rsid w:val="4CDD1FE8"/>
    <w:rsid w:val="4D6270CE"/>
    <w:rsid w:val="4DA34B85"/>
    <w:rsid w:val="4DEE3CA1"/>
    <w:rsid w:val="4E2875CB"/>
    <w:rsid w:val="4E5626C3"/>
    <w:rsid w:val="4ECC7F56"/>
    <w:rsid w:val="4F0B6405"/>
    <w:rsid w:val="4F1E7C08"/>
    <w:rsid w:val="50632B3C"/>
    <w:rsid w:val="508C3766"/>
    <w:rsid w:val="50FF1F51"/>
    <w:rsid w:val="512027DB"/>
    <w:rsid w:val="512C739B"/>
    <w:rsid w:val="51772FC4"/>
    <w:rsid w:val="51A06D10"/>
    <w:rsid w:val="5277788F"/>
    <w:rsid w:val="530E3233"/>
    <w:rsid w:val="53B37937"/>
    <w:rsid w:val="53E47AF0"/>
    <w:rsid w:val="54152401"/>
    <w:rsid w:val="54961A63"/>
    <w:rsid w:val="54A97D77"/>
    <w:rsid w:val="55A27C63"/>
    <w:rsid w:val="56335942"/>
    <w:rsid w:val="569435F9"/>
    <w:rsid w:val="56BC3940"/>
    <w:rsid w:val="578C3E5D"/>
    <w:rsid w:val="57D62EBD"/>
    <w:rsid w:val="58584F66"/>
    <w:rsid w:val="58CC7966"/>
    <w:rsid w:val="58D81BED"/>
    <w:rsid w:val="58D96EF9"/>
    <w:rsid w:val="594628AC"/>
    <w:rsid w:val="598A4430"/>
    <w:rsid w:val="59910E77"/>
    <w:rsid w:val="5A65081C"/>
    <w:rsid w:val="5A73308E"/>
    <w:rsid w:val="5ABE0C8A"/>
    <w:rsid w:val="5B58738C"/>
    <w:rsid w:val="5B741EAE"/>
    <w:rsid w:val="5C2B04AE"/>
    <w:rsid w:val="5C7232A0"/>
    <w:rsid w:val="5D4F4649"/>
    <w:rsid w:val="5E880D7F"/>
    <w:rsid w:val="5E9C2F2A"/>
    <w:rsid w:val="5FB46F10"/>
    <w:rsid w:val="600A4823"/>
    <w:rsid w:val="613C71BD"/>
    <w:rsid w:val="61442516"/>
    <w:rsid w:val="61BA27D8"/>
    <w:rsid w:val="61FE12C4"/>
    <w:rsid w:val="62952C2D"/>
    <w:rsid w:val="62F37D50"/>
    <w:rsid w:val="630540BC"/>
    <w:rsid w:val="631E7A1B"/>
    <w:rsid w:val="639D5D2C"/>
    <w:rsid w:val="6491140D"/>
    <w:rsid w:val="65460A60"/>
    <w:rsid w:val="65DC04C1"/>
    <w:rsid w:val="66200D3B"/>
    <w:rsid w:val="670C6F9F"/>
    <w:rsid w:val="67E67104"/>
    <w:rsid w:val="67EC7C5F"/>
    <w:rsid w:val="682D01BF"/>
    <w:rsid w:val="685F19E3"/>
    <w:rsid w:val="68C1134F"/>
    <w:rsid w:val="697D2657"/>
    <w:rsid w:val="699B74F7"/>
    <w:rsid w:val="69D81A4D"/>
    <w:rsid w:val="6A471FB6"/>
    <w:rsid w:val="6AC06E16"/>
    <w:rsid w:val="6B550E39"/>
    <w:rsid w:val="6C0A3F26"/>
    <w:rsid w:val="6C1D45C3"/>
    <w:rsid w:val="6CA4236F"/>
    <w:rsid w:val="6DD016BD"/>
    <w:rsid w:val="6DF84BAC"/>
    <w:rsid w:val="6E5378F4"/>
    <w:rsid w:val="6E661BB9"/>
    <w:rsid w:val="6E917B1B"/>
    <w:rsid w:val="6E9835BF"/>
    <w:rsid w:val="6FF670D1"/>
    <w:rsid w:val="70971289"/>
    <w:rsid w:val="70DF5C52"/>
    <w:rsid w:val="71094BE2"/>
    <w:rsid w:val="711B2179"/>
    <w:rsid w:val="71744751"/>
    <w:rsid w:val="71C034F3"/>
    <w:rsid w:val="725620A9"/>
    <w:rsid w:val="725A3947"/>
    <w:rsid w:val="72800D0F"/>
    <w:rsid w:val="72905A21"/>
    <w:rsid w:val="72C94629"/>
    <w:rsid w:val="72E47908"/>
    <w:rsid w:val="73663A5B"/>
    <w:rsid w:val="737D2E0A"/>
    <w:rsid w:val="745B6F20"/>
    <w:rsid w:val="753049E3"/>
    <w:rsid w:val="758C3782"/>
    <w:rsid w:val="75DF5F11"/>
    <w:rsid w:val="76A612DF"/>
    <w:rsid w:val="76AE6010"/>
    <w:rsid w:val="77212C85"/>
    <w:rsid w:val="777A7E82"/>
    <w:rsid w:val="778A27EE"/>
    <w:rsid w:val="786F2929"/>
    <w:rsid w:val="78847479"/>
    <w:rsid w:val="788E099A"/>
    <w:rsid w:val="78C9316E"/>
    <w:rsid w:val="78CE00ED"/>
    <w:rsid w:val="78DE0F24"/>
    <w:rsid w:val="796E5475"/>
    <w:rsid w:val="7A0B3E64"/>
    <w:rsid w:val="7A8A0AC1"/>
    <w:rsid w:val="7AF4245F"/>
    <w:rsid w:val="7AF81CD8"/>
    <w:rsid w:val="7BA12DAD"/>
    <w:rsid w:val="7BAB5214"/>
    <w:rsid w:val="7BBD0AA3"/>
    <w:rsid w:val="7BEF1F0C"/>
    <w:rsid w:val="7C89589D"/>
    <w:rsid w:val="7C913608"/>
    <w:rsid w:val="7C9336AF"/>
    <w:rsid w:val="7DB95D76"/>
    <w:rsid w:val="7DDF11A4"/>
    <w:rsid w:val="7DE7349C"/>
    <w:rsid w:val="7E23576E"/>
    <w:rsid w:val="7E521976"/>
    <w:rsid w:val="7F23769E"/>
    <w:rsid w:val="7FC04835"/>
    <w:rsid w:val="7FD06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en-US" w:eastAsia="en-US"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1"/>
    <w:pPr>
      <w:tabs>
        <w:tab w:val="left" w:pos="6002"/>
      </w:tabs>
      <w:spacing w:before="8"/>
      <w:ind w:right="378"/>
    </w:pPr>
    <w:rPr>
      <w:sz w:val="24"/>
      <w:szCs w:val="24"/>
    </w:rPr>
  </w:style>
  <w:style w:type="paragraph" w:styleId="3">
    <w:name w:val="footer"/>
    <w:basedOn w:val="1"/>
    <w:link w:val="13"/>
    <w:autoRedefine/>
    <w:qFormat/>
    <w:uiPriority w:val="0"/>
    <w:pPr>
      <w:tabs>
        <w:tab w:val="center" w:pos="4153"/>
        <w:tab w:val="right" w:pos="8306"/>
      </w:tabs>
      <w:snapToGrid w:val="0"/>
    </w:pPr>
    <w:rPr>
      <w:sz w:val="18"/>
      <w:szCs w:val="18"/>
    </w:rPr>
  </w:style>
  <w:style w:type="paragraph" w:styleId="4">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autoRedefine/>
    <w:qFormat/>
    <w:uiPriority w:val="0"/>
    <w:rPr>
      <w:b/>
    </w:rPr>
  </w:style>
  <w:style w:type="table" w:customStyle="1" w:styleId="9">
    <w:name w:val="Table Normal"/>
    <w:autoRedefine/>
    <w:semiHidden/>
    <w:unhideWhenUsed/>
    <w:qFormat/>
    <w:uiPriority w:val="2"/>
    <w:tblPr>
      <w:tblCellMar>
        <w:top w:w="0" w:type="dxa"/>
        <w:left w:w="0" w:type="dxa"/>
        <w:bottom w:w="0" w:type="dxa"/>
        <w:right w:w="0" w:type="dxa"/>
      </w:tblCellMar>
    </w:tblPr>
  </w:style>
  <w:style w:type="paragraph" w:styleId="10">
    <w:name w:val="List Paragraph"/>
    <w:basedOn w:val="1"/>
    <w:autoRedefine/>
    <w:qFormat/>
    <w:uiPriority w:val="1"/>
  </w:style>
  <w:style w:type="paragraph" w:customStyle="1" w:styleId="11">
    <w:name w:val="Table Paragraph"/>
    <w:basedOn w:val="1"/>
    <w:autoRedefine/>
    <w:qFormat/>
    <w:uiPriority w:val="1"/>
    <w:pPr>
      <w:ind w:left="100"/>
    </w:pPr>
  </w:style>
  <w:style w:type="character" w:customStyle="1" w:styleId="12">
    <w:name w:val="页眉 Char"/>
    <w:basedOn w:val="7"/>
    <w:link w:val="4"/>
    <w:autoRedefine/>
    <w:qFormat/>
    <w:uiPriority w:val="0"/>
    <w:rPr>
      <w:rFonts w:ascii="宋体" w:hAnsi="宋体" w:eastAsia="宋体" w:cs="宋体"/>
      <w:sz w:val="18"/>
      <w:szCs w:val="18"/>
      <w:lang w:eastAsia="en-US"/>
    </w:rPr>
  </w:style>
  <w:style w:type="character" w:customStyle="1" w:styleId="13">
    <w:name w:val="页脚 Char"/>
    <w:basedOn w:val="7"/>
    <w:link w:val="3"/>
    <w:autoRedefine/>
    <w:qFormat/>
    <w:uiPriority w:val="0"/>
    <w:rPr>
      <w:rFonts w:ascii="宋体" w:hAnsi="宋体" w:eastAsia="宋体" w:cs="宋体"/>
      <w:sz w:val="18"/>
      <w:szCs w:val="18"/>
      <w:lang w:eastAsia="en-US"/>
    </w:rPr>
  </w:style>
  <w:style w:type="paragraph" w:customStyle="1" w:styleId="14">
    <w:name w:val="005正文"/>
    <w:basedOn w:val="1"/>
    <w:autoRedefine/>
    <w:qFormat/>
    <w:uiPriority w:val="0"/>
    <w:pPr>
      <w:adjustRightInd w:val="0"/>
      <w:snapToGrid w:val="0"/>
      <w:spacing w:beforeLines="50" w:afterLines="50" w:line="360" w:lineRule="auto"/>
      <w:ind w:firstLine="200" w:firstLineChars="200"/>
      <w:jc w:val="both"/>
    </w:pPr>
    <w:rPr>
      <w:kern w:val="2"/>
    </w:rPr>
  </w:style>
  <w:style w:type="paragraph" w:customStyle="1" w:styleId="15">
    <w:name w:val="修订1"/>
    <w:autoRedefine/>
    <w:hidden/>
    <w:unhideWhenUsed/>
    <w:qFormat/>
    <w:uiPriority w:val="99"/>
    <w:rPr>
      <w:rFonts w:ascii="宋体" w:hAnsi="宋体" w:eastAsia="宋体" w:cs="宋体"/>
      <w:sz w:val="22"/>
      <w:szCs w:val="22"/>
      <w:lang w:val="en-US" w:eastAsia="en-US" w:bidi="ar-SA"/>
    </w:rPr>
  </w:style>
  <w:style w:type="paragraph" w:customStyle="1" w:styleId="16">
    <w:name w:val="修订2"/>
    <w:autoRedefine/>
    <w:hidden/>
    <w:unhideWhenUsed/>
    <w:qFormat/>
    <w:uiPriority w:val="99"/>
    <w:rPr>
      <w:rFonts w:ascii="宋体" w:hAnsi="宋体" w:eastAsia="宋体" w:cs="宋体"/>
      <w:sz w:val="22"/>
      <w:szCs w:val="22"/>
      <w:lang w:val="en-US" w:eastAsia="en-US" w:bidi="ar-SA"/>
    </w:rPr>
  </w:style>
  <w:style w:type="paragraph" w:customStyle="1" w:styleId="17">
    <w:name w:val="修订3"/>
    <w:hidden/>
    <w:unhideWhenUsed/>
    <w:qFormat/>
    <w:uiPriority w:val="99"/>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1300</Words>
  <Characters>1337</Characters>
  <Lines>12</Lines>
  <Paragraphs>3</Paragraphs>
  <TotalTime>55</TotalTime>
  <ScaleCrop>false</ScaleCrop>
  <LinksUpToDate>false</LinksUpToDate>
  <CharactersWithSpaces>1398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2021-06-16T13:10:00Z</dcterms:created>
  <dc:creator>周九</dc:creator>
  <cp:lastModifiedBy>夏圣炜</cp:lastModifiedBy>
  <cp:lastPrinted>2025-05-29T07:54:00Z</cp:lastPrinted>
  <dcterms:modified xsi:type="dcterms:W3CDTF">2025-06-25T09:25:45Z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2021-06-11T00:00:00Z</vt:filetime>
  </property>
  <property fmtid="{D5CDD505-2E9C-101B-9397-08002B2CF9AE}" pid="3" name="Creator">
    <vt:lpwstr>Microsoft® Office Word 2007</vt:lpwstr>
  </property>
  <property fmtid="{D5CDD505-2E9C-101B-9397-08002B2CF9AE}" pid="4" name="LastSaved">
    <vt:filetime>2021-06-16T00:00:00Z</vt:filetime>
  </property>
  <property fmtid="{D5CDD505-2E9C-101B-9397-08002B2CF9AE}" pid="5" name="KSOProductBuildVer">
    <vt:lpwstr>2052-12.1.0.21541</vt:lpwstr>
  </property>
  <property fmtid="{D5CDD505-2E9C-101B-9397-08002B2CF9AE}" pid="6" name="ICV">
    <vt:lpwstr>6D09E1AD0A2E4FA39762E968480DEEC3_13</vt:lpwstr>
  </property>
  <property fmtid="{D5CDD505-2E9C-101B-9397-08002B2CF9AE}" pid="7" name="KSOTemplateDocerSaveRecord">
    <vt:lpwstr>eyJoZGlkIjoiZGFmOGViMzE5ZjYzMmFmZTRmNTQwZDMzNzk2ODdhYmYiLCJ1c2VySWQiOiIyNzQ1MjAyNzkifQ==</vt:lpwstr>
  </property>
</Properties>
</file>