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B73D2">
      <w:pPr>
        <w:spacing w:after="156" w:afterLines="50" w:line="400" w:lineRule="exact"/>
        <w:rPr>
          <w:bCs/>
          <w:iCs/>
          <w:color w:val="000000"/>
          <w:sz w:val="24"/>
        </w:rPr>
      </w:pPr>
    </w:p>
    <w:p w14:paraId="54B2EFC7">
      <w:pPr>
        <w:spacing w:after="156" w:afterLines="50"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  华谊B股</w:t>
      </w:r>
      <w:r>
        <w:rPr>
          <w:bCs/>
          <w:iCs/>
          <w:color w:val="000000"/>
          <w:sz w:val="24"/>
        </w:rPr>
        <w:t xml:space="preserve"> </w:t>
      </w:r>
    </w:p>
    <w:p w14:paraId="6FA58AAB">
      <w:pPr>
        <w:spacing w:before="156" w:beforeLines="50" w:after="156" w:afterLines="50" w:line="400" w:lineRule="exact"/>
        <w:ind w:firstLine="720" w:firstLineChars="300"/>
        <w:rPr>
          <w:bCs/>
          <w:iCs/>
          <w:color w:val="000000"/>
          <w:sz w:val="24"/>
        </w:rPr>
      </w:pPr>
    </w:p>
    <w:p w14:paraId="3CC5B91C">
      <w:pPr>
        <w:spacing w:before="156" w:beforeLines="50" w:after="156" w:afterLines="50" w:line="400" w:lineRule="exact"/>
        <w:jc w:val="center"/>
        <w:rPr>
          <w:b/>
          <w:bCs/>
          <w:iCs/>
          <w:color w:val="000000"/>
          <w:sz w:val="32"/>
          <w:szCs w:val="32"/>
        </w:rPr>
      </w:pPr>
      <w:r>
        <w:rPr>
          <w:rFonts w:hint="eastAsia"/>
          <w:b/>
          <w:bCs/>
          <w:iCs/>
          <w:color w:val="000000"/>
          <w:sz w:val="32"/>
          <w:szCs w:val="32"/>
        </w:rPr>
        <w:t>上海华谊集团股份有限公司</w:t>
      </w:r>
    </w:p>
    <w:p w14:paraId="085B2BBC">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14:paraId="670A6492">
      <w:pPr>
        <w:spacing w:line="400" w:lineRule="exact"/>
        <w:jc w:val="right"/>
        <w:rPr>
          <w:rFonts w:hint="eastAsia" w:eastAsia="宋体"/>
          <w:bCs/>
          <w:iCs/>
          <w:color w:val="000000"/>
          <w:sz w:val="24"/>
          <w:lang w:val="en-US" w:eastAsia="zh-CN"/>
        </w:rPr>
      </w:pPr>
      <w:r>
        <w:rPr>
          <w:rFonts w:hint="eastAsia"/>
          <w:bCs/>
          <w:iCs/>
          <w:color w:val="000000"/>
          <w:sz w:val="24"/>
        </w:rPr>
        <w:t xml:space="preserve">                                             编号：2025-00</w:t>
      </w:r>
      <w:r>
        <w:rPr>
          <w:rFonts w:hint="eastAsia"/>
          <w:bCs/>
          <w:iCs/>
          <w:color w:val="000000"/>
          <w:sz w:val="24"/>
          <w:lang w:val="en-US" w:eastAsia="zh-CN"/>
        </w:rPr>
        <w:t>6</w:t>
      </w:r>
    </w:p>
    <w:tbl>
      <w:tblPr>
        <w:tblStyle w:val="1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14:paraId="61D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985" w:type="dxa"/>
            <w:vAlign w:val="center"/>
          </w:tcPr>
          <w:p w14:paraId="7E995647">
            <w:pPr>
              <w:spacing w:line="480" w:lineRule="atLeast"/>
              <w:jc w:val="center"/>
              <w:rPr>
                <w:b/>
                <w:bCs/>
                <w:iCs/>
                <w:color w:val="000000"/>
                <w:kern w:val="0"/>
                <w:sz w:val="24"/>
              </w:rPr>
            </w:pPr>
            <w:r>
              <w:rPr>
                <w:rFonts w:hint="eastAsia"/>
                <w:b/>
                <w:bCs/>
                <w:iCs/>
                <w:color w:val="000000"/>
                <w:kern w:val="0"/>
                <w:sz w:val="24"/>
              </w:rPr>
              <w:t>投资者关系</w:t>
            </w:r>
          </w:p>
          <w:p w14:paraId="5B8FDF1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pPr>
              <w:spacing w:line="480" w:lineRule="atLeast"/>
              <w:rPr>
                <w:bCs/>
                <w:iCs/>
                <w:color w:val="000000"/>
                <w:kern w:val="0"/>
                <w:sz w:val="24"/>
              </w:rPr>
            </w:pPr>
            <w:r>
              <w:rPr>
                <w:rFonts w:hint="eastAsia" w:ascii="Segoe UI Symbol" w:hAnsi="Segoe UI Symbol" w:cs="Segoe UI Symbol"/>
                <w:bCs/>
                <w:iCs/>
                <w:color w:val="000000"/>
                <w:kern w:val="0"/>
                <w:sz w:val="24"/>
              </w:rPr>
              <w:t>☑</w:t>
            </w:r>
            <w:r>
              <w:rPr>
                <w:rFonts w:hint="eastAsia"/>
                <w:bCs/>
                <w:iCs/>
                <w:color w:val="000000"/>
                <w:kern w:val="0"/>
                <w:sz w:val="24"/>
              </w:rPr>
              <w:t>特定对象调研        □分析师会议</w:t>
            </w:r>
          </w:p>
          <w:p w14:paraId="3F2D1F5A">
            <w:pPr>
              <w:spacing w:line="480" w:lineRule="atLeast"/>
              <w:rPr>
                <w:bCs/>
                <w:iCs/>
                <w:color w:val="000000"/>
                <w:kern w:val="0"/>
                <w:sz w:val="24"/>
              </w:rPr>
            </w:pPr>
            <w:r>
              <w:rPr>
                <w:rFonts w:hint="eastAsia"/>
                <w:bCs/>
                <w:iCs/>
                <w:color w:val="000000"/>
                <w:kern w:val="0"/>
                <w:sz w:val="24"/>
              </w:rPr>
              <w:t xml:space="preserve">□媒体采访            </w:t>
            </w:r>
            <w:r>
              <w:rPr>
                <w:rFonts w:hint="eastAsia" w:eastAsia="MS Mincho" w:cs="MS Mincho"/>
                <w:bCs/>
                <w:iCs/>
                <w:color w:val="000000"/>
                <w:kern w:val="0"/>
                <w:sz w:val="24"/>
              </w:rPr>
              <w:t>□</w:t>
            </w:r>
            <w:r>
              <w:rPr>
                <w:rFonts w:hint="eastAsia"/>
                <w:bCs/>
                <w:iCs/>
                <w:color w:val="000000"/>
                <w:kern w:val="0"/>
                <w:sz w:val="24"/>
              </w:rPr>
              <w:t>业绩说明会</w:t>
            </w:r>
          </w:p>
          <w:p w14:paraId="4118A5AC">
            <w:pPr>
              <w:spacing w:line="480" w:lineRule="atLeast"/>
              <w:rPr>
                <w:bCs/>
                <w:iCs/>
                <w:color w:val="000000"/>
                <w:kern w:val="0"/>
                <w:sz w:val="24"/>
              </w:rPr>
            </w:pPr>
            <w:r>
              <w:rPr>
                <w:rFonts w:hint="eastAsia"/>
                <w:bCs/>
                <w:iCs/>
                <w:color w:val="000000"/>
                <w:kern w:val="0"/>
                <w:sz w:val="24"/>
              </w:rPr>
              <w:t>□新闻发布会          □路演活动</w:t>
            </w:r>
          </w:p>
          <w:p w14:paraId="6998997D">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pPr>
              <w:tabs>
                <w:tab w:val="left" w:pos="3045"/>
                <w:tab w:val="center" w:pos="3199"/>
              </w:tabs>
              <w:spacing w:line="480" w:lineRule="atLeast"/>
              <w:rPr>
                <w:rFonts w:ascii="宋体" w:hAnsi="宋体"/>
                <w:kern w:val="0"/>
                <w:sz w:val="28"/>
                <w:szCs w:val="28"/>
              </w:rPr>
            </w:pPr>
            <w:r>
              <w:rPr>
                <w:rFonts w:hint="eastAsia"/>
                <w:bCs/>
                <w:iCs/>
                <w:color w:val="000000"/>
                <w:kern w:val="0"/>
                <w:sz w:val="24"/>
              </w:rPr>
              <w:t>□其他，请文字说明其他活动内容</w:t>
            </w:r>
          </w:p>
        </w:tc>
      </w:tr>
      <w:tr w14:paraId="574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85" w:type="dxa"/>
            <w:vAlign w:val="center"/>
          </w:tcPr>
          <w:p w14:paraId="2A981053">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62EDACAB">
            <w:pPr>
              <w:spacing w:line="480" w:lineRule="atLeast"/>
              <w:jc w:val="left"/>
              <w:rPr>
                <w:kern w:val="0"/>
                <w:sz w:val="24"/>
              </w:rPr>
            </w:pPr>
            <w:r>
              <w:rPr>
                <w:rFonts w:hint="eastAsia"/>
                <w:kern w:val="0"/>
                <w:sz w:val="24"/>
              </w:rPr>
              <w:t>大家资产、中欧基金、天风证券、申万宏源、开源证券、东方证券、中庚基金、华能信托、华安基金、富国基金、国泰海通、光大证券、西部证券、工银瑞信、中金公司、景顺长城、前海开源基金、国联民生证券</w:t>
            </w:r>
          </w:p>
        </w:tc>
      </w:tr>
      <w:tr w14:paraId="040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14:paraId="7DC17A2F">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pPr>
              <w:spacing w:line="480" w:lineRule="atLeast"/>
              <w:rPr>
                <w:rFonts w:asciiTheme="majorEastAsia" w:hAnsiTheme="majorEastAsia" w:eastAsiaTheme="majorEastAsia"/>
                <w:bCs/>
                <w:iCs/>
                <w:color w:val="000000"/>
                <w:kern w:val="0"/>
                <w:sz w:val="24"/>
              </w:rPr>
            </w:pPr>
            <w:r>
              <w:rPr>
                <w:rFonts w:hint="eastAsia" w:eastAsiaTheme="majorEastAsia"/>
                <w:bCs/>
                <w:iCs/>
                <w:color w:val="000000"/>
                <w:kern w:val="0"/>
                <w:sz w:val="24"/>
              </w:rPr>
              <w:t>2025年6月</w:t>
            </w:r>
            <w:r>
              <w:rPr>
                <w:rFonts w:hint="eastAsia" w:eastAsiaTheme="majorEastAsia"/>
                <w:bCs/>
                <w:iCs/>
                <w:color w:val="000000"/>
                <w:kern w:val="0"/>
                <w:sz w:val="24"/>
                <w:lang w:val="en-US" w:eastAsia="zh-CN"/>
              </w:rPr>
              <w:t>26</w:t>
            </w:r>
            <w:r>
              <w:rPr>
                <w:rFonts w:eastAsiaTheme="majorEastAsia"/>
                <w:bCs/>
                <w:iCs/>
                <w:color w:val="000000"/>
                <w:kern w:val="0"/>
                <w:sz w:val="24"/>
              </w:rPr>
              <w:t>日</w:t>
            </w:r>
          </w:p>
        </w:tc>
      </w:tr>
      <w:tr w14:paraId="3B07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14:paraId="505081E5">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pPr>
              <w:spacing w:line="480" w:lineRule="atLeast"/>
              <w:rPr>
                <w:rFonts w:ascii="宋体" w:hAnsi="宋体"/>
                <w:bCs/>
                <w:iCs/>
                <w:color w:val="000000"/>
                <w:kern w:val="0"/>
                <w:sz w:val="24"/>
              </w:rPr>
            </w:pPr>
            <w:r>
              <w:rPr>
                <w:rFonts w:hint="eastAsia" w:ascii="宋体" w:hAnsi="宋体"/>
                <w:bCs/>
                <w:iCs/>
                <w:color w:val="000000"/>
                <w:kern w:val="0"/>
                <w:sz w:val="24"/>
              </w:rPr>
              <w:t>广西钦州市钦南区钦州港经济技术开发区海豚路1号</w:t>
            </w:r>
            <w:r>
              <w:rPr>
                <w:rFonts w:hint="eastAsia" w:ascii="MS Mincho" w:hAnsi="MS Mincho" w:eastAsia="MS Mincho" w:cs="MS Mincho"/>
                <w:bCs/>
                <w:iCs/>
                <w:color w:val="000000"/>
                <w:kern w:val="0"/>
                <w:sz w:val="24"/>
              </w:rPr>
              <w:t>‌‌</w:t>
            </w:r>
          </w:p>
        </w:tc>
      </w:tr>
      <w:tr w14:paraId="100E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85" w:type="dxa"/>
            <w:vAlign w:val="center"/>
          </w:tcPr>
          <w:p w14:paraId="1A66EC66">
            <w:pPr>
              <w:spacing w:line="480" w:lineRule="atLeast"/>
              <w:jc w:val="center"/>
              <w:rPr>
                <w:b/>
                <w:bCs/>
                <w:iCs/>
                <w:color w:val="000000"/>
                <w:kern w:val="0"/>
                <w:sz w:val="24"/>
              </w:rPr>
            </w:pPr>
            <w:r>
              <w:rPr>
                <w:rFonts w:hint="eastAsia"/>
                <w:b/>
                <w:bCs/>
                <w:iCs/>
                <w:color w:val="000000"/>
                <w:kern w:val="0"/>
                <w:sz w:val="24"/>
              </w:rPr>
              <w:t>上市公司接待</w:t>
            </w:r>
          </w:p>
          <w:p w14:paraId="7987C650">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pPr>
              <w:spacing w:line="480" w:lineRule="atLeast"/>
              <w:rPr>
                <w:bCs/>
                <w:iCs/>
                <w:color w:val="000000"/>
                <w:kern w:val="0"/>
                <w:sz w:val="24"/>
              </w:rPr>
            </w:pPr>
            <w:r>
              <w:rPr>
                <w:rFonts w:hint="eastAsia"/>
                <w:bCs/>
                <w:iCs/>
                <w:color w:val="000000"/>
                <w:kern w:val="0"/>
                <w:sz w:val="24"/>
              </w:rPr>
              <w:t>财务总监、董事会秘书              徐力珩先生</w:t>
            </w:r>
          </w:p>
          <w:p w14:paraId="04E6831E">
            <w:pPr>
              <w:spacing w:line="480" w:lineRule="atLeast"/>
              <w:rPr>
                <w:bCs/>
                <w:iCs/>
                <w:color w:val="000000"/>
                <w:kern w:val="0"/>
                <w:sz w:val="24"/>
              </w:rPr>
            </w:pPr>
            <w:r>
              <w:rPr>
                <w:rFonts w:hint="eastAsia"/>
                <w:bCs/>
                <w:iCs/>
                <w:color w:val="000000"/>
                <w:kern w:val="0"/>
                <w:sz w:val="24"/>
              </w:rPr>
              <w:t>董事会办公室主任、证券事务代表    居培女士</w:t>
            </w:r>
          </w:p>
          <w:p w14:paraId="0C134736">
            <w:pPr>
              <w:spacing w:line="480" w:lineRule="atLeast"/>
              <w:rPr>
                <w:bCs/>
                <w:iCs/>
                <w:color w:val="000000"/>
                <w:kern w:val="0"/>
                <w:sz w:val="24"/>
              </w:rPr>
            </w:pPr>
            <w:r>
              <w:rPr>
                <w:rFonts w:hint="eastAsia"/>
                <w:bCs/>
                <w:iCs/>
                <w:color w:val="000000"/>
                <w:kern w:val="0"/>
                <w:sz w:val="24"/>
              </w:rPr>
              <w:t>资本运作                          郑静女士</w:t>
            </w:r>
          </w:p>
        </w:tc>
      </w:tr>
      <w:tr w14:paraId="610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14:paraId="12D658B0">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5A0D082B">
            <w:pPr>
              <w:spacing w:line="480" w:lineRule="exact"/>
              <w:rPr>
                <w:b/>
                <w:bCs/>
                <w:iCs/>
                <w:kern w:val="0"/>
                <w:sz w:val="24"/>
              </w:rPr>
            </w:pPr>
            <w:r>
              <w:rPr>
                <w:rFonts w:hint="eastAsia"/>
                <w:b/>
                <w:bCs/>
                <w:iCs/>
                <w:kern w:val="0"/>
                <w:sz w:val="24"/>
              </w:rPr>
              <w:t>主要内容如下：</w:t>
            </w:r>
          </w:p>
          <w:p w14:paraId="6DD9B9F2">
            <w:pPr>
              <w:spacing w:line="480" w:lineRule="exact"/>
              <w:rPr>
                <w:rFonts w:hint="default"/>
                <w:iCs/>
                <w:kern w:val="0"/>
                <w:sz w:val="24"/>
                <w:lang w:val="en-US" w:eastAsia="zh-CN"/>
              </w:rPr>
            </w:pPr>
            <w:r>
              <w:rPr>
                <w:rFonts w:hint="eastAsia"/>
                <w:iCs/>
                <w:kern w:val="0"/>
                <w:sz w:val="24"/>
                <w:lang w:val="en-US" w:eastAsia="zh-CN"/>
              </w:rPr>
              <w:t>Q:一体化基地的优势是什么，尤其是成本上的优势？</w:t>
            </w:r>
          </w:p>
          <w:p w14:paraId="23C02668">
            <w:pPr>
              <w:spacing w:line="480" w:lineRule="exact"/>
              <w:rPr>
                <w:rFonts w:hint="eastAsia"/>
                <w:iCs/>
                <w:kern w:val="0"/>
                <w:sz w:val="24"/>
                <w:lang w:val="en-US" w:eastAsia="zh-CN"/>
              </w:rPr>
            </w:pPr>
            <w:r>
              <w:rPr>
                <w:rFonts w:hint="eastAsia"/>
                <w:iCs/>
                <w:kern w:val="0"/>
                <w:sz w:val="24"/>
                <w:lang w:val="en-US" w:eastAsia="zh-CN"/>
              </w:rPr>
              <w:t>A:公司依托上下游产品覆盖面广的优势，持续打造一体化产业链，发展一体化循环经济，不断提升资源利用效率，减少污染物排放，降低生产运营中的物流、仓储成本，增强生产运营、物流、安全等方面的优势；加强一体化运营和管控，推进集中采购、集中销售，产品上下游互供，抵御原材料市场价格波动风险的能力不断提高，提升原材料采购及产品销售的议价能力和生产运营的整体稳定性，推进同一业务板块各生产基地之间和同一基地内不同业务板块之间的生产调度、公用工程协同，降低成本，提升竞争力；发挥“制造+服务”双核驱动模式，打造集团服务共享中心，整合专业资源，提供高效服务，促进产业整体升级。</w:t>
            </w:r>
            <w:bookmarkStart w:id="0" w:name="_GoBack"/>
            <w:bookmarkEnd w:id="0"/>
          </w:p>
          <w:p w14:paraId="382CEB77">
            <w:pPr>
              <w:spacing w:line="480" w:lineRule="exact"/>
              <w:rPr>
                <w:rFonts w:hint="eastAsia"/>
                <w:iCs/>
                <w:kern w:val="0"/>
                <w:sz w:val="24"/>
                <w:lang w:val="en-US" w:eastAsia="zh-CN"/>
              </w:rPr>
            </w:pPr>
          </w:p>
          <w:p w14:paraId="3934CEDF">
            <w:pPr>
              <w:spacing w:line="480" w:lineRule="exact"/>
              <w:rPr>
                <w:rFonts w:hint="default"/>
                <w:iCs/>
                <w:kern w:val="0"/>
                <w:sz w:val="24"/>
                <w:lang w:val="en-US" w:eastAsia="zh-CN"/>
              </w:rPr>
            </w:pPr>
            <w:r>
              <w:rPr>
                <w:rFonts w:hint="eastAsia"/>
                <w:iCs/>
                <w:kern w:val="0"/>
                <w:sz w:val="24"/>
                <w:lang w:val="en-US" w:eastAsia="zh-CN"/>
              </w:rPr>
              <w:t>Q:公司的现金和负债都很高是什么原因？</w:t>
            </w:r>
          </w:p>
          <w:p w14:paraId="0175394D">
            <w:pPr>
              <w:spacing w:line="480" w:lineRule="exact"/>
              <w:rPr>
                <w:rFonts w:hint="eastAsia"/>
                <w:iCs/>
                <w:kern w:val="0"/>
                <w:sz w:val="24"/>
                <w:lang w:val="en-US" w:eastAsia="zh-CN"/>
              </w:rPr>
            </w:pPr>
            <w:r>
              <w:rPr>
                <w:rFonts w:hint="eastAsia"/>
                <w:iCs/>
                <w:kern w:val="0"/>
                <w:sz w:val="24"/>
                <w:lang w:val="en-US" w:eastAsia="zh-CN"/>
              </w:rPr>
              <w:t>A:公司所处化工行业是资本密集型行业，化工项目具有建设规模大、</w:t>
            </w:r>
          </w:p>
          <w:p w14:paraId="30C36E78">
            <w:pPr>
              <w:spacing w:line="480" w:lineRule="exact"/>
              <w:rPr>
                <w:rFonts w:hint="eastAsia"/>
                <w:iCs/>
                <w:kern w:val="0"/>
                <w:sz w:val="24"/>
                <w:lang w:val="en-US" w:eastAsia="zh-CN"/>
              </w:rPr>
            </w:pPr>
            <w:r>
              <w:rPr>
                <w:rFonts w:hint="eastAsia"/>
                <w:iCs/>
                <w:kern w:val="0"/>
                <w:sz w:val="24"/>
                <w:lang w:val="en-US" w:eastAsia="zh-CN"/>
              </w:rPr>
              <w:t>建设周期长等特点，需要大量的资金投入。公司对外融资用于项目建</w:t>
            </w:r>
          </w:p>
          <w:p w14:paraId="56CB4383">
            <w:pPr>
              <w:spacing w:line="480" w:lineRule="exact"/>
              <w:rPr>
                <w:rFonts w:hint="eastAsia"/>
                <w:iCs/>
                <w:kern w:val="0"/>
                <w:sz w:val="24"/>
                <w:lang w:val="en-US" w:eastAsia="zh-CN"/>
              </w:rPr>
            </w:pPr>
            <w:r>
              <w:rPr>
                <w:rFonts w:hint="eastAsia"/>
                <w:iCs/>
                <w:kern w:val="0"/>
                <w:sz w:val="24"/>
                <w:lang w:val="en-US" w:eastAsia="zh-CN"/>
              </w:rPr>
              <w:t>设资金支持。公司下属财务公司同时服务于大股东及集团内公司，吸收集团成员企业存款。</w:t>
            </w:r>
          </w:p>
          <w:p w14:paraId="295AC46C">
            <w:pPr>
              <w:spacing w:line="480" w:lineRule="exact"/>
              <w:rPr>
                <w:rFonts w:hint="eastAsia"/>
                <w:iCs/>
                <w:kern w:val="0"/>
                <w:sz w:val="24"/>
                <w:lang w:val="en-US" w:eastAsia="zh-CN"/>
              </w:rPr>
            </w:pPr>
          </w:p>
          <w:p w14:paraId="33D75CB1">
            <w:pPr>
              <w:spacing w:line="480" w:lineRule="exact"/>
              <w:rPr>
                <w:rFonts w:hint="default"/>
                <w:iCs/>
                <w:kern w:val="0"/>
                <w:sz w:val="24"/>
                <w:lang w:val="en-US" w:eastAsia="zh-CN"/>
              </w:rPr>
            </w:pPr>
            <w:r>
              <w:rPr>
                <w:rFonts w:hint="eastAsia"/>
                <w:iCs/>
                <w:kern w:val="0"/>
                <w:sz w:val="24"/>
                <w:lang w:val="en-US" w:eastAsia="zh-CN"/>
              </w:rPr>
              <w:t>Q:公司未来资本开支和广西项目的约定执行情况如何？</w:t>
            </w:r>
          </w:p>
          <w:p w14:paraId="374A7A57">
            <w:pPr>
              <w:spacing w:line="480" w:lineRule="exact"/>
              <w:rPr>
                <w:rFonts w:hint="eastAsia"/>
                <w:iCs/>
                <w:kern w:val="0"/>
                <w:sz w:val="24"/>
                <w:lang w:val="en-US" w:eastAsia="zh-CN"/>
              </w:rPr>
            </w:pPr>
            <w:r>
              <w:rPr>
                <w:rFonts w:hint="eastAsia"/>
                <w:iCs/>
                <w:kern w:val="0"/>
                <w:sz w:val="24"/>
                <w:lang w:val="en-US" w:eastAsia="zh-CN"/>
              </w:rPr>
              <w:t>A:很多项目还在前期阶段，近年还有较多资本开支，公司会平衡资本开支和分红等的需求，现金流可以覆盖。公司九届九次董事会审议通过了《关于公司及其全资子公司上海华谊能源化工有限公司与上海华谊（集团）公司就钦州项目签署同业不竞争协议的议案》，明确在广西能化实现盈利后，上海华谊根据评估确认价值转让给公司或指定主体（公告编号2016-008、2017-003）。公司秉持诚信守则规范运营，严格按照上市规则要求履行信息披露义务。</w:t>
            </w:r>
          </w:p>
          <w:p w14:paraId="768D54F1">
            <w:pPr>
              <w:spacing w:line="480" w:lineRule="exact"/>
              <w:rPr>
                <w:rFonts w:hint="eastAsia"/>
                <w:iCs/>
                <w:kern w:val="0"/>
                <w:sz w:val="24"/>
                <w:lang w:val="en-US" w:eastAsia="zh-CN"/>
              </w:rPr>
            </w:pPr>
          </w:p>
          <w:p w14:paraId="6C7188B7">
            <w:pPr>
              <w:spacing w:line="480" w:lineRule="exact"/>
              <w:rPr>
                <w:rFonts w:hint="default"/>
                <w:iCs/>
                <w:kern w:val="0"/>
                <w:sz w:val="24"/>
                <w:lang w:val="en-US" w:eastAsia="zh-CN"/>
              </w:rPr>
            </w:pPr>
            <w:r>
              <w:rPr>
                <w:rFonts w:hint="eastAsia"/>
                <w:iCs/>
                <w:kern w:val="0"/>
                <w:sz w:val="24"/>
                <w:lang w:val="en-US" w:eastAsia="zh-CN"/>
              </w:rPr>
              <w:t>Q:后续新项目蒸汽等配套够用吗？</w:t>
            </w:r>
          </w:p>
          <w:p w14:paraId="7B9E0782">
            <w:pPr>
              <w:spacing w:line="480" w:lineRule="exact"/>
              <w:rPr>
                <w:rFonts w:hint="default"/>
                <w:iCs/>
                <w:kern w:val="0"/>
                <w:sz w:val="24"/>
                <w:lang w:val="en-US" w:eastAsia="zh-CN"/>
              </w:rPr>
            </w:pPr>
            <w:r>
              <w:rPr>
                <w:rFonts w:hint="eastAsia"/>
                <w:iCs/>
                <w:kern w:val="0"/>
                <w:sz w:val="24"/>
                <w:lang w:val="en-US" w:eastAsia="zh-CN"/>
              </w:rPr>
              <w:t>A:供应蒸汽的电厂和公司具有长年合作基础，上下游运行深度绑定，正在上二期项目，提升基地整体运营质量。另外，公司通过返供蒸汽等进一步降低成本，体现一体化效益。</w:t>
            </w:r>
          </w:p>
          <w:p w14:paraId="62240053">
            <w:pPr>
              <w:spacing w:line="480" w:lineRule="exact"/>
              <w:rPr>
                <w:rFonts w:hint="eastAsia"/>
                <w:iCs/>
                <w:kern w:val="0"/>
                <w:sz w:val="24"/>
                <w:lang w:val="en-US" w:eastAsia="zh-CN"/>
              </w:rPr>
            </w:pPr>
          </w:p>
          <w:p w14:paraId="7B24F644">
            <w:pPr>
              <w:spacing w:line="480" w:lineRule="exact"/>
              <w:rPr>
                <w:rFonts w:hint="default"/>
                <w:iCs/>
                <w:kern w:val="0"/>
                <w:sz w:val="24"/>
                <w:lang w:val="en-US" w:eastAsia="zh-CN"/>
              </w:rPr>
            </w:pPr>
            <w:r>
              <w:rPr>
                <w:rFonts w:hint="eastAsia"/>
                <w:iCs/>
                <w:kern w:val="0"/>
                <w:sz w:val="24"/>
                <w:lang w:val="en-US" w:eastAsia="zh-CN"/>
              </w:rPr>
              <w:t>Q:近期煤价的情况如何？</w:t>
            </w:r>
          </w:p>
          <w:p w14:paraId="6DDE7578">
            <w:pPr>
              <w:spacing w:line="480" w:lineRule="exact"/>
              <w:rPr>
                <w:rFonts w:hint="default"/>
                <w:iCs/>
                <w:kern w:val="0"/>
                <w:sz w:val="24"/>
                <w:lang w:val="en-US" w:eastAsia="zh-CN"/>
              </w:rPr>
            </w:pPr>
            <w:r>
              <w:rPr>
                <w:rFonts w:hint="eastAsia"/>
                <w:iCs/>
                <w:kern w:val="0"/>
                <w:sz w:val="24"/>
                <w:lang w:val="en-US" w:eastAsia="zh-CN"/>
              </w:rPr>
              <w:t>A:近期煤价下降，不同来源的煤价差在下降，运费占比上升。公司根据市场情况调整采购比例。</w:t>
            </w:r>
          </w:p>
        </w:tc>
      </w:tr>
      <w:tr w14:paraId="591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14:paraId="59027C54">
            <w:pPr>
              <w:spacing w:line="480" w:lineRule="atLeast"/>
              <w:jc w:val="center"/>
              <w:rPr>
                <w:b/>
                <w:bCs/>
                <w:iCs/>
                <w:color w:val="000000"/>
                <w:kern w:val="0"/>
                <w:sz w:val="24"/>
              </w:rPr>
            </w:pPr>
            <w:r>
              <w:rPr>
                <w:rFonts w:hint="eastAsia"/>
                <w:b/>
                <w:bCs/>
                <w:iCs/>
                <w:color w:val="000000"/>
                <w:kern w:val="0"/>
                <w:sz w:val="24"/>
              </w:rPr>
              <w:t>附件清单</w:t>
            </w:r>
          </w:p>
          <w:p w14:paraId="4F6893A8">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pPr>
              <w:spacing w:line="480" w:lineRule="atLeast"/>
              <w:rPr>
                <w:rFonts w:ascii="宋体" w:hAnsi="宋体"/>
                <w:bCs/>
                <w:iCs/>
                <w:color w:val="000000"/>
                <w:kern w:val="0"/>
                <w:sz w:val="24"/>
              </w:rPr>
            </w:pPr>
            <w:r>
              <w:rPr>
                <w:rFonts w:hint="eastAsia"/>
                <w:bCs/>
                <w:iCs/>
                <w:color w:val="000000"/>
                <w:kern w:val="0"/>
                <w:sz w:val="24"/>
              </w:rPr>
              <w:t>无</w:t>
            </w:r>
          </w:p>
        </w:tc>
      </w:tr>
      <w:tr w14:paraId="317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5" w:type="dxa"/>
            <w:vAlign w:val="center"/>
          </w:tcPr>
          <w:p w14:paraId="49153070">
            <w:pPr>
              <w:spacing w:line="480" w:lineRule="atLeast"/>
              <w:jc w:val="center"/>
              <w:rPr>
                <w:rFonts w:asciiTheme="minorEastAsia" w:hAnsiTheme="minorEastAsia" w:eastAsiaTheme="minorEastAsia"/>
                <w:b/>
                <w:bCs/>
                <w:iCs/>
                <w:color w:val="000000"/>
                <w:kern w:val="0"/>
                <w:sz w:val="24"/>
              </w:rPr>
            </w:pPr>
            <w:r>
              <w:rPr>
                <w:rFonts w:hint="eastAsia" w:eastAsiaTheme="minorEastAsia"/>
                <w:b/>
                <w:bCs/>
                <w:iCs/>
                <w:color w:val="000000"/>
                <w:kern w:val="0"/>
                <w:sz w:val="24"/>
              </w:rPr>
              <w:t>日期</w:t>
            </w:r>
          </w:p>
        </w:tc>
        <w:tc>
          <w:tcPr>
            <w:tcW w:w="7513" w:type="dxa"/>
            <w:vAlign w:val="center"/>
          </w:tcPr>
          <w:p w14:paraId="4CF015BF">
            <w:pPr>
              <w:spacing w:line="480" w:lineRule="atLeast"/>
              <w:rPr>
                <w:rFonts w:asciiTheme="minorEastAsia" w:hAnsiTheme="minorEastAsia" w:eastAsiaTheme="minorEastAsia"/>
                <w:bCs/>
                <w:iCs/>
                <w:color w:val="000000"/>
                <w:kern w:val="0"/>
                <w:sz w:val="24"/>
              </w:rPr>
            </w:pPr>
            <w:r>
              <w:rPr>
                <w:rFonts w:hint="eastAsia" w:eastAsiaTheme="majorEastAsia"/>
                <w:bCs/>
                <w:iCs/>
                <w:color w:val="000000"/>
                <w:kern w:val="0"/>
                <w:sz w:val="24"/>
              </w:rPr>
              <w:t>2025年6月</w:t>
            </w:r>
            <w:r>
              <w:rPr>
                <w:rFonts w:hint="eastAsia" w:eastAsiaTheme="majorEastAsia"/>
                <w:bCs/>
                <w:iCs/>
                <w:color w:val="000000"/>
                <w:kern w:val="0"/>
                <w:sz w:val="24"/>
                <w:lang w:val="en-US" w:eastAsia="zh-CN"/>
              </w:rPr>
              <w:t>26</w:t>
            </w:r>
            <w:r>
              <w:rPr>
                <w:rFonts w:eastAsiaTheme="majorEastAsia"/>
                <w:bCs/>
                <w:iCs/>
                <w:color w:val="000000"/>
                <w:kern w:val="0"/>
                <w:sz w:val="24"/>
              </w:rPr>
              <w:t>日</w:t>
            </w:r>
          </w:p>
        </w:tc>
      </w:tr>
    </w:tbl>
    <w:p w14:paraId="778D8D2A"/>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sdtPr>
    <w:sdtContent>
      <w:p w14:paraId="052B02CD">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27132"/>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56393"/>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01B3"/>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7509EB"/>
    <w:rsid w:val="01910D44"/>
    <w:rsid w:val="01AA3877"/>
    <w:rsid w:val="022C02C9"/>
    <w:rsid w:val="024B5D18"/>
    <w:rsid w:val="027D2D3A"/>
    <w:rsid w:val="030B3C81"/>
    <w:rsid w:val="038F6262"/>
    <w:rsid w:val="03A92AE1"/>
    <w:rsid w:val="04C151AF"/>
    <w:rsid w:val="04C93D38"/>
    <w:rsid w:val="05772978"/>
    <w:rsid w:val="05D95B7C"/>
    <w:rsid w:val="067508F4"/>
    <w:rsid w:val="06D53145"/>
    <w:rsid w:val="077614EF"/>
    <w:rsid w:val="07BE4B3F"/>
    <w:rsid w:val="07C06B1B"/>
    <w:rsid w:val="07F2151D"/>
    <w:rsid w:val="08A661BA"/>
    <w:rsid w:val="09391DB0"/>
    <w:rsid w:val="099D013D"/>
    <w:rsid w:val="0A430D0D"/>
    <w:rsid w:val="0CEF4D03"/>
    <w:rsid w:val="0DE173BA"/>
    <w:rsid w:val="0DEB76F2"/>
    <w:rsid w:val="0DF06AB6"/>
    <w:rsid w:val="0FF8501B"/>
    <w:rsid w:val="10F57A30"/>
    <w:rsid w:val="11AA40EE"/>
    <w:rsid w:val="121D23B2"/>
    <w:rsid w:val="12734157"/>
    <w:rsid w:val="12D00680"/>
    <w:rsid w:val="134A0798"/>
    <w:rsid w:val="137D68B1"/>
    <w:rsid w:val="143D5890"/>
    <w:rsid w:val="1441502F"/>
    <w:rsid w:val="149D0B47"/>
    <w:rsid w:val="14D26F15"/>
    <w:rsid w:val="14DA1941"/>
    <w:rsid w:val="154047C7"/>
    <w:rsid w:val="15457C6A"/>
    <w:rsid w:val="15F23DFA"/>
    <w:rsid w:val="161700C9"/>
    <w:rsid w:val="16C40EDF"/>
    <w:rsid w:val="18735478"/>
    <w:rsid w:val="19087285"/>
    <w:rsid w:val="19706118"/>
    <w:rsid w:val="19E33973"/>
    <w:rsid w:val="1A340CCE"/>
    <w:rsid w:val="1B0B0CA4"/>
    <w:rsid w:val="1B1B2104"/>
    <w:rsid w:val="1B1C3115"/>
    <w:rsid w:val="1B681D71"/>
    <w:rsid w:val="1CDC7E92"/>
    <w:rsid w:val="1D1323BA"/>
    <w:rsid w:val="1DB931D9"/>
    <w:rsid w:val="1F7B5A44"/>
    <w:rsid w:val="1FA43B31"/>
    <w:rsid w:val="1FF35C4F"/>
    <w:rsid w:val="20103731"/>
    <w:rsid w:val="20D2760E"/>
    <w:rsid w:val="21173078"/>
    <w:rsid w:val="214F2E92"/>
    <w:rsid w:val="23580F2E"/>
    <w:rsid w:val="23E2031E"/>
    <w:rsid w:val="23F9307D"/>
    <w:rsid w:val="23FE1BC6"/>
    <w:rsid w:val="24A13951"/>
    <w:rsid w:val="24E51B2E"/>
    <w:rsid w:val="252C55B6"/>
    <w:rsid w:val="25D520AE"/>
    <w:rsid w:val="26E30614"/>
    <w:rsid w:val="27BC5F2F"/>
    <w:rsid w:val="280F7257"/>
    <w:rsid w:val="282E350B"/>
    <w:rsid w:val="289546D1"/>
    <w:rsid w:val="28FE0B15"/>
    <w:rsid w:val="2915709D"/>
    <w:rsid w:val="297607C1"/>
    <w:rsid w:val="2982047C"/>
    <w:rsid w:val="298B4306"/>
    <w:rsid w:val="29AE7906"/>
    <w:rsid w:val="29C535B3"/>
    <w:rsid w:val="29D457BB"/>
    <w:rsid w:val="2A48451A"/>
    <w:rsid w:val="2B236572"/>
    <w:rsid w:val="2BE161B0"/>
    <w:rsid w:val="2BF8505C"/>
    <w:rsid w:val="2C2E0A7D"/>
    <w:rsid w:val="2C6E037D"/>
    <w:rsid w:val="2C950AFD"/>
    <w:rsid w:val="2E334A71"/>
    <w:rsid w:val="2E50117F"/>
    <w:rsid w:val="2E8B4765"/>
    <w:rsid w:val="2E99586C"/>
    <w:rsid w:val="2F0922C9"/>
    <w:rsid w:val="2FA878FF"/>
    <w:rsid w:val="31103B08"/>
    <w:rsid w:val="31222233"/>
    <w:rsid w:val="31B16B0A"/>
    <w:rsid w:val="321B50AA"/>
    <w:rsid w:val="322E7A29"/>
    <w:rsid w:val="327F3EBE"/>
    <w:rsid w:val="32A00842"/>
    <w:rsid w:val="32BD7B30"/>
    <w:rsid w:val="332633D4"/>
    <w:rsid w:val="337D5FD2"/>
    <w:rsid w:val="34000DC3"/>
    <w:rsid w:val="340D4CA4"/>
    <w:rsid w:val="34BD7A7F"/>
    <w:rsid w:val="34D24AAF"/>
    <w:rsid w:val="353510CF"/>
    <w:rsid w:val="35AB6299"/>
    <w:rsid w:val="36557C1C"/>
    <w:rsid w:val="372B09DB"/>
    <w:rsid w:val="37C03592"/>
    <w:rsid w:val="37C13721"/>
    <w:rsid w:val="39797B9B"/>
    <w:rsid w:val="3AA50AA5"/>
    <w:rsid w:val="3ADE7751"/>
    <w:rsid w:val="3B0E11A9"/>
    <w:rsid w:val="3D033860"/>
    <w:rsid w:val="3D572D1F"/>
    <w:rsid w:val="3D825B1E"/>
    <w:rsid w:val="3DB67169"/>
    <w:rsid w:val="3E2E1C9F"/>
    <w:rsid w:val="3F722BB4"/>
    <w:rsid w:val="3FEF2674"/>
    <w:rsid w:val="401877CC"/>
    <w:rsid w:val="41866FFD"/>
    <w:rsid w:val="418C74E9"/>
    <w:rsid w:val="41914089"/>
    <w:rsid w:val="41A53816"/>
    <w:rsid w:val="42CB3880"/>
    <w:rsid w:val="42CF75AA"/>
    <w:rsid w:val="4376472F"/>
    <w:rsid w:val="4535008B"/>
    <w:rsid w:val="45573A7F"/>
    <w:rsid w:val="45802EA6"/>
    <w:rsid w:val="46380A1F"/>
    <w:rsid w:val="463E737E"/>
    <w:rsid w:val="467F7057"/>
    <w:rsid w:val="476B58F6"/>
    <w:rsid w:val="483D5805"/>
    <w:rsid w:val="48D36077"/>
    <w:rsid w:val="48D63EE7"/>
    <w:rsid w:val="48FD0855"/>
    <w:rsid w:val="49E3772F"/>
    <w:rsid w:val="4A4554B8"/>
    <w:rsid w:val="4AE84A0C"/>
    <w:rsid w:val="4C702C83"/>
    <w:rsid w:val="4CF57DDD"/>
    <w:rsid w:val="4D0A1810"/>
    <w:rsid w:val="4D417DCA"/>
    <w:rsid w:val="4DC8133C"/>
    <w:rsid w:val="4FD13DD5"/>
    <w:rsid w:val="4FD277EE"/>
    <w:rsid w:val="4FDA6825"/>
    <w:rsid w:val="50243F69"/>
    <w:rsid w:val="509B4084"/>
    <w:rsid w:val="50A0365F"/>
    <w:rsid w:val="514E771A"/>
    <w:rsid w:val="51B4382B"/>
    <w:rsid w:val="52803AE4"/>
    <w:rsid w:val="528A5AE8"/>
    <w:rsid w:val="538C7778"/>
    <w:rsid w:val="538F1E7C"/>
    <w:rsid w:val="546C782C"/>
    <w:rsid w:val="54DE6C35"/>
    <w:rsid w:val="551157A3"/>
    <w:rsid w:val="551C0BAE"/>
    <w:rsid w:val="55362F9B"/>
    <w:rsid w:val="553E1482"/>
    <w:rsid w:val="564718DC"/>
    <w:rsid w:val="56665134"/>
    <w:rsid w:val="5758166F"/>
    <w:rsid w:val="57B277DD"/>
    <w:rsid w:val="58176AEE"/>
    <w:rsid w:val="586B6A32"/>
    <w:rsid w:val="5990127D"/>
    <w:rsid w:val="599527AB"/>
    <w:rsid w:val="599C0E6D"/>
    <w:rsid w:val="5A026FA5"/>
    <w:rsid w:val="5A380B96"/>
    <w:rsid w:val="5AA31DBD"/>
    <w:rsid w:val="5ACE5C9D"/>
    <w:rsid w:val="5ADB7654"/>
    <w:rsid w:val="5B156D3A"/>
    <w:rsid w:val="5BD3501A"/>
    <w:rsid w:val="5C0E22CD"/>
    <w:rsid w:val="5D211242"/>
    <w:rsid w:val="5D9D49F5"/>
    <w:rsid w:val="5DC56BE4"/>
    <w:rsid w:val="5DCE0087"/>
    <w:rsid w:val="5DD13863"/>
    <w:rsid w:val="5FC7230E"/>
    <w:rsid w:val="60006366"/>
    <w:rsid w:val="60352E5F"/>
    <w:rsid w:val="60675D31"/>
    <w:rsid w:val="609E371C"/>
    <w:rsid w:val="60DA66F3"/>
    <w:rsid w:val="61720E31"/>
    <w:rsid w:val="61722012"/>
    <w:rsid w:val="61F50A90"/>
    <w:rsid w:val="622C2433"/>
    <w:rsid w:val="64810C65"/>
    <w:rsid w:val="64BB7C08"/>
    <w:rsid w:val="64CB0CDD"/>
    <w:rsid w:val="64D73705"/>
    <w:rsid w:val="65DB42D5"/>
    <w:rsid w:val="65EC46C4"/>
    <w:rsid w:val="65ED1915"/>
    <w:rsid w:val="66AA4BC9"/>
    <w:rsid w:val="66B10390"/>
    <w:rsid w:val="676B256B"/>
    <w:rsid w:val="678C29CD"/>
    <w:rsid w:val="67A975F2"/>
    <w:rsid w:val="67F97BD7"/>
    <w:rsid w:val="684B6396"/>
    <w:rsid w:val="689C44C7"/>
    <w:rsid w:val="691427CE"/>
    <w:rsid w:val="6AA55F17"/>
    <w:rsid w:val="6AC41729"/>
    <w:rsid w:val="6AE92FB5"/>
    <w:rsid w:val="6B5B1171"/>
    <w:rsid w:val="6BA22313"/>
    <w:rsid w:val="6C353FEF"/>
    <w:rsid w:val="6CC50E50"/>
    <w:rsid w:val="6D3B6567"/>
    <w:rsid w:val="6D77332B"/>
    <w:rsid w:val="6D9A53F6"/>
    <w:rsid w:val="6DB71AA0"/>
    <w:rsid w:val="6DE05A84"/>
    <w:rsid w:val="6E966200"/>
    <w:rsid w:val="6EA77C40"/>
    <w:rsid w:val="6F4835C2"/>
    <w:rsid w:val="6F696F90"/>
    <w:rsid w:val="6F8974A8"/>
    <w:rsid w:val="6FB037CE"/>
    <w:rsid w:val="70152925"/>
    <w:rsid w:val="70935415"/>
    <w:rsid w:val="70BC291B"/>
    <w:rsid w:val="70CE5958"/>
    <w:rsid w:val="71502FC1"/>
    <w:rsid w:val="71EF0FA0"/>
    <w:rsid w:val="721101F2"/>
    <w:rsid w:val="722815B7"/>
    <w:rsid w:val="72A52697"/>
    <w:rsid w:val="73384B07"/>
    <w:rsid w:val="73E26085"/>
    <w:rsid w:val="740D0E8E"/>
    <w:rsid w:val="751D63D3"/>
    <w:rsid w:val="75AC36CA"/>
    <w:rsid w:val="763C5112"/>
    <w:rsid w:val="76962183"/>
    <w:rsid w:val="76B96437"/>
    <w:rsid w:val="76E9710E"/>
    <w:rsid w:val="77636B63"/>
    <w:rsid w:val="77F03C7B"/>
    <w:rsid w:val="78293150"/>
    <w:rsid w:val="784B70C0"/>
    <w:rsid w:val="78B23E01"/>
    <w:rsid w:val="798716FB"/>
    <w:rsid w:val="79C64BDE"/>
    <w:rsid w:val="7B110BE9"/>
    <w:rsid w:val="7B40302C"/>
    <w:rsid w:val="7B5F01E5"/>
    <w:rsid w:val="7BD76B13"/>
    <w:rsid w:val="7C0D66EA"/>
    <w:rsid w:val="7C85775F"/>
    <w:rsid w:val="7C8A4650"/>
    <w:rsid w:val="7CB24290"/>
    <w:rsid w:val="7CF51263"/>
    <w:rsid w:val="7D2850B0"/>
    <w:rsid w:val="7DEA3E2D"/>
    <w:rsid w:val="7EBB014B"/>
    <w:rsid w:val="7FD15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4"/>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5"/>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6"/>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27"/>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28"/>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29"/>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0"/>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1"/>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Balloon Text"/>
    <w:basedOn w:val="1"/>
    <w:link w:val="49"/>
    <w:semiHidden/>
    <w:unhideWhenUsed/>
    <w:qFormat/>
    <w:uiPriority w:val="99"/>
    <w:rPr>
      <w:sz w:val="18"/>
      <w:szCs w:val="18"/>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6">
    <w:name w:val="HTML Preformatted"/>
    <w:basedOn w:val="1"/>
    <w:link w:val="50"/>
    <w:semiHidden/>
    <w:unhideWhenUsed/>
    <w:qFormat/>
    <w:uiPriority w:val="99"/>
    <w:rPr>
      <w:rFonts w:ascii="Courier New" w:hAnsi="Courier New" w:cs="Courier New"/>
      <w:sz w:val="20"/>
      <w:szCs w:val="20"/>
    </w:rPr>
  </w:style>
  <w:style w:type="paragraph" w:styleId="17">
    <w:name w:val="Title"/>
    <w:basedOn w:val="1"/>
    <w:next w:val="1"/>
    <w:link w:val="32"/>
    <w:qFormat/>
    <w:uiPriority w:val="99"/>
    <w:pPr>
      <w:spacing w:before="240" w:after="60" w:line="360" w:lineRule="auto"/>
      <w:ind w:firstLine="200" w:firstLineChars="200"/>
      <w:jc w:val="center"/>
      <w:outlineLvl w:val="0"/>
    </w:pPr>
    <w:rPr>
      <w:rFonts w:ascii="Cambria" w:hAnsi="Cambria" w:cstheme="majorBidi"/>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Emphasis"/>
    <w:basedOn w:val="20"/>
    <w:qFormat/>
    <w:uiPriority w:val="99"/>
    <w:rPr>
      <w:rFonts w:cs="Times New Roman"/>
      <w:i/>
    </w:rPr>
  </w:style>
  <w:style w:type="character" w:customStyle="1" w:styleId="23">
    <w:name w:val="标题 1 Char"/>
    <w:basedOn w:val="20"/>
    <w:link w:val="2"/>
    <w:qFormat/>
    <w:uiPriority w:val="99"/>
    <w:rPr>
      <w:rFonts w:cs="Times New Roman"/>
      <w:b/>
      <w:bCs/>
      <w:kern w:val="44"/>
      <w:sz w:val="44"/>
      <w:szCs w:val="44"/>
    </w:rPr>
  </w:style>
  <w:style w:type="character" w:customStyle="1" w:styleId="24">
    <w:name w:val="标题 2 Char"/>
    <w:basedOn w:val="20"/>
    <w:link w:val="3"/>
    <w:qFormat/>
    <w:uiPriority w:val="99"/>
    <w:rPr>
      <w:rFonts w:ascii="Cambria" w:hAnsi="Cambria" w:cstheme="majorBidi"/>
      <w:b/>
      <w:bCs/>
      <w:sz w:val="32"/>
      <w:szCs w:val="32"/>
    </w:rPr>
  </w:style>
  <w:style w:type="character" w:customStyle="1" w:styleId="25">
    <w:name w:val="标题 3 Char"/>
    <w:basedOn w:val="20"/>
    <w:link w:val="4"/>
    <w:qFormat/>
    <w:uiPriority w:val="99"/>
    <w:rPr>
      <w:rFonts w:cs="Times New Roman"/>
      <w:b/>
      <w:bCs/>
      <w:sz w:val="32"/>
      <w:szCs w:val="32"/>
    </w:rPr>
  </w:style>
  <w:style w:type="character" w:customStyle="1" w:styleId="26">
    <w:name w:val="标题 4 Char"/>
    <w:basedOn w:val="20"/>
    <w:link w:val="5"/>
    <w:qFormat/>
    <w:uiPriority w:val="99"/>
    <w:rPr>
      <w:rFonts w:ascii="Cambria" w:hAnsi="Cambria" w:cstheme="majorBidi"/>
      <w:b/>
      <w:bCs/>
      <w:sz w:val="28"/>
      <w:szCs w:val="28"/>
    </w:rPr>
  </w:style>
  <w:style w:type="character" w:customStyle="1" w:styleId="27">
    <w:name w:val="标题 5 Char"/>
    <w:basedOn w:val="20"/>
    <w:link w:val="6"/>
    <w:qFormat/>
    <w:uiPriority w:val="99"/>
    <w:rPr>
      <w:rFonts w:cs="Times New Roman"/>
      <w:b/>
      <w:bCs/>
      <w:sz w:val="28"/>
      <w:szCs w:val="28"/>
    </w:rPr>
  </w:style>
  <w:style w:type="character" w:customStyle="1" w:styleId="28">
    <w:name w:val="标题 6 Char"/>
    <w:basedOn w:val="20"/>
    <w:link w:val="7"/>
    <w:qFormat/>
    <w:uiPriority w:val="99"/>
    <w:rPr>
      <w:rFonts w:ascii="Cambria" w:hAnsi="Cambria" w:cstheme="majorBidi"/>
      <w:b/>
      <w:bCs/>
      <w:sz w:val="24"/>
      <w:szCs w:val="24"/>
    </w:rPr>
  </w:style>
  <w:style w:type="character" w:customStyle="1" w:styleId="29">
    <w:name w:val="标题 7 Char"/>
    <w:basedOn w:val="20"/>
    <w:link w:val="8"/>
    <w:qFormat/>
    <w:uiPriority w:val="99"/>
    <w:rPr>
      <w:rFonts w:cs="Times New Roman"/>
      <w:b/>
      <w:bCs/>
      <w:sz w:val="24"/>
      <w:szCs w:val="24"/>
    </w:rPr>
  </w:style>
  <w:style w:type="character" w:customStyle="1" w:styleId="30">
    <w:name w:val="标题 8 Char"/>
    <w:basedOn w:val="20"/>
    <w:link w:val="9"/>
    <w:qFormat/>
    <w:uiPriority w:val="99"/>
    <w:rPr>
      <w:rFonts w:ascii="Cambria" w:hAnsi="Cambria" w:cstheme="majorBidi"/>
      <w:sz w:val="24"/>
      <w:szCs w:val="24"/>
    </w:rPr>
  </w:style>
  <w:style w:type="character" w:customStyle="1" w:styleId="31">
    <w:name w:val="标题 9 Char"/>
    <w:basedOn w:val="20"/>
    <w:link w:val="10"/>
    <w:qFormat/>
    <w:uiPriority w:val="99"/>
    <w:rPr>
      <w:rFonts w:ascii="Cambria" w:hAnsi="Cambria" w:cstheme="majorBidi"/>
      <w:szCs w:val="21"/>
    </w:rPr>
  </w:style>
  <w:style w:type="character" w:customStyle="1" w:styleId="32">
    <w:name w:val="标题 Char"/>
    <w:basedOn w:val="20"/>
    <w:link w:val="17"/>
    <w:qFormat/>
    <w:uiPriority w:val="99"/>
    <w:rPr>
      <w:rFonts w:ascii="Cambria" w:hAnsi="Cambria" w:cstheme="majorBidi"/>
      <w:b/>
      <w:bCs/>
      <w:sz w:val="32"/>
      <w:szCs w:val="32"/>
    </w:rPr>
  </w:style>
  <w:style w:type="character" w:customStyle="1" w:styleId="33">
    <w:name w:val="副标题 Char"/>
    <w:basedOn w:val="20"/>
    <w:link w:val="15"/>
    <w:qFormat/>
    <w:uiPriority w:val="99"/>
    <w:rPr>
      <w:rFonts w:ascii="Cambria" w:hAnsi="Cambria" w:cstheme="majorBidi"/>
      <w:b/>
      <w:bCs/>
      <w:kern w:val="28"/>
      <w:sz w:val="32"/>
      <w:szCs w:val="32"/>
    </w:rPr>
  </w:style>
  <w:style w:type="paragraph" w:styleId="34">
    <w:name w:val="No Spacing"/>
    <w:basedOn w:val="1"/>
    <w:link w:val="35"/>
    <w:qFormat/>
    <w:uiPriority w:val="99"/>
    <w:pPr>
      <w:ind w:firstLine="200" w:firstLineChars="200"/>
    </w:pPr>
    <w:rPr>
      <w:rFonts w:ascii="Calibri" w:hAnsi="Calibri"/>
      <w:szCs w:val="22"/>
    </w:rPr>
  </w:style>
  <w:style w:type="character" w:customStyle="1" w:styleId="35">
    <w:name w:val="无间隔 Char"/>
    <w:basedOn w:val="20"/>
    <w:link w:val="34"/>
    <w:qFormat/>
    <w:uiPriority w:val="99"/>
    <w:rPr>
      <w:rFonts w:cs="Times New Roman"/>
    </w:rPr>
  </w:style>
  <w:style w:type="paragraph" w:styleId="36">
    <w:name w:val="List Paragraph"/>
    <w:basedOn w:val="1"/>
    <w:qFormat/>
    <w:uiPriority w:val="99"/>
    <w:pPr>
      <w:spacing w:line="360" w:lineRule="auto"/>
      <w:ind w:firstLine="420" w:firstLineChars="200"/>
    </w:pPr>
    <w:rPr>
      <w:rFonts w:ascii="Calibri" w:hAnsi="Calibri"/>
      <w:szCs w:val="22"/>
    </w:rPr>
  </w:style>
  <w:style w:type="paragraph" w:styleId="37">
    <w:name w:val="Quote"/>
    <w:basedOn w:val="1"/>
    <w:next w:val="1"/>
    <w:link w:val="38"/>
    <w:qFormat/>
    <w:uiPriority w:val="99"/>
    <w:pPr>
      <w:spacing w:line="360" w:lineRule="auto"/>
      <w:ind w:firstLine="200" w:firstLineChars="200"/>
    </w:pPr>
    <w:rPr>
      <w:rFonts w:ascii="Calibri" w:hAnsi="Calibri"/>
      <w:i/>
      <w:iCs/>
      <w:color w:val="000000"/>
      <w:szCs w:val="22"/>
    </w:rPr>
  </w:style>
  <w:style w:type="character" w:customStyle="1" w:styleId="38">
    <w:name w:val="引用 Char"/>
    <w:basedOn w:val="20"/>
    <w:link w:val="37"/>
    <w:qFormat/>
    <w:uiPriority w:val="99"/>
    <w:rPr>
      <w:rFonts w:cs="Times New Roman"/>
      <w:i/>
      <w:iCs/>
      <w:color w:val="000000"/>
    </w:rPr>
  </w:style>
  <w:style w:type="paragraph" w:styleId="39">
    <w:name w:val="Intense Quote"/>
    <w:basedOn w:val="1"/>
    <w:next w:val="1"/>
    <w:link w:val="40"/>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0">
    <w:name w:val="明显引用 Char"/>
    <w:basedOn w:val="20"/>
    <w:link w:val="39"/>
    <w:qFormat/>
    <w:uiPriority w:val="99"/>
    <w:rPr>
      <w:rFonts w:cs="Times New Roman"/>
      <w:b/>
      <w:bCs/>
      <w:i/>
      <w:iCs/>
      <w:color w:val="4F81BD"/>
    </w:rPr>
  </w:style>
  <w:style w:type="character" w:customStyle="1" w:styleId="41">
    <w:name w:val="不明显强调1"/>
    <w:basedOn w:val="20"/>
    <w:qFormat/>
    <w:uiPriority w:val="99"/>
    <w:rPr>
      <w:i/>
      <w:color w:val="808080"/>
    </w:rPr>
  </w:style>
  <w:style w:type="character" w:customStyle="1" w:styleId="42">
    <w:name w:val="明显强调1"/>
    <w:basedOn w:val="20"/>
    <w:qFormat/>
    <w:uiPriority w:val="99"/>
    <w:rPr>
      <w:b/>
      <w:i/>
      <w:color w:val="4F81BD"/>
    </w:rPr>
  </w:style>
  <w:style w:type="character" w:customStyle="1" w:styleId="43">
    <w:name w:val="不明显参考1"/>
    <w:basedOn w:val="20"/>
    <w:qFormat/>
    <w:uiPriority w:val="99"/>
    <w:rPr>
      <w:smallCaps/>
      <w:color w:val="C0504D"/>
      <w:u w:val="single"/>
    </w:rPr>
  </w:style>
  <w:style w:type="character" w:customStyle="1" w:styleId="44">
    <w:name w:val="明显参考1"/>
    <w:basedOn w:val="20"/>
    <w:qFormat/>
    <w:uiPriority w:val="99"/>
    <w:rPr>
      <w:b/>
      <w:smallCaps/>
      <w:color w:val="C0504D"/>
      <w:spacing w:val="5"/>
      <w:u w:val="single"/>
    </w:rPr>
  </w:style>
  <w:style w:type="character" w:customStyle="1" w:styleId="45">
    <w:name w:val="书籍标题1"/>
    <w:basedOn w:val="20"/>
    <w:qFormat/>
    <w:uiPriority w:val="99"/>
    <w:rPr>
      <w:b/>
      <w:smallCaps/>
      <w:spacing w:val="5"/>
    </w:rPr>
  </w:style>
  <w:style w:type="paragraph" w:customStyle="1" w:styleId="46">
    <w:name w:val="TOC 标题1"/>
    <w:basedOn w:val="2"/>
    <w:next w:val="1"/>
    <w:qFormat/>
    <w:uiPriority w:val="99"/>
    <w:pPr>
      <w:outlineLvl w:val="9"/>
    </w:pPr>
  </w:style>
  <w:style w:type="character" w:customStyle="1" w:styleId="47">
    <w:name w:val="页眉 Char"/>
    <w:basedOn w:val="20"/>
    <w:link w:val="14"/>
    <w:qFormat/>
    <w:uiPriority w:val="99"/>
    <w:rPr>
      <w:rFonts w:ascii="Times New Roman" w:hAnsi="Times New Roman"/>
      <w:sz w:val="18"/>
      <w:szCs w:val="18"/>
    </w:rPr>
  </w:style>
  <w:style w:type="character" w:customStyle="1" w:styleId="48">
    <w:name w:val="页脚 Char"/>
    <w:basedOn w:val="20"/>
    <w:link w:val="13"/>
    <w:qFormat/>
    <w:uiPriority w:val="99"/>
    <w:rPr>
      <w:rFonts w:ascii="Times New Roman" w:hAnsi="Times New Roman"/>
      <w:sz w:val="18"/>
      <w:szCs w:val="18"/>
    </w:rPr>
  </w:style>
  <w:style w:type="character" w:customStyle="1" w:styleId="49">
    <w:name w:val="批注框文本 Char"/>
    <w:basedOn w:val="20"/>
    <w:link w:val="12"/>
    <w:semiHidden/>
    <w:qFormat/>
    <w:uiPriority w:val="99"/>
    <w:rPr>
      <w:rFonts w:ascii="Times New Roman" w:hAnsi="Times New Roman"/>
      <w:sz w:val="18"/>
      <w:szCs w:val="18"/>
    </w:rPr>
  </w:style>
  <w:style w:type="character" w:customStyle="1" w:styleId="50">
    <w:name w:val="HTML 预设格式 Char"/>
    <w:basedOn w:val="20"/>
    <w:link w:val="16"/>
    <w:semiHidden/>
    <w:qFormat/>
    <w:uiPriority w:val="99"/>
    <w:rPr>
      <w:rFonts w:ascii="Courier New" w:hAnsi="Courier New" w:cs="Courier New"/>
      <w:sz w:val="20"/>
      <w:szCs w:val="20"/>
    </w:rPr>
  </w:style>
  <w:style w:type="paragraph" w:customStyle="1" w:styleId="5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9A682C4D-29BB-43C1-806B-BB100F1F59C8}">
  <ds:schemaRefs/>
</ds:datastoreItem>
</file>

<file path=customXml/itemProps2.xml><?xml version="1.0" encoding="utf-8"?>
<ds:datastoreItem xmlns:ds="http://schemas.openxmlformats.org/officeDocument/2006/customXml" ds:itemID="{644FD9AB-FAA4-42EC-9B93-0CCF02161E0D}">
  <ds:schemaRefs/>
</ds:datastoreItem>
</file>

<file path=docProps/app.xml><?xml version="1.0" encoding="utf-8"?>
<Properties xmlns="http://schemas.openxmlformats.org/officeDocument/2006/extended-properties" xmlns:vt="http://schemas.openxmlformats.org/officeDocument/2006/docPropsVTypes">
  <Template>Normal</Template>
  <Company>yw</Company>
  <Pages>3</Pages>
  <Words>1128</Words>
  <Characters>1177</Characters>
  <Lines>12</Lines>
  <Paragraphs>3</Paragraphs>
  <TotalTime>0</TotalTime>
  <ScaleCrop>false</ScaleCrop>
  <LinksUpToDate>false</LinksUpToDate>
  <CharactersWithSpaces>1323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2024-12-02T07:13:00Z</dcterms:created>
  <dc:creator>cw</dc:creator>
  <cp:lastModifiedBy>蒋一</cp:lastModifiedBy>
  <cp:lastPrinted>2025-05-30T05:13:00Z</cp:lastPrinted>
  <dcterms:modified xsi:type="dcterms:W3CDTF">2025-06-26T05:52:51Z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8CF974CF60524F0AA79966AFCEC31019_13</vt:lpwstr>
  </property>
</Properties>
</file>