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4414" w14:textId="77777777" w:rsidR="006E7266" w:rsidRDefault="00FE352E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</w:t>
      </w:r>
      <w:r>
        <w:rPr>
          <w:rFonts w:ascii="黑体" w:eastAsia="黑体" w:hAnsi="黑体" w:hint="eastAsia"/>
          <w:bCs/>
          <w:sz w:val="24"/>
        </w:rPr>
        <w:t xml:space="preserve">601187                                  </w:t>
      </w:r>
      <w:r>
        <w:rPr>
          <w:rFonts w:ascii="黑体" w:eastAsia="黑体" w:hAnsi="黑体" w:hint="eastAsia"/>
          <w:bCs/>
          <w:sz w:val="24"/>
        </w:rPr>
        <w:t>证券简称：厦门银行</w:t>
      </w:r>
    </w:p>
    <w:p w14:paraId="08289FC4" w14:textId="77777777" w:rsidR="006E7266" w:rsidRDefault="00FE352E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1985D648" w14:textId="77777777" w:rsidR="006E7266" w:rsidRDefault="00FE352E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</w:t>
      </w:r>
      <w:bookmarkStart w:id="0" w:name="OLE_LINK1"/>
      <w:bookmarkStart w:id="1" w:name="OLE_LINK2"/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活动记录表</w:t>
      </w:r>
      <w:bookmarkEnd w:id="0"/>
      <w:bookmarkEnd w:id="1"/>
    </w:p>
    <w:p w14:paraId="3E7A44D9" w14:textId="77777777" w:rsidR="006E7266" w:rsidRDefault="00FE352E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</w:t>
      </w:r>
      <w:r>
        <w:rPr>
          <w:rFonts w:ascii="宋体" w:eastAsia="宋体" w:hAnsi="宋体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hint="eastAsia"/>
          <w:bCs/>
          <w:iCs/>
          <w:color w:val="000000"/>
          <w:sz w:val="24"/>
        </w:rPr>
        <w:t>202</w:t>
      </w:r>
      <w:r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>
        <w:rPr>
          <w:rFonts w:ascii="宋体" w:eastAsia="宋体" w:hAnsi="宋体"/>
          <w:bCs/>
          <w:iCs/>
          <w:color w:val="000000"/>
          <w:sz w:val="24"/>
        </w:rPr>
        <w:t>06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6E7266" w14:paraId="4C58CE23" w14:textId="77777777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79D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4586D99F" w14:textId="77777777" w:rsidR="006E7266" w:rsidRDefault="006E7266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EB4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特定对象调研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分析师会议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74A4A657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新闻发布会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6B8E4779" w14:textId="77777777" w:rsidR="006E7266" w:rsidRDefault="00FE352E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6E7266" w14:paraId="4AD99B59" w14:textId="77777777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530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833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中泰证券、博时基金、工银安盛、光大永明、宏利基金、民生加银、民生通惠、南方基金、诺</w:t>
            </w:r>
            <w:bookmarkStart w:id="2" w:name="_GoBack"/>
            <w:bookmarkEnd w:id="2"/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安基金、上海东方、上海混沌、申万菱信、泰康资产、同泰基金、万家基金、新疆前海、长信基金、中金基金、中信建投基金、中信证券资管等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家机构、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人次参加电话会议</w:t>
            </w:r>
          </w:p>
        </w:tc>
      </w:tr>
      <w:tr w:rsidR="006E7266" w14:paraId="00580437" w14:textId="77777777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19D" w14:textId="77777777" w:rsidR="006E7266" w:rsidRDefault="00FE352E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10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日（星期二）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6E7266" w14:paraId="0DC5C110" w14:textId="77777777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2C2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FD5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电话会议</w:t>
            </w:r>
          </w:p>
        </w:tc>
      </w:tr>
      <w:tr w:rsidR="006E7266" w14:paraId="0E4A8CB3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EC1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7F0" w14:textId="77777777" w:rsidR="006E7266" w:rsidRDefault="00FE352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董事会办公室、计划财务部等相关部门领导</w:t>
            </w:r>
          </w:p>
        </w:tc>
      </w:tr>
      <w:tr w:rsidR="006E7266" w14:paraId="6A2BA1DC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1E7" w14:textId="77777777" w:rsidR="006E7266" w:rsidRDefault="00FE352E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193" w14:textId="77777777" w:rsidR="006E7266" w:rsidRDefault="00FE352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一、公司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“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2+3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“的战略可否从时间和步骤上拆解一下，要实现哪些目标，各个目标时间上的规划是怎样的？</w:t>
            </w:r>
          </w:p>
          <w:p w14:paraId="2B2E6C8F" w14:textId="17B7B4BB" w:rsidR="006E7266" w:rsidRDefault="00FA0597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Del="00FA059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我行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“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2+3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”战略规划，是在本轮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2024-2026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年三年战略规划基础上的延续和升华。目前我行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正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在积极推动“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2+3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”五年战略规划相关工作，</w:t>
            </w:r>
            <w:r w:rsidR="00FE352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兼顾短中长期。从短期看，抓细分市场，资产端稳步上量，负债端做稳做实；抓息差管控，提高传统商行业务占比，持续提升金融市场条线盈利能力；抓客户经营，既要做大客户基数，也要深化客户经营。从中长期看，要推动人才赋能、科技赋能、机制赋能、文化赋能。</w:t>
            </w:r>
          </w:p>
          <w:p w14:paraId="2C0AD209" w14:textId="77777777" w:rsidR="006E7266" w:rsidRDefault="00FE352E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整体来讲，“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2+3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”五年战略规划的主题是“稳”“进”“立”。一是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巩固“稳”的基础，做到站位更稳、效益更稳、风控更稳。二是积蓄“进”的势能，本行正处于转型的关键阶段，底子比较稳、包袱比较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lastRenderedPageBreak/>
              <w:t>轻，有广阔发展空间，未来将重点在区位优势、经营特色和产能提升三个方面以进促稳。三是发挥“立”的作用，重点通过科技赋能、产品创新和体制机制优化，增强内生动能，实现转型突围。</w:t>
            </w:r>
          </w:p>
          <w:p w14:paraId="36286E80" w14:textId="77777777" w:rsidR="006E7266" w:rsidRDefault="00FE352E" w:rsidP="00FA0597">
            <w:pPr>
              <w:spacing w:line="560" w:lineRule="exact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二、区域扩张的战略是怎样的？哪些区域会优先发力？</w:t>
            </w:r>
          </w:p>
          <w:p w14:paraId="65E1F347" w14:textId="0F2ABA92" w:rsidR="006E7266" w:rsidRDefault="00FE352E" w:rsidP="00FA0597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区域战略方面，一是稳固强化厦门“大本营”的核心地位，深耕本土，服务地方实体经济；二是打造福州、重庆、泉州、漳州等第二梯队的“增长极”，</w:t>
            </w:r>
            <w:r w:rsidR="00FA0597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我行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近期已针对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分行制定差异化高质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量发展的若干措施，充分挖掘增长潜力；三是针对其他分行，持续挖潜增长动能的同时，匹配当地发展战略和产业结构调整规划并做出特色。下一步，在经过深入研究分析后，将相关策略体现在发展战略的优化调整和具体举措的制定中。</w:t>
            </w:r>
          </w:p>
          <w:p w14:paraId="243DCB2E" w14:textId="77777777" w:rsidR="006E7266" w:rsidRDefault="00FE352E" w:rsidP="00FA0597">
            <w:pPr>
              <w:spacing w:line="560" w:lineRule="exact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三、公司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过往的优势客群我们未来怎么考量？</w:t>
            </w:r>
          </w:p>
          <w:p w14:paraId="22CCE9E8" w14:textId="75442A8F" w:rsidR="006E7266" w:rsidRDefault="00FE352E" w:rsidP="00FA0597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作为福建省首家上市的城商行，</w:t>
            </w:r>
            <w:r w:rsidR="00FA059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我行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聚焦中小，深耕海西，积极落实国家惠企政策，将持续提升普惠金融服务质效。在营销组织上，主动融入小微企业融资协定机制，通过主动进园区、访协会、拓商圈、联社区、入乡村、走企业，切实开展千企万户大走访。在客群支持上，满足重点领域小微企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金融需求，重点支持“普惠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产业”、“普惠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园区”、“普惠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科技”等客群。在产品建设上，持续丰富、完善产品服务，搭建信贷工厂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2.0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辅助审批流程，通过引入内外部大数据，构建智能审批、风控模型，实现科技赋能，解决小微企业“融资难”、“融资慢”的问题。在组织架构上，厦门银行在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家分行设置“普惠金融部”，累计成立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39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家专业性支行，通过专业化分工、精准化服务，推动普惠金融的高质量发展。</w:t>
            </w:r>
          </w:p>
          <w:p w14:paraId="3BDB612C" w14:textId="4C1C949C" w:rsidR="006E7266" w:rsidRDefault="00FE352E" w:rsidP="00FA0597">
            <w:pPr>
              <w:spacing w:line="560" w:lineRule="exact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在两岸金融业务方面，</w:t>
            </w:r>
            <w:r w:rsidR="008255D4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我行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目前是福建省台企授信户数、针对台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lastRenderedPageBreak/>
              <w:t>胞发放信用卡数最多的金融机构，将积极做好产品配套和服务，进一步加大对台企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台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胞的覆盖率和占有率，保持并不断提升两岸金融业务的市场优势，以高目标驱动，加大资源倾斜力度，做好专营工作，切实把这个金字招牌擦得更亮。</w:t>
            </w:r>
          </w:p>
        </w:tc>
      </w:tr>
    </w:tbl>
    <w:p w14:paraId="26ED5CB3" w14:textId="77777777" w:rsidR="006E7266" w:rsidRDefault="006E7266"/>
    <w:sectPr w:rsidR="006E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FC8F1" w14:textId="77777777" w:rsidR="00FE352E" w:rsidRDefault="00FE352E" w:rsidP="00FA0597">
      <w:r>
        <w:separator/>
      </w:r>
    </w:p>
  </w:endnote>
  <w:endnote w:type="continuationSeparator" w:id="0">
    <w:p w14:paraId="37BB4A89" w14:textId="77777777" w:rsidR="00FE352E" w:rsidRDefault="00FE352E" w:rsidP="00FA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D7C2B" w14:textId="77777777" w:rsidR="00FE352E" w:rsidRDefault="00FE352E" w:rsidP="00FA0597">
      <w:r>
        <w:separator/>
      </w:r>
    </w:p>
  </w:footnote>
  <w:footnote w:type="continuationSeparator" w:id="0">
    <w:p w14:paraId="306157B8" w14:textId="77777777" w:rsidR="00FE352E" w:rsidRDefault="00FE352E" w:rsidP="00FA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1C3E"/>
    <w:rsid w:val="000374E5"/>
    <w:rsid w:val="00056E17"/>
    <w:rsid w:val="000865C3"/>
    <w:rsid w:val="000915CF"/>
    <w:rsid w:val="00094D1A"/>
    <w:rsid w:val="000A2087"/>
    <w:rsid w:val="000D5CBE"/>
    <w:rsid w:val="00120083"/>
    <w:rsid w:val="0012483B"/>
    <w:rsid w:val="00130152"/>
    <w:rsid w:val="00135452"/>
    <w:rsid w:val="001670CA"/>
    <w:rsid w:val="001747CA"/>
    <w:rsid w:val="001A703D"/>
    <w:rsid w:val="001B212A"/>
    <w:rsid w:val="001B2ABC"/>
    <w:rsid w:val="001C6A12"/>
    <w:rsid w:val="001E3243"/>
    <w:rsid w:val="001E52EF"/>
    <w:rsid w:val="001F7504"/>
    <w:rsid w:val="002635DC"/>
    <w:rsid w:val="00267B38"/>
    <w:rsid w:val="00270456"/>
    <w:rsid w:val="0028137A"/>
    <w:rsid w:val="00290665"/>
    <w:rsid w:val="0029668A"/>
    <w:rsid w:val="002A5E7C"/>
    <w:rsid w:val="002E664F"/>
    <w:rsid w:val="002F3829"/>
    <w:rsid w:val="00320B81"/>
    <w:rsid w:val="00321BD4"/>
    <w:rsid w:val="00326BE1"/>
    <w:rsid w:val="0036439D"/>
    <w:rsid w:val="003837F6"/>
    <w:rsid w:val="003E0254"/>
    <w:rsid w:val="00403237"/>
    <w:rsid w:val="004077D5"/>
    <w:rsid w:val="00426705"/>
    <w:rsid w:val="004A7CA0"/>
    <w:rsid w:val="005063C5"/>
    <w:rsid w:val="00527972"/>
    <w:rsid w:val="00570264"/>
    <w:rsid w:val="00603E82"/>
    <w:rsid w:val="006216D4"/>
    <w:rsid w:val="00646111"/>
    <w:rsid w:val="00664EE9"/>
    <w:rsid w:val="006818F9"/>
    <w:rsid w:val="006A4D81"/>
    <w:rsid w:val="006C3B27"/>
    <w:rsid w:val="006E46D6"/>
    <w:rsid w:val="006E7266"/>
    <w:rsid w:val="006F1763"/>
    <w:rsid w:val="006F21D2"/>
    <w:rsid w:val="006F6419"/>
    <w:rsid w:val="00701E12"/>
    <w:rsid w:val="007021F0"/>
    <w:rsid w:val="007123BE"/>
    <w:rsid w:val="00712441"/>
    <w:rsid w:val="007416B9"/>
    <w:rsid w:val="00761EA7"/>
    <w:rsid w:val="00767A4B"/>
    <w:rsid w:val="007814C6"/>
    <w:rsid w:val="00797EFD"/>
    <w:rsid w:val="007A1202"/>
    <w:rsid w:val="007E5C96"/>
    <w:rsid w:val="008048E1"/>
    <w:rsid w:val="00821EF4"/>
    <w:rsid w:val="008255D4"/>
    <w:rsid w:val="00877250"/>
    <w:rsid w:val="00884803"/>
    <w:rsid w:val="00886535"/>
    <w:rsid w:val="00887E15"/>
    <w:rsid w:val="008A62BB"/>
    <w:rsid w:val="008B5D1F"/>
    <w:rsid w:val="008C7D83"/>
    <w:rsid w:val="009076CD"/>
    <w:rsid w:val="00934C25"/>
    <w:rsid w:val="00990948"/>
    <w:rsid w:val="00991DBA"/>
    <w:rsid w:val="009E6D7D"/>
    <w:rsid w:val="00A10A28"/>
    <w:rsid w:val="00A5429A"/>
    <w:rsid w:val="00A814F8"/>
    <w:rsid w:val="00AC2FA0"/>
    <w:rsid w:val="00AC7B52"/>
    <w:rsid w:val="00AD0D20"/>
    <w:rsid w:val="00AD6116"/>
    <w:rsid w:val="00AE6F23"/>
    <w:rsid w:val="00AF3539"/>
    <w:rsid w:val="00B07DAF"/>
    <w:rsid w:val="00B23959"/>
    <w:rsid w:val="00B24A2C"/>
    <w:rsid w:val="00B409BC"/>
    <w:rsid w:val="00B71CD2"/>
    <w:rsid w:val="00B85459"/>
    <w:rsid w:val="00B95A2D"/>
    <w:rsid w:val="00BB6CDC"/>
    <w:rsid w:val="00BE4725"/>
    <w:rsid w:val="00BF547B"/>
    <w:rsid w:val="00BF6F12"/>
    <w:rsid w:val="00C07040"/>
    <w:rsid w:val="00C21162"/>
    <w:rsid w:val="00C3197B"/>
    <w:rsid w:val="00C77883"/>
    <w:rsid w:val="00D46CC5"/>
    <w:rsid w:val="00D7022F"/>
    <w:rsid w:val="00D73204"/>
    <w:rsid w:val="00D837F5"/>
    <w:rsid w:val="00D860E0"/>
    <w:rsid w:val="00DA4FC7"/>
    <w:rsid w:val="00DB4378"/>
    <w:rsid w:val="00DE6B5E"/>
    <w:rsid w:val="00DF0553"/>
    <w:rsid w:val="00E3527B"/>
    <w:rsid w:val="00E65E57"/>
    <w:rsid w:val="00E868EC"/>
    <w:rsid w:val="00EE18C5"/>
    <w:rsid w:val="00EE4F1A"/>
    <w:rsid w:val="00F10BB8"/>
    <w:rsid w:val="00F24494"/>
    <w:rsid w:val="00F430C2"/>
    <w:rsid w:val="00F74796"/>
    <w:rsid w:val="00FA0123"/>
    <w:rsid w:val="00FA0597"/>
    <w:rsid w:val="00FA721E"/>
    <w:rsid w:val="00FE352E"/>
    <w:rsid w:val="65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5BB244-8417-4BB6-AF29-37E90C9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9">
    <w:name w:val="No Spacing"/>
    <w:uiPriority w:val="1"/>
    <w:qFormat/>
    <w:pPr>
      <w:widowControl w:val="0"/>
    </w:pPr>
    <w:rPr>
      <w:kern w:val="2"/>
      <w:sz w:val="22"/>
      <w:szCs w:val="24"/>
      <w14:ligatures w14:val="standardContextual"/>
    </w:rPr>
  </w:style>
  <w:style w:type="character" w:customStyle="1" w:styleId="Char">
    <w:name w:val="批注文字 Char"/>
    <w:basedOn w:val="a0"/>
    <w:link w:val="a3"/>
    <w:uiPriority w:val="99"/>
    <w:semiHidden/>
    <w:rPr>
      <w:rFonts w:ascii="Calibri" w:eastAsia="微软雅黑" w:hAnsi="Calibri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Calibri" w:eastAsia="微软雅黑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240</Words>
  <Characters>1369</Characters>
  <Application>Microsoft Office Word</Application>
  <DocSecurity>0</DocSecurity>
  <Lines>11</Lines>
  <Paragraphs>3</Paragraphs>
  <ScaleCrop>false</ScaleCrop>
  <Company>AB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邱素萍</dc:creator>
  <cp:lastModifiedBy>邱素萍</cp:lastModifiedBy>
  <cp:revision>10</cp:revision>
  <dcterms:created xsi:type="dcterms:W3CDTF">2025-06-06T09:19:00Z</dcterms:created>
  <dcterms:modified xsi:type="dcterms:W3CDTF">2025-06-26T10:38:00Z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eyJoZGlkIjoiMzEwNTM5NzYwMDRjMzkwZTVkZjY2ODkwMGIxNGU0OTUiLCJ1c2VySWQiOiI0NDY0NTgyODUifQ==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81254AA92C6E4EF492951CB416DB6834_12</vt:lpwstr>
  </property>
</Properties>
</file>