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EAD4" w14:textId="77777777" w:rsidR="00591DB7"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宁波弘讯科技股份有限公司投资者关系活动记录表</w:t>
      </w:r>
    </w:p>
    <w:p w14:paraId="2CC99E62" w14:textId="34455842" w:rsidR="00591DB7" w:rsidRDefault="00000000">
      <w:pPr>
        <w:spacing w:line="400" w:lineRule="exact"/>
        <w:rPr>
          <w:rFonts w:ascii="宋体" w:hAnsi="宋体" w:hint="eastAsia"/>
          <w:bCs/>
          <w:iCs/>
          <w:color w:val="000000"/>
          <w:sz w:val="24"/>
          <w:szCs w:val="24"/>
        </w:rPr>
      </w:pPr>
      <w:r>
        <w:rPr>
          <w:rFonts w:ascii="宋体" w:hAnsi="宋体" w:hint="eastAsia"/>
          <w:bCs/>
          <w:iCs/>
          <w:color w:val="000000"/>
          <w:sz w:val="24"/>
          <w:szCs w:val="24"/>
        </w:rPr>
        <w:t xml:space="preserve">                                                   编号：2025</w:t>
      </w:r>
      <w:r>
        <w:rPr>
          <w:rFonts w:ascii="宋体" w:hAnsi="宋体"/>
          <w:bCs/>
          <w:iCs/>
          <w:color w:val="000000"/>
          <w:sz w:val="24"/>
          <w:szCs w:val="24"/>
        </w:rPr>
        <w:t>0</w:t>
      </w:r>
      <w:r>
        <w:rPr>
          <w:rFonts w:ascii="宋体" w:hAnsi="宋体" w:hint="eastAsia"/>
          <w:bCs/>
          <w:iCs/>
          <w:color w:val="000000"/>
          <w:sz w:val="24"/>
          <w:szCs w:val="24"/>
        </w:rPr>
        <w:t>6</w:t>
      </w:r>
      <w:r w:rsidR="00404A17">
        <w:rPr>
          <w:rFonts w:ascii="宋体" w:hAnsi="宋体" w:hint="eastAsia"/>
          <w:bCs/>
          <w:iCs/>
          <w:color w:val="000000"/>
          <w:sz w:val="24"/>
          <w:szCs w:val="24"/>
        </w:rPr>
        <w:t>27</w:t>
      </w:r>
      <w:r w:rsidR="009E377E">
        <w:rPr>
          <w:rFonts w:ascii="宋体" w:hAnsi="宋体" w:hint="eastAsia"/>
          <w:bCs/>
          <w:iCs/>
          <w:color w:val="000000"/>
          <w:sz w:val="24"/>
          <w:szCs w:val="24"/>
        </w:rPr>
        <w:t>-汇总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6932"/>
      </w:tblGrid>
      <w:tr w:rsidR="00591DB7" w14:paraId="0496526E" w14:textId="77777777">
        <w:trPr>
          <w:trHeight w:val="2286"/>
        </w:trPr>
        <w:tc>
          <w:tcPr>
            <w:tcW w:w="1686" w:type="dxa"/>
            <w:tcBorders>
              <w:top w:val="single" w:sz="4" w:space="0" w:color="auto"/>
              <w:left w:val="single" w:sz="4" w:space="0" w:color="auto"/>
              <w:bottom w:val="single" w:sz="4" w:space="0" w:color="auto"/>
              <w:right w:val="single" w:sz="4" w:space="0" w:color="auto"/>
            </w:tcBorders>
            <w:vAlign w:val="center"/>
          </w:tcPr>
          <w:p w14:paraId="4DCDE77F" w14:textId="77777777" w:rsidR="00591DB7" w:rsidRDefault="00000000">
            <w:pPr>
              <w:spacing w:line="480" w:lineRule="atLeast"/>
              <w:jc w:val="center"/>
              <w:rPr>
                <w:rFonts w:ascii="宋体" w:hAnsi="宋体" w:hint="eastAsia"/>
                <w:bCs/>
                <w:iCs/>
                <w:color w:val="000000"/>
                <w:sz w:val="24"/>
                <w:szCs w:val="24"/>
              </w:rPr>
            </w:pPr>
            <w:r>
              <w:rPr>
                <w:rFonts w:ascii="宋体" w:hAnsi="宋体" w:hint="eastAsia"/>
                <w:bCs/>
                <w:iCs/>
                <w:color w:val="000000"/>
                <w:sz w:val="24"/>
                <w:szCs w:val="24"/>
              </w:rPr>
              <w:t>投资者关系活动类别</w:t>
            </w:r>
          </w:p>
        </w:tc>
        <w:tc>
          <w:tcPr>
            <w:tcW w:w="6932" w:type="dxa"/>
            <w:tcBorders>
              <w:top w:val="single" w:sz="4" w:space="0" w:color="auto"/>
              <w:left w:val="single" w:sz="4" w:space="0" w:color="auto"/>
              <w:bottom w:val="single" w:sz="4" w:space="0" w:color="auto"/>
              <w:right w:val="single" w:sz="4" w:space="0" w:color="auto"/>
            </w:tcBorders>
          </w:tcPr>
          <w:p w14:paraId="6F36E16E" w14:textId="77777777" w:rsidR="00591DB7" w:rsidRDefault="00000000">
            <w:pPr>
              <w:spacing w:line="480" w:lineRule="atLeast"/>
              <w:rPr>
                <w:rFonts w:ascii="宋体" w:hAnsi="宋体" w:hint="eastAsia"/>
                <w:bCs/>
                <w:iCs/>
                <w:color w:val="000000"/>
                <w:sz w:val="24"/>
                <w:szCs w:val="24"/>
              </w:rPr>
            </w:pPr>
            <w:r>
              <w:rPr>
                <w:rFonts w:ascii="宋体" w:hAnsi="宋体" w:hint="eastAsia"/>
                <w:bCs/>
                <w:iCs/>
                <w:color w:val="000000"/>
                <w:sz w:val="24"/>
                <w:szCs w:val="24"/>
              </w:rPr>
              <w:t>□</w:t>
            </w:r>
            <w:r>
              <w:rPr>
                <w:rFonts w:ascii="宋体" w:hAnsi="宋体" w:hint="eastAsia"/>
                <w:sz w:val="28"/>
                <w:szCs w:val="28"/>
              </w:rPr>
              <w:t xml:space="preserve">特定对象调研       </w:t>
            </w:r>
            <w:r>
              <w:rPr>
                <w:rFonts w:ascii="宋体" w:hAnsi="宋体" w:hint="eastAsia"/>
                <w:bCs/>
                <w:iCs/>
                <w:color w:val="000000"/>
                <w:sz w:val="24"/>
                <w:szCs w:val="24"/>
              </w:rPr>
              <w:t>√</w:t>
            </w:r>
            <w:r>
              <w:rPr>
                <w:rFonts w:ascii="宋体" w:hAnsi="宋体" w:hint="eastAsia"/>
                <w:sz w:val="28"/>
                <w:szCs w:val="28"/>
              </w:rPr>
              <w:t>分析师会议</w:t>
            </w:r>
          </w:p>
          <w:p w14:paraId="27732130" w14:textId="77777777" w:rsidR="00591DB7" w:rsidRDefault="00000000">
            <w:pPr>
              <w:spacing w:line="480" w:lineRule="atLeast"/>
              <w:rPr>
                <w:rFonts w:ascii="宋体" w:hAnsi="宋体" w:hint="eastAsia"/>
                <w:bCs/>
                <w:iCs/>
                <w:color w:val="000000"/>
                <w:sz w:val="24"/>
                <w:szCs w:val="24"/>
              </w:rPr>
            </w:pPr>
            <w:bookmarkStart w:id="0" w:name="OLE_LINK1"/>
            <w:r>
              <w:rPr>
                <w:rFonts w:ascii="宋体" w:hAnsi="宋体" w:hint="eastAsia"/>
                <w:bCs/>
                <w:iCs/>
                <w:color w:val="000000"/>
                <w:sz w:val="24"/>
                <w:szCs w:val="24"/>
              </w:rPr>
              <w:t>□</w:t>
            </w:r>
            <w:bookmarkEnd w:id="0"/>
            <w:r>
              <w:rPr>
                <w:rFonts w:ascii="宋体" w:hAnsi="宋体" w:hint="eastAsia"/>
                <w:sz w:val="28"/>
                <w:szCs w:val="28"/>
              </w:rPr>
              <w:t xml:space="preserve">媒体采访            </w:t>
            </w:r>
            <w:r>
              <w:rPr>
                <w:rFonts w:ascii="宋体" w:hAnsi="宋体" w:hint="eastAsia"/>
                <w:bCs/>
                <w:iCs/>
                <w:color w:val="000000"/>
                <w:sz w:val="24"/>
                <w:szCs w:val="24"/>
              </w:rPr>
              <w:t>□</w:t>
            </w:r>
            <w:r>
              <w:rPr>
                <w:rFonts w:ascii="宋体" w:hAnsi="宋体" w:hint="eastAsia"/>
                <w:sz w:val="28"/>
                <w:szCs w:val="28"/>
              </w:rPr>
              <w:t>业绩说明会</w:t>
            </w:r>
          </w:p>
          <w:p w14:paraId="06CCFB65" w14:textId="77777777" w:rsidR="00591DB7" w:rsidRDefault="00000000">
            <w:pPr>
              <w:spacing w:line="480" w:lineRule="atLeast"/>
              <w:rPr>
                <w:rFonts w:ascii="宋体" w:hAnsi="宋体" w:hint="eastAsia"/>
                <w:bCs/>
                <w:iCs/>
                <w:color w:val="000000"/>
                <w:sz w:val="24"/>
                <w:szCs w:val="24"/>
              </w:rPr>
            </w:pPr>
            <w:r>
              <w:rPr>
                <w:rFonts w:ascii="宋体" w:hAnsi="宋体" w:hint="eastAsia"/>
                <w:bCs/>
                <w:iCs/>
                <w:color w:val="000000"/>
                <w:sz w:val="24"/>
                <w:szCs w:val="24"/>
              </w:rPr>
              <w:t>□</w:t>
            </w:r>
            <w:r>
              <w:rPr>
                <w:rFonts w:ascii="宋体" w:hAnsi="宋体" w:hint="eastAsia"/>
                <w:sz w:val="28"/>
                <w:szCs w:val="28"/>
              </w:rPr>
              <w:t xml:space="preserve">新闻发布会          </w:t>
            </w:r>
            <w:r>
              <w:rPr>
                <w:rFonts w:ascii="宋体" w:hAnsi="宋体" w:hint="eastAsia"/>
                <w:bCs/>
                <w:iCs/>
                <w:color w:val="000000"/>
                <w:sz w:val="24"/>
                <w:szCs w:val="24"/>
              </w:rPr>
              <w:t>□</w:t>
            </w:r>
            <w:r>
              <w:rPr>
                <w:rFonts w:ascii="宋体" w:hAnsi="宋体" w:hint="eastAsia"/>
                <w:sz w:val="28"/>
                <w:szCs w:val="28"/>
              </w:rPr>
              <w:t>路演活动</w:t>
            </w:r>
          </w:p>
          <w:p w14:paraId="00D4F3B7" w14:textId="77777777" w:rsidR="00591DB7" w:rsidRDefault="00000000">
            <w:pPr>
              <w:tabs>
                <w:tab w:val="left" w:pos="3045"/>
                <w:tab w:val="center" w:pos="3199"/>
              </w:tabs>
              <w:spacing w:line="480" w:lineRule="atLeast"/>
              <w:rPr>
                <w:rFonts w:ascii="宋体" w:hAnsi="宋体" w:hint="eastAsia"/>
                <w:bCs/>
                <w:iCs/>
                <w:color w:val="000000"/>
                <w:sz w:val="24"/>
                <w:szCs w:val="24"/>
              </w:rPr>
            </w:pPr>
            <w:r>
              <w:rPr>
                <w:rFonts w:ascii="宋体" w:hAnsi="宋体" w:hint="eastAsia"/>
                <w:bCs/>
                <w:iCs/>
                <w:color w:val="000000"/>
                <w:sz w:val="24"/>
                <w:szCs w:val="24"/>
              </w:rPr>
              <w:t>□</w:t>
            </w:r>
            <w:r>
              <w:rPr>
                <w:rFonts w:ascii="宋体" w:hAnsi="宋体" w:hint="eastAsia"/>
                <w:sz w:val="28"/>
                <w:szCs w:val="28"/>
              </w:rPr>
              <w:t>现场参观</w:t>
            </w:r>
            <w:r>
              <w:rPr>
                <w:rFonts w:ascii="宋体" w:hAnsi="宋体" w:hint="eastAsia"/>
                <w:bCs/>
                <w:iCs/>
                <w:color w:val="000000"/>
                <w:sz w:val="24"/>
                <w:szCs w:val="24"/>
              </w:rPr>
              <w:tab/>
              <w:t>√</w:t>
            </w:r>
            <w:r>
              <w:rPr>
                <w:rFonts w:ascii="宋体" w:hAnsi="宋体" w:hint="eastAsia"/>
                <w:sz w:val="28"/>
                <w:szCs w:val="28"/>
              </w:rPr>
              <w:t>其他</w:t>
            </w:r>
          </w:p>
        </w:tc>
      </w:tr>
      <w:tr w:rsidR="00591DB7" w14:paraId="3F86DCFD" w14:textId="77777777">
        <w:tc>
          <w:tcPr>
            <w:tcW w:w="1686" w:type="dxa"/>
            <w:tcBorders>
              <w:top w:val="single" w:sz="4" w:space="0" w:color="auto"/>
              <w:left w:val="single" w:sz="4" w:space="0" w:color="auto"/>
              <w:bottom w:val="single" w:sz="4" w:space="0" w:color="auto"/>
              <w:right w:val="single" w:sz="4" w:space="0" w:color="auto"/>
            </w:tcBorders>
            <w:vAlign w:val="center"/>
          </w:tcPr>
          <w:p w14:paraId="15E4FA1D" w14:textId="77777777" w:rsidR="00591DB7" w:rsidRDefault="00000000">
            <w:pPr>
              <w:spacing w:line="480" w:lineRule="atLeast"/>
              <w:jc w:val="center"/>
              <w:rPr>
                <w:rFonts w:ascii="宋体" w:hAnsi="宋体" w:hint="eastAsia"/>
                <w:bCs/>
                <w:iCs/>
                <w:color w:val="000000"/>
                <w:sz w:val="24"/>
                <w:szCs w:val="24"/>
              </w:rPr>
            </w:pPr>
            <w:r>
              <w:rPr>
                <w:rFonts w:ascii="宋体" w:hAnsi="宋体" w:hint="eastAsia"/>
                <w:bCs/>
                <w:iCs/>
                <w:color w:val="000000"/>
                <w:sz w:val="24"/>
                <w:szCs w:val="24"/>
              </w:rPr>
              <w:t>参与单位名称</w:t>
            </w:r>
          </w:p>
        </w:tc>
        <w:tc>
          <w:tcPr>
            <w:tcW w:w="6932" w:type="dxa"/>
            <w:tcBorders>
              <w:top w:val="single" w:sz="4" w:space="0" w:color="auto"/>
              <w:left w:val="single" w:sz="4" w:space="0" w:color="auto"/>
              <w:bottom w:val="single" w:sz="4" w:space="0" w:color="auto"/>
              <w:right w:val="single" w:sz="4" w:space="0" w:color="auto"/>
            </w:tcBorders>
          </w:tcPr>
          <w:p w14:paraId="0C5BF9B2" w14:textId="20747364" w:rsidR="00591DB7" w:rsidRDefault="00327C83">
            <w:pPr>
              <w:spacing w:line="480" w:lineRule="atLeast"/>
              <w:jc w:val="left"/>
              <w:rPr>
                <w:rFonts w:ascii="宋体" w:hAnsi="宋体" w:hint="eastAsia"/>
                <w:bCs/>
                <w:iCs/>
                <w:color w:val="FF0000"/>
                <w:sz w:val="24"/>
                <w:szCs w:val="24"/>
              </w:rPr>
            </w:pPr>
            <w:r w:rsidRPr="009E377E">
              <w:rPr>
                <w:rFonts w:ascii="宋体" w:hAnsi="宋体" w:hint="eastAsia"/>
                <w:bCs/>
                <w:iCs/>
                <w:sz w:val="24"/>
                <w:szCs w:val="24"/>
              </w:rPr>
              <w:t>中银证券</w:t>
            </w:r>
            <w:r w:rsidR="009E377E" w:rsidRPr="009E377E">
              <w:rPr>
                <w:rFonts w:ascii="宋体" w:hAnsi="宋体" w:hint="eastAsia"/>
                <w:bCs/>
                <w:iCs/>
                <w:sz w:val="24"/>
                <w:szCs w:val="24"/>
              </w:rPr>
              <w:t>、</w:t>
            </w:r>
            <w:r w:rsidRPr="009E377E">
              <w:rPr>
                <w:rFonts w:ascii="宋体" w:hAnsi="宋体" w:hint="eastAsia"/>
                <w:bCs/>
                <w:iCs/>
                <w:sz w:val="24"/>
                <w:szCs w:val="24"/>
              </w:rPr>
              <w:t>汇华理财、国泰基金、长江证券、广发基金、华福证券、华泰证券</w:t>
            </w:r>
            <w:r w:rsidR="009E377E" w:rsidRPr="009E377E">
              <w:rPr>
                <w:rFonts w:ascii="宋体" w:hAnsi="宋体" w:hint="eastAsia"/>
                <w:bCs/>
                <w:iCs/>
                <w:sz w:val="24"/>
                <w:szCs w:val="24"/>
              </w:rPr>
              <w:t>、</w:t>
            </w:r>
            <w:r w:rsidRPr="009E377E">
              <w:rPr>
                <w:rFonts w:ascii="宋体" w:hAnsi="宋体" w:hint="eastAsia"/>
                <w:bCs/>
                <w:iCs/>
                <w:sz w:val="24"/>
                <w:szCs w:val="24"/>
              </w:rPr>
              <w:t>国泰基金</w:t>
            </w:r>
            <w:r w:rsidR="009E377E" w:rsidRPr="009E377E">
              <w:rPr>
                <w:rFonts w:ascii="宋体" w:hAnsi="宋体" w:hint="eastAsia"/>
                <w:bCs/>
                <w:iCs/>
                <w:sz w:val="24"/>
                <w:szCs w:val="24"/>
              </w:rPr>
              <w:t>、</w:t>
            </w:r>
            <w:r w:rsidRPr="009E377E">
              <w:rPr>
                <w:rFonts w:ascii="宋体" w:hAnsi="宋体" w:hint="eastAsia"/>
                <w:bCs/>
                <w:iCs/>
                <w:sz w:val="24"/>
                <w:szCs w:val="24"/>
              </w:rPr>
              <w:t>易方达</w:t>
            </w:r>
            <w:r w:rsidR="009E377E" w:rsidRPr="009E377E">
              <w:rPr>
                <w:rFonts w:ascii="宋体" w:hAnsi="宋体" w:hint="eastAsia"/>
                <w:bCs/>
                <w:iCs/>
                <w:sz w:val="24"/>
                <w:szCs w:val="24"/>
              </w:rPr>
              <w:t>、</w:t>
            </w:r>
            <w:r w:rsidRPr="009E377E">
              <w:rPr>
                <w:rFonts w:ascii="宋体" w:hAnsi="宋体" w:hint="eastAsia"/>
                <w:bCs/>
                <w:iCs/>
                <w:sz w:val="24"/>
                <w:szCs w:val="24"/>
              </w:rPr>
              <w:t>远东宏信</w:t>
            </w:r>
            <w:r w:rsidR="009E377E" w:rsidRPr="009E377E">
              <w:rPr>
                <w:rFonts w:ascii="宋体" w:hAnsi="宋体" w:hint="eastAsia"/>
                <w:bCs/>
                <w:iCs/>
                <w:sz w:val="24"/>
                <w:szCs w:val="24"/>
              </w:rPr>
              <w:t>、</w:t>
            </w:r>
            <w:r w:rsidRPr="009E377E">
              <w:rPr>
                <w:rFonts w:ascii="宋体" w:hAnsi="宋体" w:hint="eastAsia"/>
                <w:bCs/>
                <w:iCs/>
                <w:sz w:val="24"/>
                <w:szCs w:val="24"/>
              </w:rPr>
              <w:t>新华基金</w:t>
            </w:r>
            <w:r w:rsidR="009E377E" w:rsidRPr="009E377E">
              <w:rPr>
                <w:rFonts w:ascii="宋体" w:hAnsi="宋体" w:hint="eastAsia"/>
                <w:bCs/>
                <w:iCs/>
                <w:sz w:val="24"/>
                <w:szCs w:val="24"/>
              </w:rPr>
              <w:t>、</w:t>
            </w:r>
            <w:r w:rsidRPr="009E377E">
              <w:rPr>
                <w:rFonts w:ascii="宋体" w:hAnsi="宋体" w:hint="eastAsia"/>
                <w:bCs/>
                <w:iCs/>
                <w:sz w:val="24"/>
                <w:szCs w:val="24"/>
              </w:rPr>
              <w:t>鑫元基金</w:t>
            </w:r>
            <w:r w:rsidR="009E377E">
              <w:rPr>
                <w:rFonts w:ascii="宋体" w:hAnsi="宋体" w:hint="eastAsia"/>
                <w:bCs/>
                <w:iCs/>
                <w:sz w:val="24"/>
                <w:szCs w:val="24"/>
              </w:rPr>
              <w:t>、</w:t>
            </w:r>
            <w:r w:rsidRPr="009E377E">
              <w:rPr>
                <w:rFonts w:ascii="宋体" w:hAnsi="宋体" w:hint="eastAsia"/>
                <w:bCs/>
                <w:iCs/>
                <w:sz w:val="24"/>
                <w:szCs w:val="24"/>
              </w:rPr>
              <w:t>合众易晟</w:t>
            </w:r>
            <w:r w:rsidR="009E377E">
              <w:rPr>
                <w:rFonts w:ascii="宋体" w:hAnsi="宋体" w:hint="eastAsia"/>
                <w:bCs/>
                <w:iCs/>
                <w:sz w:val="24"/>
                <w:szCs w:val="24"/>
              </w:rPr>
              <w:t>、</w:t>
            </w:r>
            <w:r w:rsidRPr="009E377E">
              <w:rPr>
                <w:rFonts w:ascii="宋体" w:hAnsi="宋体" w:hint="eastAsia"/>
                <w:bCs/>
                <w:iCs/>
                <w:sz w:val="24"/>
                <w:szCs w:val="24"/>
              </w:rPr>
              <w:t>中航基金</w:t>
            </w:r>
            <w:r w:rsidR="009E377E">
              <w:rPr>
                <w:rFonts w:ascii="宋体" w:hAnsi="宋体" w:hint="eastAsia"/>
                <w:bCs/>
                <w:iCs/>
                <w:sz w:val="24"/>
                <w:szCs w:val="24"/>
              </w:rPr>
              <w:t>、</w:t>
            </w:r>
            <w:r w:rsidRPr="009E377E">
              <w:rPr>
                <w:rFonts w:ascii="宋体" w:hAnsi="宋体" w:hint="eastAsia"/>
                <w:bCs/>
                <w:iCs/>
                <w:sz w:val="24"/>
                <w:szCs w:val="24"/>
              </w:rPr>
              <w:t>岙夏投资</w:t>
            </w:r>
            <w:r w:rsidR="009E377E">
              <w:rPr>
                <w:rFonts w:ascii="宋体" w:hAnsi="宋体" w:hint="eastAsia"/>
                <w:bCs/>
                <w:iCs/>
                <w:sz w:val="24"/>
                <w:szCs w:val="24"/>
              </w:rPr>
              <w:t>、</w:t>
            </w:r>
            <w:r w:rsidRPr="009E377E">
              <w:rPr>
                <w:rFonts w:ascii="宋体" w:hAnsi="宋体" w:hint="eastAsia"/>
                <w:bCs/>
                <w:iCs/>
                <w:sz w:val="24"/>
                <w:szCs w:val="24"/>
              </w:rPr>
              <w:t>浙江弘悦</w:t>
            </w:r>
            <w:r w:rsidR="009E377E">
              <w:rPr>
                <w:rFonts w:ascii="宋体" w:hAnsi="宋体" w:hint="eastAsia"/>
                <w:bCs/>
                <w:iCs/>
                <w:sz w:val="24"/>
                <w:szCs w:val="24"/>
              </w:rPr>
              <w:t>、</w:t>
            </w:r>
            <w:r w:rsidRPr="009E377E">
              <w:rPr>
                <w:rFonts w:ascii="宋体" w:hAnsi="宋体" w:hint="eastAsia"/>
                <w:bCs/>
                <w:iCs/>
                <w:sz w:val="24"/>
                <w:szCs w:val="24"/>
              </w:rPr>
              <w:t>鸿富基金</w:t>
            </w:r>
            <w:r w:rsidR="009E377E">
              <w:rPr>
                <w:rFonts w:ascii="宋体" w:hAnsi="宋体" w:hint="eastAsia"/>
                <w:bCs/>
                <w:iCs/>
                <w:sz w:val="24"/>
                <w:szCs w:val="24"/>
              </w:rPr>
              <w:t>、</w:t>
            </w:r>
            <w:r w:rsidRPr="009E377E">
              <w:rPr>
                <w:rFonts w:ascii="宋体" w:hAnsi="宋体" w:hint="eastAsia"/>
                <w:bCs/>
                <w:iCs/>
                <w:sz w:val="24"/>
                <w:szCs w:val="24"/>
              </w:rPr>
              <w:t>南京程渝和诚私募基金</w:t>
            </w:r>
            <w:r w:rsidR="009E377E">
              <w:rPr>
                <w:rFonts w:ascii="宋体" w:hAnsi="宋体" w:hint="eastAsia"/>
                <w:bCs/>
                <w:iCs/>
                <w:sz w:val="24"/>
                <w:szCs w:val="24"/>
              </w:rPr>
              <w:t>、</w:t>
            </w:r>
            <w:r w:rsidRPr="009E377E">
              <w:rPr>
                <w:rFonts w:ascii="宋体" w:hAnsi="宋体" w:hint="eastAsia"/>
                <w:bCs/>
                <w:iCs/>
                <w:sz w:val="24"/>
                <w:szCs w:val="24"/>
              </w:rPr>
              <w:t>荣信泰私募</w:t>
            </w:r>
            <w:r w:rsidR="009E377E">
              <w:rPr>
                <w:rFonts w:ascii="宋体" w:hAnsi="宋体" w:hint="eastAsia"/>
                <w:bCs/>
                <w:iCs/>
                <w:sz w:val="24"/>
                <w:szCs w:val="24"/>
              </w:rPr>
              <w:t>、</w:t>
            </w:r>
            <w:r w:rsidR="009E377E" w:rsidRPr="009E377E">
              <w:rPr>
                <w:rFonts w:ascii="宋体" w:hAnsi="宋体" w:hint="eastAsia"/>
                <w:bCs/>
                <w:iCs/>
                <w:sz w:val="24"/>
                <w:szCs w:val="24"/>
              </w:rPr>
              <w:t>招商证券</w:t>
            </w:r>
            <w:r w:rsidR="009E377E">
              <w:rPr>
                <w:rFonts w:ascii="宋体" w:hAnsi="宋体" w:hint="eastAsia"/>
                <w:bCs/>
                <w:iCs/>
                <w:sz w:val="24"/>
                <w:szCs w:val="24"/>
              </w:rPr>
              <w:t>、</w:t>
            </w:r>
            <w:r w:rsidR="009E377E" w:rsidRPr="009E377E">
              <w:rPr>
                <w:rFonts w:ascii="宋体" w:hAnsi="宋体" w:hint="eastAsia"/>
                <w:bCs/>
                <w:iCs/>
                <w:sz w:val="24"/>
                <w:szCs w:val="24"/>
              </w:rPr>
              <w:t>上海微积分私募基金</w:t>
            </w:r>
            <w:r w:rsidR="009E377E">
              <w:rPr>
                <w:rFonts w:ascii="宋体" w:hAnsi="宋体" w:hint="eastAsia"/>
                <w:bCs/>
                <w:iCs/>
                <w:sz w:val="24"/>
                <w:szCs w:val="24"/>
              </w:rPr>
              <w:t>、</w:t>
            </w:r>
            <w:r w:rsidR="009E377E" w:rsidRPr="009E377E">
              <w:rPr>
                <w:rFonts w:ascii="宋体" w:hAnsi="宋体" w:hint="eastAsia"/>
                <w:bCs/>
                <w:iCs/>
                <w:sz w:val="24"/>
                <w:szCs w:val="24"/>
              </w:rPr>
              <w:t>宇霖资产</w:t>
            </w:r>
            <w:r w:rsidR="007F1EBD" w:rsidRPr="009E377E">
              <w:rPr>
                <w:rFonts w:ascii="宋体" w:hAnsi="宋体" w:hint="eastAsia"/>
                <w:bCs/>
                <w:iCs/>
                <w:sz w:val="24"/>
                <w:szCs w:val="24"/>
              </w:rPr>
              <w:t>等</w:t>
            </w:r>
          </w:p>
        </w:tc>
      </w:tr>
      <w:tr w:rsidR="00591DB7" w14:paraId="007A0E84" w14:textId="77777777">
        <w:trPr>
          <w:trHeight w:val="291"/>
        </w:trPr>
        <w:tc>
          <w:tcPr>
            <w:tcW w:w="1686" w:type="dxa"/>
            <w:tcBorders>
              <w:top w:val="single" w:sz="4" w:space="0" w:color="auto"/>
              <w:left w:val="single" w:sz="4" w:space="0" w:color="auto"/>
              <w:bottom w:val="single" w:sz="4" w:space="0" w:color="auto"/>
              <w:right w:val="single" w:sz="4" w:space="0" w:color="auto"/>
            </w:tcBorders>
            <w:vAlign w:val="center"/>
          </w:tcPr>
          <w:p w14:paraId="33D8B234" w14:textId="77777777" w:rsidR="00591DB7" w:rsidRDefault="00000000">
            <w:pPr>
              <w:spacing w:line="480" w:lineRule="atLeast"/>
              <w:jc w:val="center"/>
              <w:rPr>
                <w:rFonts w:ascii="宋体" w:hAnsi="宋体" w:hint="eastAsia"/>
                <w:bCs/>
                <w:iCs/>
                <w:color w:val="000000"/>
                <w:sz w:val="24"/>
                <w:szCs w:val="24"/>
              </w:rPr>
            </w:pPr>
            <w:r>
              <w:rPr>
                <w:rFonts w:ascii="宋体" w:hAnsi="宋体" w:hint="eastAsia"/>
                <w:bCs/>
                <w:iCs/>
                <w:color w:val="000000"/>
                <w:sz w:val="24"/>
                <w:szCs w:val="24"/>
              </w:rPr>
              <w:t>时间</w:t>
            </w:r>
          </w:p>
        </w:tc>
        <w:tc>
          <w:tcPr>
            <w:tcW w:w="6932" w:type="dxa"/>
            <w:tcBorders>
              <w:top w:val="single" w:sz="4" w:space="0" w:color="auto"/>
              <w:left w:val="single" w:sz="4" w:space="0" w:color="auto"/>
              <w:bottom w:val="single" w:sz="4" w:space="0" w:color="auto"/>
              <w:right w:val="single" w:sz="4" w:space="0" w:color="auto"/>
            </w:tcBorders>
          </w:tcPr>
          <w:p w14:paraId="1B394E35" w14:textId="561A90A6" w:rsidR="00591DB7" w:rsidRDefault="00000000">
            <w:pPr>
              <w:spacing w:line="480" w:lineRule="atLeast"/>
              <w:rPr>
                <w:rFonts w:ascii="宋体" w:hAnsi="宋体" w:hint="eastAsia"/>
                <w:bCs/>
                <w:iCs/>
                <w:color w:val="FF0000"/>
                <w:sz w:val="24"/>
                <w:szCs w:val="24"/>
              </w:rPr>
            </w:pPr>
            <w:r w:rsidRPr="009E377E">
              <w:rPr>
                <w:rFonts w:ascii="宋体" w:hAnsi="宋体"/>
                <w:bCs/>
                <w:iCs/>
                <w:sz w:val="24"/>
                <w:szCs w:val="24"/>
              </w:rPr>
              <w:t>202</w:t>
            </w:r>
            <w:r w:rsidRPr="009E377E">
              <w:rPr>
                <w:rFonts w:ascii="宋体" w:hAnsi="宋体" w:hint="eastAsia"/>
                <w:bCs/>
                <w:iCs/>
                <w:sz w:val="24"/>
                <w:szCs w:val="24"/>
              </w:rPr>
              <w:t>5</w:t>
            </w:r>
            <w:r w:rsidRPr="009E377E">
              <w:rPr>
                <w:rFonts w:ascii="宋体" w:hAnsi="宋体"/>
                <w:bCs/>
                <w:iCs/>
                <w:sz w:val="24"/>
                <w:szCs w:val="24"/>
              </w:rPr>
              <w:t>/</w:t>
            </w:r>
            <w:r w:rsidRPr="009E377E">
              <w:rPr>
                <w:rFonts w:ascii="宋体" w:hAnsi="宋体" w:hint="eastAsia"/>
                <w:bCs/>
                <w:iCs/>
                <w:sz w:val="24"/>
                <w:szCs w:val="24"/>
              </w:rPr>
              <w:t>6</w:t>
            </w:r>
            <w:r w:rsidRPr="009E377E">
              <w:rPr>
                <w:rFonts w:ascii="宋体" w:hAnsi="宋体"/>
                <w:bCs/>
                <w:iCs/>
                <w:sz w:val="24"/>
                <w:szCs w:val="24"/>
              </w:rPr>
              <w:t>/</w:t>
            </w:r>
            <w:r w:rsidRPr="009E377E">
              <w:rPr>
                <w:rFonts w:ascii="宋体" w:hAnsi="宋体" w:hint="eastAsia"/>
                <w:bCs/>
                <w:iCs/>
                <w:sz w:val="24"/>
                <w:szCs w:val="24"/>
              </w:rPr>
              <w:t>18-</w:t>
            </w:r>
            <w:r w:rsidRPr="009E377E">
              <w:rPr>
                <w:rFonts w:ascii="宋体" w:hAnsi="宋体"/>
                <w:bCs/>
                <w:iCs/>
                <w:sz w:val="24"/>
                <w:szCs w:val="24"/>
              </w:rPr>
              <w:t>202</w:t>
            </w:r>
            <w:r w:rsidRPr="009E377E">
              <w:rPr>
                <w:rFonts w:ascii="宋体" w:hAnsi="宋体" w:hint="eastAsia"/>
                <w:bCs/>
                <w:iCs/>
                <w:sz w:val="24"/>
                <w:szCs w:val="24"/>
              </w:rPr>
              <w:t>5</w:t>
            </w:r>
            <w:r w:rsidRPr="009E377E">
              <w:rPr>
                <w:rFonts w:ascii="宋体" w:hAnsi="宋体"/>
                <w:bCs/>
                <w:iCs/>
                <w:sz w:val="24"/>
                <w:szCs w:val="24"/>
              </w:rPr>
              <w:t>/</w:t>
            </w:r>
            <w:r w:rsidRPr="009E377E">
              <w:rPr>
                <w:rFonts w:ascii="宋体" w:hAnsi="宋体" w:hint="eastAsia"/>
                <w:bCs/>
                <w:iCs/>
                <w:sz w:val="24"/>
                <w:szCs w:val="24"/>
              </w:rPr>
              <w:t>6</w:t>
            </w:r>
            <w:r w:rsidRPr="009E377E">
              <w:rPr>
                <w:rFonts w:ascii="宋体" w:hAnsi="宋体"/>
                <w:bCs/>
                <w:iCs/>
                <w:sz w:val="24"/>
                <w:szCs w:val="24"/>
              </w:rPr>
              <w:t>/</w:t>
            </w:r>
            <w:r w:rsidRPr="009E377E">
              <w:rPr>
                <w:rFonts w:ascii="宋体" w:hAnsi="宋体" w:hint="eastAsia"/>
                <w:bCs/>
                <w:iCs/>
                <w:sz w:val="24"/>
                <w:szCs w:val="24"/>
              </w:rPr>
              <w:t>2</w:t>
            </w:r>
            <w:r w:rsidR="007F1EBD" w:rsidRPr="009E377E">
              <w:rPr>
                <w:rFonts w:ascii="宋体" w:hAnsi="宋体" w:hint="eastAsia"/>
                <w:bCs/>
                <w:iCs/>
                <w:sz w:val="24"/>
                <w:szCs w:val="24"/>
              </w:rPr>
              <w:t>7</w:t>
            </w:r>
          </w:p>
        </w:tc>
      </w:tr>
      <w:tr w:rsidR="00591DB7" w14:paraId="7744FA3E" w14:textId="77777777">
        <w:tc>
          <w:tcPr>
            <w:tcW w:w="1686" w:type="dxa"/>
            <w:tcBorders>
              <w:top w:val="single" w:sz="4" w:space="0" w:color="auto"/>
              <w:left w:val="single" w:sz="4" w:space="0" w:color="auto"/>
              <w:bottom w:val="single" w:sz="4" w:space="0" w:color="auto"/>
              <w:right w:val="single" w:sz="4" w:space="0" w:color="auto"/>
            </w:tcBorders>
            <w:vAlign w:val="center"/>
          </w:tcPr>
          <w:p w14:paraId="658B8776" w14:textId="77777777" w:rsidR="00591DB7" w:rsidRDefault="00000000">
            <w:pPr>
              <w:spacing w:line="480" w:lineRule="atLeast"/>
              <w:jc w:val="center"/>
              <w:rPr>
                <w:rFonts w:ascii="宋体" w:hAnsi="宋体" w:hint="eastAsia"/>
                <w:bCs/>
                <w:iCs/>
                <w:color w:val="000000"/>
                <w:sz w:val="24"/>
                <w:szCs w:val="24"/>
              </w:rPr>
            </w:pPr>
            <w:r>
              <w:rPr>
                <w:rFonts w:ascii="宋体" w:hAnsi="宋体" w:hint="eastAsia"/>
                <w:bCs/>
                <w:iCs/>
                <w:color w:val="000000"/>
                <w:sz w:val="24"/>
                <w:szCs w:val="24"/>
              </w:rPr>
              <w:t>地点</w:t>
            </w:r>
          </w:p>
        </w:tc>
        <w:tc>
          <w:tcPr>
            <w:tcW w:w="6932" w:type="dxa"/>
            <w:tcBorders>
              <w:top w:val="single" w:sz="4" w:space="0" w:color="auto"/>
              <w:left w:val="single" w:sz="4" w:space="0" w:color="auto"/>
              <w:bottom w:val="single" w:sz="4" w:space="0" w:color="auto"/>
              <w:right w:val="single" w:sz="4" w:space="0" w:color="auto"/>
            </w:tcBorders>
          </w:tcPr>
          <w:p w14:paraId="34D8ABD6" w14:textId="6EB5C030" w:rsidR="00591DB7" w:rsidRDefault="00000000">
            <w:pPr>
              <w:spacing w:line="480" w:lineRule="atLeast"/>
              <w:rPr>
                <w:rFonts w:ascii="宋体" w:hAnsi="宋体" w:hint="eastAsia"/>
                <w:bCs/>
                <w:iCs/>
                <w:color w:val="000000"/>
                <w:sz w:val="24"/>
                <w:szCs w:val="24"/>
              </w:rPr>
            </w:pPr>
            <w:r>
              <w:rPr>
                <w:rFonts w:ascii="宋体" w:hAnsi="宋体" w:hint="eastAsia"/>
                <w:bCs/>
                <w:iCs/>
                <w:color w:val="000000"/>
                <w:sz w:val="24"/>
                <w:szCs w:val="24"/>
              </w:rPr>
              <w:t>线下交流</w:t>
            </w:r>
          </w:p>
        </w:tc>
      </w:tr>
      <w:tr w:rsidR="00591DB7" w14:paraId="371C7EE7" w14:textId="77777777">
        <w:trPr>
          <w:trHeight w:val="942"/>
        </w:trPr>
        <w:tc>
          <w:tcPr>
            <w:tcW w:w="1686" w:type="dxa"/>
            <w:tcBorders>
              <w:top w:val="single" w:sz="4" w:space="0" w:color="auto"/>
              <w:left w:val="single" w:sz="4" w:space="0" w:color="auto"/>
              <w:bottom w:val="single" w:sz="4" w:space="0" w:color="auto"/>
              <w:right w:val="single" w:sz="4" w:space="0" w:color="auto"/>
            </w:tcBorders>
            <w:vAlign w:val="center"/>
          </w:tcPr>
          <w:p w14:paraId="2C4123FF" w14:textId="77777777" w:rsidR="00591DB7" w:rsidRDefault="00000000">
            <w:pPr>
              <w:spacing w:line="480" w:lineRule="atLeast"/>
              <w:jc w:val="center"/>
              <w:rPr>
                <w:rFonts w:ascii="宋体" w:hAnsi="宋体" w:hint="eastAsia"/>
                <w:bCs/>
                <w:iCs/>
                <w:color w:val="000000"/>
                <w:sz w:val="24"/>
                <w:szCs w:val="24"/>
              </w:rPr>
            </w:pPr>
            <w:r>
              <w:rPr>
                <w:rFonts w:ascii="宋体" w:hAnsi="宋体" w:hint="eastAsia"/>
                <w:bCs/>
                <w:iCs/>
                <w:color w:val="000000"/>
                <w:sz w:val="24"/>
                <w:szCs w:val="24"/>
              </w:rPr>
              <w:t>上市公司接待人员姓名</w:t>
            </w:r>
          </w:p>
        </w:tc>
        <w:tc>
          <w:tcPr>
            <w:tcW w:w="6932" w:type="dxa"/>
            <w:tcBorders>
              <w:top w:val="single" w:sz="4" w:space="0" w:color="auto"/>
              <w:left w:val="single" w:sz="4" w:space="0" w:color="auto"/>
              <w:bottom w:val="single" w:sz="4" w:space="0" w:color="auto"/>
              <w:right w:val="single" w:sz="4" w:space="0" w:color="auto"/>
            </w:tcBorders>
          </w:tcPr>
          <w:p w14:paraId="5A0EB0B2" w14:textId="77777777" w:rsidR="00591DB7" w:rsidRDefault="00000000">
            <w:pPr>
              <w:spacing w:line="480" w:lineRule="atLeast"/>
              <w:rPr>
                <w:rFonts w:ascii="宋体" w:hAnsi="宋体" w:hint="eastAsia"/>
                <w:bCs/>
                <w:iCs/>
                <w:color w:val="000000"/>
                <w:sz w:val="24"/>
                <w:szCs w:val="24"/>
              </w:rPr>
            </w:pPr>
            <w:r>
              <w:rPr>
                <w:rFonts w:ascii="宋体" w:hAnsi="宋体" w:hint="eastAsia"/>
                <w:bCs/>
                <w:iCs/>
                <w:color w:val="000000"/>
                <w:sz w:val="24"/>
                <w:szCs w:val="24"/>
              </w:rPr>
              <w:t>董事会秘书：郑琴</w:t>
            </w:r>
          </w:p>
          <w:p w14:paraId="009D8C50" w14:textId="77777777" w:rsidR="00591DB7" w:rsidRDefault="00000000">
            <w:pPr>
              <w:spacing w:line="480" w:lineRule="atLeast"/>
              <w:rPr>
                <w:rFonts w:ascii="宋体" w:hAnsi="宋体" w:hint="eastAsia"/>
                <w:bCs/>
                <w:iCs/>
                <w:color w:val="000000"/>
                <w:sz w:val="24"/>
                <w:szCs w:val="24"/>
              </w:rPr>
            </w:pPr>
            <w:r>
              <w:rPr>
                <w:rFonts w:ascii="宋体" w:hAnsi="宋体" w:hint="eastAsia"/>
                <w:bCs/>
                <w:iCs/>
                <w:color w:val="000000"/>
                <w:sz w:val="24"/>
                <w:szCs w:val="24"/>
              </w:rPr>
              <w:t>IR总监：刘洋</w:t>
            </w:r>
          </w:p>
        </w:tc>
      </w:tr>
      <w:tr w:rsidR="00591DB7" w14:paraId="1CE14D06" w14:textId="77777777">
        <w:tc>
          <w:tcPr>
            <w:tcW w:w="1686" w:type="dxa"/>
            <w:tcBorders>
              <w:top w:val="single" w:sz="4" w:space="0" w:color="auto"/>
              <w:left w:val="single" w:sz="4" w:space="0" w:color="auto"/>
              <w:bottom w:val="single" w:sz="4" w:space="0" w:color="auto"/>
              <w:right w:val="single" w:sz="4" w:space="0" w:color="auto"/>
            </w:tcBorders>
            <w:vAlign w:val="center"/>
          </w:tcPr>
          <w:p w14:paraId="5B3D3357" w14:textId="77777777" w:rsidR="00591DB7" w:rsidRDefault="00000000">
            <w:pPr>
              <w:spacing w:line="480" w:lineRule="atLeast"/>
              <w:jc w:val="center"/>
              <w:rPr>
                <w:rFonts w:ascii="宋体" w:hAnsi="宋体" w:hint="eastAsia"/>
                <w:bCs/>
                <w:iCs/>
                <w:color w:val="000000"/>
                <w:sz w:val="24"/>
                <w:szCs w:val="24"/>
              </w:rPr>
            </w:pPr>
            <w:r>
              <w:rPr>
                <w:rFonts w:ascii="宋体" w:hAnsi="宋体" w:hint="eastAsia"/>
                <w:bCs/>
                <w:iCs/>
                <w:color w:val="000000"/>
                <w:sz w:val="24"/>
                <w:szCs w:val="24"/>
              </w:rPr>
              <w:t>投资者关系活动主要内容介绍</w:t>
            </w:r>
          </w:p>
          <w:p w14:paraId="55E78A96" w14:textId="77777777" w:rsidR="00591DB7" w:rsidRDefault="00591DB7">
            <w:pPr>
              <w:spacing w:line="480" w:lineRule="atLeast"/>
              <w:jc w:val="center"/>
              <w:rPr>
                <w:rFonts w:ascii="宋体" w:hAnsi="宋体" w:hint="eastAsia"/>
                <w:bCs/>
                <w:iCs/>
                <w:color w:val="000000"/>
                <w:sz w:val="24"/>
                <w:szCs w:val="24"/>
              </w:rPr>
            </w:pPr>
          </w:p>
        </w:tc>
        <w:tc>
          <w:tcPr>
            <w:tcW w:w="6932" w:type="dxa"/>
            <w:tcBorders>
              <w:top w:val="single" w:sz="4" w:space="0" w:color="auto"/>
              <w:left w:val="single" w:sz="4" w:space="0" w:color="auto"/>
              <w:bottom w:val="single" w:sz="4" w:space="0" w:color="auto"/>
              <w:right w:val="single" w:sz="4" w:space="0" w:color="auto"/>
            </w:tcBorders>
          </w:tcPr>
          <w:p w14:paraId="2EBC919B" w14:textId="77777777" w:rsidR="00591DB7" w:rsidRPr="00ED783D" w:rsidRDefault="00000000">
            <w:pPr>
              <w:pStyle w:val="a9"/>
              <w:numPr>
                <w:ilvl w:val="0"/>
                <w:numId w:val="1"/>
              </w:numPr>
              <w:spacing w:line="480" w:lineRule="atLeast"/>
              <w:ind w:firstLineChars="0"/>
              <w:rPr>
                <w:rFonts w:ascii="宋体" w:hAnsi="宋体" w:hint="eastAsia"/>
                <w:b/>
                <w:iCs/>
                <w:sz w:val="22"/>
              </w:rPr>
            </w:pPr>
            <w:r w:rsidRPr="00ED783D">
              <w:rPr>
                <w:rFonts w:ascii="宋体" w:hAnsi="宋体" w:hint="eastAsia"/>
                <w:b/>
                <w:iCs/>
                <w:sz w:val="22"/>
              </w:rPr>
              <w:t>子公司EEI在核聚变领域有哪些经验？</w:t>
            </w:r>
          </w:p>
          <w:p w14:paraId="132ABD7B" w14:textId="77777777" w:rsidR="00591DB7" w:rsidRPr="00ED783D" w:rsidRDefault="00000000">
            <w:pPr>
              <w:spacing w:line="480" w:lineRule="atLeast"/>
              <w:rPr>
                <w:rFonts w:ascii="宋体" w:hAnsi="宋体" w:hint="eastAsia"/>
                <w:bCs/>
                <w:iCs/>
                <w:sz w:val="24"/>
                <w:szCs w:val="24"/>
              </w:rPr>
            </w:pPr>
            <w:r w:rsidRPr="00ED783D">
              <w:rPr>
                <w:rFonts w:ascii="宋体" w:hAnsi="宋体" w:hint="eastAsia"/>
                <w:bCs/>
                <w:iCs/>
                <w:sz w:val="24"/>
                <w:szCs w:val="24"/>
              </w:rPr>
              <w:t>答：子公司EEI在核聚变领域有丰富项目经验。从1998年开始与不同研究所开展研究，如超导材料电流密度分析、高温等离子体约束和稳定性研究等。已参与多个项目， 2022年为ITER的先导项目JT60SA提供18套误差场校正的电源系统，2024年4月中标意大利国家原子能研究中心（ENEA）主导的核聚变实验项目，建设偏滤器托卡马克测试装置，EEI为其提供校正线圈的高精度电源方案，另有拿到物理同步辐射加速器项目，预计2025年交付。</w:t>
            </w:r>
          </w:p>
          <w:p w14:paraId="69B3C6D0" w14:textId="77777777" w:rsidR="00591DB7" w:rsidRPr="00ED783D" w:rsidRDefault="00591DB7">
            <w:pPr>
              <w:spacing w:line="480" w:lineRule="atLeast"/>
              <w:rPr>
                <w:rFonts w:ascii="宋体" w:hAnsi="宋体" w:hint="eastAsia"/>
                <w:bCs/>
                <w:iCs/>
                <w:sz w:val="24"/>
                <w:szCs w:val="24"/>
              </w:rPr>
            </w:pPr>
          </w:p>
          <w:p w14:paraId="30DEFD12" w14:textId="77777777" w:rsidR="00591DB7" w:rsidRPr="00ED783D" w:rsidRDefault="00000000">
            <w:pPr>
              <w:pStyle w:val="a9"/>
              <w:numPr>
                <w:ilvl w:val="0"/>
                <w:numId w:val="1"/>
              </w:numPr>
              <w:spacing w:line="480" w:lineRule="atLeast"/>
              <w:ind w:firstLineChars="0"/>
              <w:rPr>
                <w:rFonts w:ascii="宋体" w:hAnsi="宋体" w:hint="eastAsia"/>
                <w:b/>
                <w:iCs/>
                <w:sz w:val="22"/>
              </w:rPr>
            </w:pPr>
            <w:r w:rsidRPr="00ED783D">
              <w:rPr>
                <w:rFonts w:ascii="宋体" w:hAnsi="宋体" w:hint="eastAsia"/>
                <w:b/>
                <w:iCs/>
                <w:sz w:val="22"/>
              </w:rPr>
              <w:t>公司是否已经给ITER实现供货？</w:t>
            </w:r>
          </w:p>
          <w:p w14:paraId="759F5767" w14:textId="77777777" w:rsidR="00591DB7" w:rsidRDefault="00000000">
            <w:pPr>
              <w:spacing w:line="480" w:lineRule="atLeast"/>
              <w:rPr>
                <w:rFonts w:ascii="宋体" w:hAnsi="宋体" w:hint="eastAsia"/>
                <w:bCs/>
                <w:iCs/>
                <w:sz w:val="24"/>
                <w:szCs w:val="24"/>
              </w:rPr>
            </w:pPr>
            <w:r w:rsidRPr="00ED783D">
              <w:rPr>
                <w:rFonts w:ascii="宋体" w:hAnsi="宋体" w:hint="eastAsia"/>
                <w:bCs/>
                <w:iCs/>
                <w:sz w:val="24"/>
                <w:szCs w:val="24"/>
              </w:rPr>
              <w:t>答：子公司EE已经供货给ITER的先导项目JT60SA，已经交付完成在日本安装，并已确认收入。</w:t>
            </w:r>
          </w:p>
          <w:p w14:paraId="5685E327" w14:textId="77777777" w:rsidR="00B55377" w:rsidRPr="00B55377" w:rsidRDefault="00B55377">
            <w:pPr>
              <w:spacing w:line="480" w:lineRule="atLeast"/>
              <w:rPr>
                <w:rFonts w:ascii="宋体" w:hAnsi="宋体" w:hint="eastAsia"/>
                <w:bCs/>
                <w:iCs/>
                <w:sz w:val="24"/>
                <w:szCs w:val="24"/>
              </w:rPr>
            </w:pPr>
          </w:p>
          <w:p w14:paraId="1409DEEC" w14:textId="77777777" w:rsidR="00591DB7" w:rsidRPr="00ED783D" w:rsidRDefault="00000000">
            <w:pPr>
              <w:pStyle w:val="a9"/>
              <w:numPr>
                <w:ilvl w:val="0"/>
                <w:numId w:val="1"/>
              </w:numPr>
              <w:spacing w:line="480" w:lineRule="atLeast"/>
              <w:ind w:firstLineChars="0"/>
              <w:rPr>
                <w:rFonts w:ascii="宋体" w:hAnsi="宋体" w:hint="eastAsia"/>
                <w:b/>
                <w:iCs/>
                <w:sz w:val="22"/>
              </w:rPr>
            </w:pPr>
            <w:r w:rsidRPr="00ED783D">
              <w:rPr>
                <w:rFonts w:ascii="宋体" w:hAnsi="宋体" w:hint="eastAsia"/>
                <w:b/>
                <w:iCs/>
                <w:sz w:val="24"/>
                <w:szCs w:val="24"/>
              </w:rPr>
              <w:lastRenderedPageBreak/>
              <w:t>托卡马克装置电源系统价值量情况</w:t>
            </w:r>
            <w:r w:rsidRPr="00ED783D">
              <w:rPr>
                <w:rFonts w:ascii="宋体" w:hAnsi="宋体" w:hint="eastAsia"/>
                <w:b/>
                <w:iCs/>
                <w:sz w:val="22"/>
              </w:rPr>
              <w:t>？</w:t>
            </w:r>
          </w:p>
          <w:p w14:paraId="3DACE94E" w14:textId="32248BB1" w:rsidR="00591DB7" w:rsidRPr="00ED783D" w:rsidRDefault="00000000" w:rsidP="00E721D5">
            <w:pPr>
              <w:spacing w:line="480" w:lineRule="atLeast"/>
              <w:rPr>
                <w:rFonts w:ascii="宋体" w:hAnsi="宋体" w:hint="eastAsia"/>
                <w:bCs/>
                <w:iCs/>
                <w:sz w:val="24"/>
                <w:szCs w:val="24"/>
              </w:rPr>
            </w:pPr>
            <w:r w:rsidRPr="00ED783D">
              <w:rPr>
                <w:rFonts w:ascii="宋体" w:hAnsi="宋体" w:hint="eastAsia"/>
                <w:bCs/>
                <w:iCs/>
                <w:sz w:val="24"/>
                <w:szCs w:val="24"/>
              </w:rPr>
              <w:t>答：不同项目根据核聚变堆大小不同，项目合同金额也不同。据机构调研资料来看，目前普遍认为托卡马克装置电源部分的成本约占这个核聚变装置的8%左右。</w:t>
            </w:r>
          </w:p>
          <w:p w14:paraId="2D7F2283" w14:textId="77777777" w:rsidR="00591DB7" w:rsidRPr="00ED783D" w:rsidRDefault="00591DB7">
            <w:pPr>
              <w:spacing w:line="480" w:lineRule="atLeast"/>
              <w:rPr>
                <w:rFonts w:ascii="宋体" w:hAnsi="宋体" w:hint="eastAsia"/>
                <w:bCs/>
                <w:iCs/>
                <w:sz w:val="24"/>
                <w:szCs w:val="24"/>
              </w:rPr>
            </w:pPr>
          </w:p>
          <w:p w14:paraId="015BD8E1" w14:textId="77777777" w:rsidR="00591DB7" w:rsidRPr="00ED783D" w:rsidRDefault="00000000">
            <w:pPr>
              <w:pStyle w:val="a9"/>
              <w:numPr>
                <w:ilvl w:val="0"/>
                <w:numId w:val="1"/>
              </w:numPr>
              <w:spacing w:line="480" w:lineRule="atLeast"/>
              <w:ind w:firstLineChars="0"/>
              <w:rPr>
                <w:rFonts w:ascii="宋体" w:hAnsi="宋体" w:hint="eastAsia"/>
                <w:b/>
                <w:iCs/>
                <w:sz w:val="22"/>
              </w:rPr>
            </w:pPr>
            <w:r w:rsidRPr="00ED783D">
              <w:rPr>
                <w:rFonts w:ascii="宋体" w:hAnsi="宋体" w:hint="eastAsia"/>
                <w:b/>
                <w:iCs/>
                <w:sz w:val="22"/>
              </w:rPr>
              <w:t>电源控制系统有没有寿命，需不需要运维，实验阶段+商业化阶段会不会有损耗，是否需要不同程度的运维。</w:t>
            </w:r>
          </w:p>
          <w:p w14:paraId="3B9BE8AF" w14:textId="77777777" w:rsidR="00591DB7" w:rsidRPr="00ED783D" w:rsidRDefault="00000000">
            <w:pPr>
              <w:spacing w:line="480" w:lineRule="atLeast"/>
              <w:rPr>
                <w:rFonts w:ascii="宋体" w:hAnsi="宋体" w:hint="eastAsia"/>
                <w:bCs/>
                <w:iCs/>
                <w:sz w:val="24"/>
                <w:szCs w:val="24"/>
              </w:rPr>
            </w:pPr>
            <w:r w:rsidRPr="00ED783D">
              <w:rPr>
                <w:rFonts w:ascii="宋体" w:hAnsi="宋体" w:hint="eastAsia"/>
                <w:bCs/>
                <w:iCs/>
                <w:sz w:val="24"/>
                <w:szCs w:val="24"/>
              </w:rPr>
              <w:t>答：电源系统根据招标要求，一般平均寿命在20-25年，同时电源满足高可用性和冗余设计，可应对试验阶段瞬时电流及未来商业化阶段电流、电压及控制要求。</w:t>
            </w:r>
          </w:p>
          <w:p w14:paraId="4516CB8A" w14:textId="77777777" w:rsidR="00591DB7" w:rsidRPr="00ED783D" w:rsidRDefault="00591DB7" w:rsidP="00D368DA">
            <w:pPr>
              <w:spacing w:line="480" w:lineRule="atLeast"/>
              <w:rPr>
                <w:rFonts w:ascii="宋体" w:hAnsi="宋体" w:hint="eastAsia"/>
                <w:bCs/>
                <w:iCs/>
                <w:sz w:val="24"/>
                <w:szCs w:val="24"/>
              </w:rPr>
            </w:pPr>
          </w:p>
          <w:p w14:paraId="168B4EB1" w14:textId="77777777" w:rsidR="00591DB7" w:rsidRPr="00ED783D" w:rsidRDefault="00000000">
            <w:pPr>
              <w:pStyle w:val="a9"/>
              <w:numPr>
                <w:ilvl w:val="0"/>
                <w:numId w:val="1"/>
              </w:numPr>
              <w:spacing w:line="480" w:lineRule="atLeast"/>
              <w:ind w:firstLineChars="0"/>
              <w:rPr>
                <w:rFonts w:ascii="宋体" w:hAnsi="宋体" w:hint="eastAsia"/>
                <w:b/>
                <w:iCs/>
                <w:sz w:val="22"/>
              </w:rPr>
            </w:pPr>
            <w:r w:rsidRPr="00ED783D">
              <w:rPr>
                <w:rFonts w:ascii="宋体" w:hAnsi="宋体" w:hint="eastAsia"/>
                <w:b/>
                <w:iCs/>
                <w:sz w:val="22"/>
              </w:rPr>
              <w:t>EEI是否有参与</w:t>
            </w:r>
            <w:r w:rsidRPr="00ED783D">
              <w:rPr>
                <w:rFonts w:ascii="宋体" w:hAnsi="宋体" w:hint="eastAsia"/>
                <w:bCs/>
                <w:iCs/>
                <w:sz w:val="24"/>
                <w:szCs w:val="24"/>
              </w:rPr>
              <w:t>Helion</w:t>
            </w:r>
            <w:r w:rsidRPr="00ED783D">
              <w:rPr>
                <w:rFonts w:ascii="宋体" w:hAnsi="宋体" w:hint="eastAsia"/>
                <w:b/>
                <w:iCs/>
                <w:sz w:val="22"/>
              </w:rPr>
              <w:t>项目？</w:t>
            </w:r>
          </w:p>
          <w:p w14:paraId="7956A2CE" w14:textId="77777777" w:rsidR="00591DB7" w:rsidRPr="00ED783D" w:rsidRDefault="00000000">
            <w:pPr>
              <w:spacing w:line="480" w:lineRule="atLeast"/>
              <w:rPr>
                <w:rFonts w:ascii="宋体" w:hAnsi="宋体" w:hint="eastAsia"/>
                <w:bCs/>
                <w:iCs/>
                <w:sz w:val="24"/>
                <w:szCs w:val="24"/>
              </w:rPr>
            </w:pPr>
            <w:r w:rsidRPr="00ED783D">
              <w:rPr>
                <w:rFonts w:ascii="宋体" w:hAnsi="宋体" w:hint="eastAsia"/>
                <w:bCs/>
                <w:iCs/>
                <w:sz w:val="24"/>
                <w:szCs w:val="24"/>
              </w:rPr>
              <w:t>目前EEI暂未参与Helion项目的招投标，但有积极关注各国/各国际组织的核聚变项目机会。</w:t>
            </w:r>
          </w:p>
          <w:p w14:paraId="62410D56" w14:textId="77777777" w:rsidR="007A41AE" w:rsidRPr="00ED783D" w:rsidRDefault="007A41AE" w:rsidP="007A41AE">
            <w:pPr>
              <w:pStyle w:val="a9"/>
              <w:spacing w:line="480" w:lineRule="atLeast"/>
              <w:ind w:left="440" w:firstLineChars="0" w:firstLine="0"/>
              <w:rPr>
                <w:rFonts w:ascii="宋体" w:hAnsi="宋体" w:hint="eastAsia"/>
                <w:bCs/>
                <w:iCs/>
                <w:sz w:val="24"/>
                <w:szCs w:val="24"/>
              </w:rPr>
            </w:pPr>
          </w:p>
          <w:p w14:paraId="3F1549C8" w14:textId="77777777" w:rsidR="00591DB7" w:rsidRPr="00ED783D" w:rsidRDefault="00000000">
            <w:pPr>
              <w:pStyle w:val="a9"/>
              <w:numPr>
                <w:ilvl w:val="0"/>
                <w:numId w:val="1"/>
              </w:numPr>
              <w:spacing w:line="480" w:lineRule="atLeast"/>
              <w:ind w:firstLineChars="0"/>
              <w:rPr>
                <w:rFonts w:ascii="宋体" w:hAnsi="宋体" w:hint="eastAsia"/>
                <w:b/>
                <w:iCs/>
                <w:sz w:val="22"/>
              </w:rPr>
            </w:pPr>
            <w:r w:rsidRPr="00ED783D">
              <w:rPr>
                <w:rFonts w:ascii="宋体" w:hAnsi="宋体" w:hint="eastAsia"/>
                <w:b/>
                <w:iCs/>
                <w:sz w:val="22"/>
              </w:rPr>
              <w:t>目前EEI各部分业务收入占比如何，其中核物理占多少？</w:t>
            </w:r>
          </w:p>
          <w:p w14:paraId="2EBC5E17" w14:textId="77777777" w:rsidR="00591DB7" w:rsidRPr="00ED783D" w:rsidRDefault="00000000">
            <w:pPr>
              <w:spacing w:line="480" w:lineRule="atLeast"/>
              <w:rPr>
                <w:rFonts w:ascii="宋体" w:hAnsi="宋体" w:hint="eastAsia"/>
                <w:bCs/>
                <w:iCs/>
                <w:sz w:val="24"/>
                <w:szCs w:val="24"/>
              </w:rPr>
            </w:pPr>
            <w:r w:rsidRPr="00ED783D">
              <w:rPr>
                <w:rFonts w:ascii="宋体" w:hAnsi="宋体" w:hint="eastAsia"/>
                <w:bCs/>
                <w:iCs/>
                <w:sz w:val="24"/>
                <w:szCs w:val="24"/>
              </w:rPr>
              <w:t>答：EEI主要收入分为电源解决方案业务和绿能储能业务。电源解决方案主要包括核物理医疗、核聚变电源电力系统，及应用于光伏、风力发电、水力发电、岸电储能、产氢设备等的逆变器、驱动器项目；绿能主要包括新能源汽车充电桩建设运营及工商储能系统业务。由于欧洲自2022年开始削减superbonus政策导致家用储能、工商储需求降低，政府政策退坡等因素影响，因此各部分收入占比变化较大，不具有参考性。核物理项目为订单式，金额不固定且建设验收周期较长，目前已确认收入占比不高。</w:t>
            </w:r>
          </w:p>
          <w:p w14:paraId="0B72696E" w14:textId="77777777" w:rsidR="00591DB7" w:rsidRPr="00ED783D" w:rsidRDefault="00591DB7">
            <w:pPr>
              <w:spacing w:line="480" w:lineRule="atLeast"/>
              <w:rPr>
                <w:rFonts w:ascii="宋体" w:hAnsi="宋体" w:hint="eastAsia"/>
                <w:bCs/>
                <w:iCs/>
                <w:sz w:val="24"/>
                <w:szCs w:val="24"/>
              </w:rPr>
            </w:pPr>
          </w:p>
          <w:p w14:paraId="3F4368F8" w14:textId="77777777" w:rsidR="00591DB7" w:rsidRPr="00ED783D" w:rsidRDefault="00000000">
            <w:pPr>
              <w:pStyle w:val="a9"/>
              <w:numPr>
                <w:ilvl w:val="0"/>
                <w:numId w:val="1"/>
              </w:numPr>
              <w:spacing w:line="480" w:lineRule="atLeast"/>
              <w:ind w:firstLineChars="0"/>
              <w:rPr>
                <w:rFonts w:ascii="宋体" w:hAnsi="宋体" w:hint="eastAsia"/>
                <w:b/>
                <w:iCs/>
                <w:sz w:val="22"/>
              </w:rPr>
            </w:pPr>
            <w:r w:rsidRPr="00ED783D">
              <w:rPr>
                <w:rFonts w:ascii="宋体" w:hAnsi="宋体" w:hint="eastAsia"/>
                <w:b/>
                <w:iCs/>
                <w:sz w:val="22"/>
              </w:rPr>
              <w:t>目前人员组织及产能现状能支持这些核聚变项目的开展吗？</w:t>
            </w:r>
          </w:p>
          <w:p w14:paraId="181EBAED" w14:textId="0B7F9FC8" w:rsidR="00591DB7" w:rsidRPr="00ED783D" w:rsidRDefault="00607B79">
            <w:pPr>
              <w:spacing w:line="480" w:lineRule="atLeast"/>
              <w:rPr>
                <w:rFonts w:ascii="宋体" w:hAnsi="宋体" w:hint="eastAsia"/>
                <w:bCs/>
                <w:iCs/>
                <w:sz w:val="24"/>
                <w:szCs w:val="24"/>
              </w:rPr>
            </w:pPr>
            <w:r w:rsidRPr="00ED783D">
              <w:rPr>
                <w:rFonts w:ascii="宋体" w:hAnsi="宋体" w:hint="eastAsia"/>
                <w:bCs/>
                <w:iCs/>
                <w:sz w:val="24"/>
                <w:szCs w:val="24"/>
              </w:rPr>
              <w:t>答：EEI组织架构核心团队稳定。过往项目经验与深厚的持术积累能较快速复制新的项目实施。</w:t>
            </w:r>
          </w:p>
          <w:p w14:paraId="6DF5DEDA" w14:textId="77777777" w:rsidR="00591DB7" w:rsidRPr="00ED783D" w:rsidRDefault="00591DB7">
            <w:pPr>
              <w:spacing w:line="480" w:lineRule="atLeast"/>
              <w:rPr>
                <w:rFonts w:ascii="宋体" w:hAnsi="宋体" w:hint="eastAsia"/>
                <w:bCs/>
                <w:iCs/>
                <w:sz w:val="24"/>
                <w:szCs w:val="24"/>
              </w:rPr>
            </w:pPr>
          </w:p>
          <w:p w14:paraId="0C733959" w14:textId="77777777" w:rsidR="00591DB7" w:rsidRPr="00ED783D" w:rsidRDefault="00000000">
            <w:pPr>
              <w:pStyle w:val="a9"/>
              <w:numPr>
                <w:ilvl w:val="0"/>
                <w:numId w:val="1"/>
              </w:numPr>
              <w:spacing w:line="480" w:lineRule="atLeast"/>
              <w:ind w:firstLineChars="0"/>
              <w:rPr>
                <w:rFonts w:ascii="宋体" w:hAnsi="宋体" w:hint="eastAsia"/>
                <w:b/>
                <w:iCs/>
                <w:sz w:val="22"/>
              </w:rPr>
            </w:pPr>
            <w:r w:rsidRPr="00ED783D">
              <w:rPr>
                <w:rFonts w:ascii="宋体" w:hAnsi="宋体" w:hint="eastAsia"/>
                <w:b/>
                <w:iCs/>
                <w:sz w:val="22"/>
              </w:rPr>
              <w:lastRenderedPageBreak/>
              <w:t>弘讯科技在可控核聚变领域未来的规划和展望如何？</w:t>
            </w:r>
          </w:p>
          <w:p w14:paraId="3B6BD164" w14:textId="77777777" w:rsidR="00591DB7" w:rsidRPr="00ED783D" w:rsidRDefault="00000000">
            <w:pPr>
              <w:spacing w:line="480" w:lineRule="atLeast"/>
              <w:rPr>
                <w:rFonts w:ascii="宋体" w:hAnsi="宋体" w:hint="eastAsia"/>
                <w:bCs/>
                <w:iCs/>
                <w:sz w:val="24"/>
                <w:szCs w:val="24"/>
              </w:rPr>
            </w:pPr>
            <w:r w:rsidRPr="00ED783D">
              <w:rPr>
                <w:rFonts w:ascii="宋体" w:hAnsi="宋体" w:hint="eastAsia"/>
                <w:bCs/>
                <w:iCs/>
                <w:sz w:val="24"/>
                <w:szCs w:val="24"/>
              </w:rPr>
              <w:t>答：EEI目前主要开展国际核聚变项目，现逐步与国内研究所单位及部分国内核聚变项目供应商民企单位对接，进一步讨论国内项目实施的可行性。前不久在成都举办的“天府核聚变论坛”，公司与EEI代表参会，与主办方及相关企业进行了深入交流，积极寻求深度合作机会。公司希望与国内主流研究院开展项目实验与合作，在海外也持续跟进项目，目前也有在与国外做核聚变项目有关公司积极对接，未来希望达成合作。</w:t>
            </w:r>
          </w:p>
          <w:p w14:paraId="324CBCCD" w14:textId="77777777" w:rsidR="00591DB7" w:rsidRPr="00ED783D" w:rsidRDefault="00591DB7">
            <w:pPr>
              <w:spacing w:line="480" w:lineRule="atLeast"/>
              <w:rPr>
                <w:rFonts w:ascii="宋体" w:hAnsi="宋体" w:hint="eastAsia"/>
                <w:bCs/>
                <w:iCs/>
                <w:sz w:val="24"/>
                <w:szCs w:val="24"/>
              </w:rPr>
            </w:pPr>
          </w:p>
          <w:p w14:paraId="44F3C549" w14:textId="3D7890FD" w:rsidR="00591DB7" w:rsidRPr="00ED783D" w:rsidRDefault="00397676">
            <w:pPr>
              <w:pStyle w:val="a9"/>
              <w:numPr>
                <w:ilvl w:val="0"/>
                <w:numId w:val="1"/>
              </w:numPr>
              <w:spacing w:line="480" w:lineRule="atLeast"/>
              <w:ind w:firstLineChars="0"/>
              <w:rPr>
                <w:rFonts w:ascii="宋体" w:hAnsi="宋体" w:hint="eastAsia"/>
                <w:b/>
                <w:iCs/>
                <w:sz w:val="24"/>
                <w:szCs w:val="24"/>
              </w:rPr>
            </w:pPr>
            <w:r w:rsidRPr="00ED783D">
              <w:rPr>
                <w:rFonts w:ascii="宋体" w:hAnsi="宋体" w:hint="eastAsia"/>
                <w:b/>
                <w:iCs/>
                <w:sz w:val="24"/>
                <w:szCs w:val="24"/>
              </w:rPr>
              <w:t>公司25年主要业务收入支撑点有哪些？</w:t>
            </w:r>
          </w:p>
          <w:p w14:paraId="56E45FEE" w14:textId="77777777" w:rsidR="00591DB7" w:rsidRPr="00ED783D" w:rsidRDefault="00000000">
            <w:pPr>
              <w:spacing w:line="480" w:lineRule="atLeast"/>
              <w:rPr>
                <w:rFonts w:ascii="宋体" w:hAnsi="宋体" w:hint="eastAsia"/>
                <w:bCs/>
                <w:iCs/>
                <w:sz w:val="24"/>
                <w:szCs w:val="24"/>
              </w:rPr>
            </w:pPr>
            <w:r w:rsidRPr="00ED783D">
              <w:rPr>
                <w:rFonts w:ascii="宋体" w:hAnsi="宋体" w:hint="eastAsia"/>
                <w:bCs/>
                <w:iCs/>
                <w:sz w:val="24"/>
                <w:szCs w:val="24"/>
              </w:rPr>
              <w:t>答：</w:t>
            </w:r>
            <w:r w:rsidRPr="00ED783D">
              <w:rPr>
                <w:rFonts w:ascii="宋体" w:hAnsi="宋体" w:hint="eastAsia"/>
                <w:b/>
                <w:iCs/>
                <w:sz w:val="24"/>
                <w:szCs w:val="24"/>
              </w:rPr>
              <w:t>自动化业务</w:t>
            </w:r>
          </w:p>
          <w:p w14:paraId="12410235" w14:textId="77777777" w:rsidR="00591DB7" w:rsidRPr="00ED783D" w:rsidRDefault="00000000">
            <w:pPr>
              <w:pStyle w:val="a9"/>
              <w:numPr>
                <w:ilvl w:val="0"/>
                <w:numId w:val="2"/>
              </w:numPr>
              <w:spacing w:line="480" w:lineRule="atLeast"/>
              <w:ind w:firstLineChars="0"/>
              <w:rPr>
                <w:rFonts w:ascii="宋体" w:hAnsi="宋体" w:hint="eastAsia"/>
                <w:bCs/>
                <w:iCs/>
                <w:sz w:val="24"/>
                <w:szCs w:val="24"/>
              </w:rPr>
            </w:pPr>
            <w:r w:rsidRPr="00ED783D">
              <w:rPr>
                <w:rFonts w:ascii="宋体" w:hAnsi="宋体" w:hint="eastAsia"/>
                <w:bCs/>
                <w:iCs/>
                <w:sz w:val="24"/>
                <w:szCs w:val="24"/>
              </w:rPr>
              <w:t>提高伺服动力系统占比。目前驱动器规格齐全，有液冷DE系列、iDM系列驱电一体机，多轴共母线系列等，使伺服动力系统产品进一步多样化，满足小型立式机、二板注塑机、大型注塑机、橡胶机、压铸机、薄壁高速成型机等中高端机械设备的需求。</w:t>
            </w:r>
          </w:p>
          <w:p w14:paraId="62FE6F70" w14:textId="4E9DAF73" w:rsidR="00591DB7" w:rsidRPr="00ED783D" w:rsidRDefault="00000000">
            <w:pPr>
              <w:pStyle w:val="a9"/>
              <w:numPr>
                <w:ilvl w:val="0"/>
                <w:numId w:val="2"/>
              </w:numPr>
              <w:spacing w:line="480" w:lineRule="atLeast"/>
              <w:ind w:firstLineChars="0"/>
              <w:rPr>
                <w:rFonts w:ascii="宋体" w:hAnsi="宋体" w:hint="eastAsia"/>
                <w:bCs/>
                <w:iCs/>
                <w:sz w:val="24"/>
                <w:szCs w:val="24"/>
              </w:rPr>
            </w:pPr>
            <w:r w:rsidRPr="00ED783D">
              <w:rPr>
                <w:rFonts w:ascii="宋体" w:hAnsi="宋体" w:hint="eastAsia"/>
                <w:bCs/>
                <w:iCs/>
                <w:sz w:val="24"/>
                <w:szCs w:val="24"/>
              </w:rPr>
              <w:t>提高全电动注塑机等高端系统解决方案出货量。从下游注塑机发展来看，全电动高端注塑机凭借精密、高效、节能、清洁、高速、安静等优点，满足了消费电子、医疗、光学等行业对于精密件、薄壁件产品的需求，受到越来越多领域的市场追捧，全电动注塑机的市场需求将逐年提升,也将迎来巨大的进口替代机会，其需求呈逐步增长趋势。公司早在2015年即与西门子联合研发全电注塑系统解决方案，经过多年市场的验证，弘讯高端伺服系统总成SANDAL系统适用于全电机、油电混合机，其具备控制精度高、速度快、性能稳等优势，技术处于国内市场领先，亦符合国家“设备更新”及“碳中和”战略发展要求。</w:t>
            </w:r>
          </w:p>
          <w:p w14:paraId="560600C4" w14:textId="67F5F2C8" w:rsidR="00591DB7" w:rsidRPr="00ED783D" w:rsidRDefault="007F1EBD">
            <w:pPr>
              <w:pStyle w:val="a9"/>
              <w:numPr>
                <w:ilvl w:val="0"/>
                <w:numId w:val="2"/>
              </w:numPr>
              <w:spacing w:line="480" w:lineRule="atLeast"/>
              <w:ind w:firstLineChars="0"/>
              <w:rPr>
                <w:rFonts w:ascii="宋体" w:hAnsi="宋体" w:hint="eastAsia"/>
                <w:bCs/>
                <w:iCs/>
                <w:sz w:val="24"/>
                <w:szCs w:val="24"/>
              </w:rPr>
            </w:pPr>
            <w:r w:rsidRPr="00ED783D">
              <w:rPr>
                <w:rFonts w:ascii="宋体" w:hAnsi="宋体" w:hint="eastAsia"/>
                <w:bCs/>
                <w:iCs/>
                <w:sz w:val="24"/>
                <w:szCs w:val="24"/>
              </w:rPr>
              <w:t>大力拓展金属加工行业如折弯机、卷板机、CNC、摩擦焊接机等行业</w:t>
            </w:r>
            <w:r w:rsidR="00F71EC7">
              <w:rPr>
                <w:rFonts w:ascii="宋体" w:hAnsi="宋体" w:hint="eastAsia"/>
                <w:bCs/>
                <w:iCs/>
                <w:sz w:val="24"/>
                <w:szCs w:val="24"/>
              </w:rPr>
              <w:t>市场</w:t>
            </w:r>
            <w:r w:rsidRPr="00ED783D">
              <w:rPr>
                <w:rFonts w:ascii="宋体" w:hAnsi="宋体" w:hint="eastAsia"/>
                <w:bCs/>
                <w:iCs/>
                <w:sz w:val="24"/>
                <w:szCs w:val="24"/>
              </w:rPr>
              <w:t>。</w:t>
            </w:r>
          </w:p>
          <w:p w14:paraId="3F583A51" w14:textId="472977EF" w:rsidR="00591DB7" w:rsidRPr="00ED783D" w:rsidRDefault="007F1EBD">
            <w:pPr>
              <w:pStyle w:val="a9"/>
              <w:numPr>
                <w:ilvl w:val="0"/>
                <w:numId w:val="2"/>
              </w:numPr>
              <w:spacing w:line="480" w:lineRule="atLeast"/>
              <w:ind w:firstLineChars="0"/>
              <w:rPr>
                <w:rFonts w:ascii="宋体" w:hAnsi="宋体" w:hint="eastAsia"/>
                <w:bCs/>
                <w:iCs/>
                <w:sz w:val="24"/>
                <w:szCs w:val="24"/>
              </w:rPr>
            </w:pPr>
            <w:r w:rsidRPr="00ED783D">
              <w:rPr>
                <w:rFonts w:ascii="宋体" w:hAnsi="宋体" w:hint="eastAsia"/>
                <w:bCs/>
                <w:iCs/>
                <w:sz w:val="24"/>
                <w:szCs w:val="24"/>
              </w:rPr>
              <w:lastRenderedPageBreak/>
              <w:t>进一步拓展公司出海业务，随着国产新能源汽车与家电企业出海新建产线。公司积极实施“区域运营中心</w:t>
            </w:r>
            <w:r w:rsidR="000F764A">
              <w:rPr>
                <w:rFonts w:ascii="宋体" w:hAnsi="宋体" w:hint="eastAsia"/>
                <w:bCs/>
                <w:iCs/>
                <w:sz w:val="24"/>
                <w:szCs w:val="24"/>
              </w:rPr>
              <w:t>+</w:t>
            </w:r>
            <w:r w:rsidRPr="00ED783D">
              <w:rPr>
                <w:rFonts w:ascii="宋体" w:hAnsi="宋体" w:hint="eastAsia"/>
                <w:bCs/>
                <w:iCs/>
                <w:sz w:val="24"/>
                <w:szCs w:val="24"/>
              </w:rPr>
              <w:t>本地渠道伙伴”的出海策略</w:t>
            </w:r>
            <w:r w:rsidR="00B76E03">
              <w:rPr>
                <w:rFonts w:ascii="宋体" w:hAnsi="宋体" w:hint="eastAsia"/>
                <w:bCs/>
                <w:iCs/>
                <w:sz w:val="24"/>
                <w:szCs w:val="24"/>
              </w:rPr>
              <w:t>，</w:t>
            </w:r>
            <w:r w:rsidRPr="00ED783D">
              <w:rPr>
                <w:rFonts w:ascii="宋体" w:hAnsi="宋体" w:hint="eastAsia"/>
                <w:bCs/>
                <w:iCs/>
                <w:sz w:val="24"/>
                <w:szCs w:val="24"/>
              </w:rPr>
              <w:t>快速响应本地整机厂需求。</w:t>
            </w:r>
          </w:p>
          <w:p w14:paraId="36C20A78" w14:textId="77777777" w:rsidR="00591DB7" w:rsidRPr="00ED783D" w:rsidRDefault="00000000">
            <w:pPr>
              <w:spacing w:line="480" w:lineRule="atLeast"/>
              <w:rPr>
                <w:rFonts w:ascii="宋体" w:hAnsi="宋体" w:hint="eastAsia"/>
                <w:bCs/>
                <w:iCs/>
                <w:sz w:val="24"/>
                <w:szCs w:val="24"/>
              </w:rPr>
            </w:pPr>
            <w:r w:rsidRPr="00ED783D">
              <w:rPr>
                <w:rFonts w:ascii="宋体" w:hAnsi="宋体" w:hint="eastAsia"/>
                <w:b/>
                <w:iCs/>
                <w:sz w:val="24"/>
                <w:szCs w:val="24"/>
              </w:rPr>
              <w:t>新能源业务</w:t>
            </w:r>
          </w:p>
          <w:p w14:paraId="4D187DA7" w14:textId="3F1EAE3A" w:rsidR="00591DB7" w:rsidRPr="00ED783D" w:rsidRDefault="00000000">
            <w:pPr>
              <w:pStyle w:val="a9"/>
              <w:numPr>
                <w:ilvl w:val="0"/>
                <w:numId w:val="3"/>
              </w:numPr>
              <w:spacing w:line="480" w:lineRule="atLeast"/>
              <w:ind w:firstLineChars="0"/>
              <w:rPr>
                <w:rFonts w:ascii="宋体" w:hAnsi="宋体" w:hint="eastAsia"/>
                <w:bCs/>
                <w:iCs/>
                <w:sz w:val="24"/>
                <w:szCs w:val="24"/>
              </w:rPr>
            </w:pPr>
            <w:r w:rsidRPr="00ED783D">
              <w:rPr>
                <w:rFonts w:ascii="宋体" w:hAnsi="宋体" w:hint="eastAsia"/>
                <w:bCs/>
                <w:iCs/>
                <w:sz w:val="24"/>
                <w:szCs w:val="24"/>
              </w:rPr>
              <w:t>借助集团内部研发资源，持续</w:t>
            </w:r>
            <w:r w:rsidR="00CE4AB5">
              <w:rPr>
                <w:rFonts w:ascii="宋体" w:hAnsi="宋体" w:hint="eastAsia"/>
                <w:bCs/>
                <w:iCs/>
                <w:sz w:val="24"/>
                <w:szCs w:val="24"/>
              </w:rPr>
              <w:t>进行</w:t>
            </w:r>
            <w:r w:rsidRPr="00ED783D">
              <w:rPr>
                <w:rFonts w:ascii="宋体" w:hAnsi="宋体" w:hint="eastAsia"/>
                <w:bCs/>
                <w:iCs/>
                <w:sz w:val="24"/>
                <w:szCs w:val="24"/>
              </w:rPr>
              <w:t xml:space="preserve">模组化、工艺标准化、规格多样化的产品设计。 </w:t>
            </w:r>
          </w:p>
          <w:p w14:paraId="3F994443" w14:textId="53E6276A" w:rsidR="00591DB7" w:rsidRPr="00ED783D" w:rsidRDefault="00000000">
            <w:pPr>
              <w:pStyle w:val="a9"/>
              <w:numPr>
                <w:ilvl w:val="0"/>
                <w:numId w:val="3"/>
              </w:numPr>
              <w:spacing w:line="480" w:lineRule="atLeast"/>
              <w:ind w:firstLineChars="0"/>
              <w:rPr>
                <w:rFonts w:ascii="宋体" w:hAnsi="宋体" w:hint="eastAsia"/>
                <w:bCs/>
                <w:iCs/>
                <w:sz w:val="24"/>
                <w:szCs w:val="24"/>
              </w:rPr>
            </w:pPr>
            <w:r w:rsidRPr="00ED783D">
              <w:rPr>
                <w:rFonts w:ascii="宋体" w:hAnsi="宋体" w:hint="eastAsia"/>
                <w:bCs/>
                <w:iCs/>
                <w:sz w:val="24"/>
                <w:szCs w:val="24"/>
              </w:rPr>
              <w:t>关注欧盟及当地政府对产业发展支持政策</w:t>
            </w:r>
            <w:r w:rsidR="007B4A72">
              <w:rPr>
                <w:rFonts w:ascii="宋体" w:hAnsi="宋体" w:hint="eastAsia"/>
                <w:bCs/>
                <w:iCs/>
                <w:sz w:val="24"/>
                <w:szCs w:val="24"/>
              </w:rPr>
              <w:t>的</w:t>
            </w:r>
            <w:r w:rsidRPr="00ED783D">
              <w:rPr>
                <w:rFonts w:ascii="宋体" w:hAnsi="宋体" w:hint="eastAsia"/>
                <w:bCs/>
                <w:iCs/>
                <w:sz w:val="24"/>
                <w:szCs w:val="24"/>
              </w:rPr>
              <w:t>动态变化，积极探寻在核聚变、岸电、产氢、减碳、电车充电桩</w:t>
            </w:r>
            <w:r w:rsidR="0091494C">
              <w:rPr>
                <w:rFonts w:ascii="宋体" w:hAnsi="宋体" w:hint="eastAsia"/>
                <w:bCs/>
                <w:iCs/>
                <w:sz w:val="24"/>
                <w:szCs w:val="24"/>
              </w:rPr>
              <w:t>等的</w:t>
            </w:r>
            <w:r w:rsidRPr="00ED783D">
              <w:rPr>
                <w:rFonts w:ascii="宋体" w:hAnsi="宋体" w:hint="eastAsia"/>
                <w:bCs/>
                <w:iCs/>
                <w:sz w:val="24"/>
                <w:szCs w:val="24"/>
              </w:rPr>
              <w:t>机会。</w:t>
            </w:r>
          </w:p>
          <w:p w14:paraId="2B314999" w14:textId="5AE21C87" w:rsidR="00591DB7" w:rsidRPr="00ED783D" w:rsidRDefault="00F71EC7" w:rsidP="00D368DA">
            <w:pPr>
              <w:pStyle w:val="a9"/>
              <w:numPr>
                <w:ilvl w:val="0"/>
                <w:numId w:val="3"/>
              </w:numPr>
              <w:spacing w:line="480" w:lineRule="atLeast"/>
              <w:ind w:firstLineChars="0"/>
              <w:rPr>
                <w:rFonts w:ascii="宋体" w:hAnsi="宋体" w:hint="eastAsia"/>
                <w:bCs/>
                <w:iCs/>
                <w:sz w:val="24"/>
                <w:szCs w:val="24"/>
              </w:rPr>
            </w:pPr>
            <w:r w:rsidRPr="00F71EC7">
              <w:rPr>
                <w:rFonts w:ascii="宋体" w:hAnsi="宋体" w:hint="eastAsia"/>
                <w:bCs/>
                <w:iCs/>
                <w:sz w:val="24"/>
                <w:szCs w:val="24"/>
              </w:rPr>
              <w:t>着力核聚变项目机会的拓展，</w:t>
            </w:r>
            <w:r w:rsidR="004C50FD" w:rsidRPr="004C50FD">
              <w:rPr>
                <w:rFonts w:ascii="宋体" w:hAnsi="宋体" w:hint="eastAsia"/>
                <w:bCs/>
                <w:iCs/>
                <w:sz w:val="24"/>
                <w:szCs w:val="24"/>
              </w:rPr>
              <w:t>同时确保核聚变项目磁体电源在手订单的如期交付</w:t>
            </w:r>
            <w:r w:rsidRPr="00ED783D">
              <w:rPr>
                <w:rFonts w:ascii="宋体" w:hAnsi="宋体" w:hint="eastAsia"/>
                <w:bCs/>
                <w:iCs/>
                <w:sz w:val="24"/>
                <w:szCs w:val="24"/>
              </w:rPr>
              <w:t>。</w:t>
            </w:r>
          </w:p>
        </w:tc>
      </w:tr>
      <w:tr w:rsidR="00591DB7" w14:paraId="7289E1D2" w14:textId="77777777">
        <w:tc>
          <w:tcPr>
            <w:tcW w:w="1686" w:type="dxa"/>
            <w:tcBorders>
              <w:top w:val="single" w:sz="4" w:space="0" w:color="auto"/>
              <w:left w:val="single" w:sz="4" w:space="0" w:color="auto"/>
              <w:bottom w:val="single" w:sz="4" w:space="0" w:color="auto"/>
              <w:right w:val="single" w:sz="4" w:space="0" w:color="auto"/>
            </w:tcBorders>
            <w:vAlign w:val="center"/>
          </w:tcPr>
          <w:p w14:paraId="0A549BE0" w14:textId="77777777" w:rsidR="00591DB7" w:rsidRDefault="00000000">
            <w:pPr>
              <w:spacing w:line="480" w:lineRule="atLeast"/>
              <w:jc w:val="center"/>
              <w:rPr>
                <w:rFonts w:ascii="宋体" w:hAnsi="宋体" w:hint="eastAsia"/>
                <w:bCs/>
                <w:iCs/>
                <w:color w:val="000000"/>
                <w:sz w:val="24"/>
                <w:szCs w:val="24"/>
              </w:rPr>
            </w:pPr>
            <w:r>
              <w:rPr>
                <w:rFonts w:ascii="宋体" w:hAnsi="宋体" w:hint="eastAsia"/>
                <w:bCs/>
                <w:iCs/>
                <w:color w:val="000000"/>
                <w:sz w:val="24"/>
                <w:szCs w:val="24"/>
              </w:rPr>
              <w:lastRenderedPageBreak/>
              <w:t>附件清单</w:t>
            </w:r>
          </w:p>
          <w:p w14:paraId="6AEC98CB" w14:textId="77777777" w:rsidR="00591DB7" w:rsidRDefault="00000000">
            <w:pPr>
              <w:spacing w:line="480" w:lineRule="atLeast"/>
              <w:jc w:val="center"/>
              <w:rPr>
                <w:rFonts w:ascii="宋体" w:hAnsi="宋体" w:hint="eastAsia"/>
                <w:bCs/>
                <w:iCs/>
                <w:color w:val="000000"/>
                <w:sz w:val="24"/>
                <w:szCs w:val="24"/>
              </w:rPr>
            </w:pPr>
            <w:r>
              <w:rPr>
                <w:rFonts w:ascii="宋体" w:hAnsi="宋体" w:hint="eastAsia"/>
                <w:bCs/>
                <w:iCs/>
                <w:color w:val="000000"/>
                <w:sz w:val="24"/>
                <w:szCs w:val="24"/>
              </w:rPr>
              <w:t>（如有）</w:t>
            </w:r>
          </w:p>
        </w:tc>
        <w:tc>
          <w:tcPr>
            <w:tcW w:w="6932" w:type="dxa"/>
            <w:tcBorders>
              <w:top w:val="single" w:sz="4" w:space="0" w:color="auto"/>
              <w:left w:val="single" w:sz="4" w:space="0" w:color="auto"/>
              <w:bottom w:val="single" w:sz="4" w:space="0" w:color="auto"/>
              <w:right w:val="single" w:sz="4" w:space="0" w:color="auto"/>
            </w:tcBorders>
          </w:tcPr>
          <w:p w14:paraId="11AE9B56" w14:textId="77777777" w:rsidR="00591DB7" w:rsidRDefault="00591DB7"/>
        </w:tc>
      </w:tr>
      <w:tr w:rsidR="00591DB7" w14:paraId="1983ED65" w14:textId="77777777">
        <w:tc>
          <w:tcPr>
            <w:tcW w:w="1686" w:type="dxa"/>
            <w:tcBorders>
              <w:top w:val="single" w:sz="4" w:space="0" w:color="auto"/>
              <w:left w:val="single" w:sz="4" w:space="0" w:color="auto"/>
              <w:bottom w:val="single" w:sz="4" w:space="0" w:color="auto"/>
              <w:right w:val="single" w:sz="4" w:space="0" w:color="auto"/>
            </w:tcBorders>
            <w:vAlign w:val="center"/>
          </w:tcPr>
          <w:p w14:paraId="2EA91C3E" w14:textId="77777777" w:rsidR="00591DB7" w:rsidRDefault="00000000">
            <w:pPr>
              <w:spacing w:line="480" w:lineRule="atLeast"/>
              <w:jc w:val="center"/>
              <w:rPr>
                <w:rFonts w:ascii="宋体" w:hAnsi="宋体" w:hint="eastAsia"/>
                <w:bCs/>
                <w:iCs/>
                <w:color w:val="000000"/>
                <w:sz w:val="24"/>
                <w:szCs w:val="24"/>
              </w:rPr>
            </w:pPr>
            <w:r>
              <w:rPr>
                <w:rFonts w:ascii="宋体" w:hAnsi="宋体" w:hint="eastAsia"/>
                <w:bCs/>
                <w:iCs/>
                <w:color w:val="000000"/>
                <w:sz w:val="24"/>
                <w:szCs w:val="24"/>
              </w:rPr>
              <w:t>日期</w:t>
            </w:r>
          </w:p>
        </w:tc>
        <w:tc>
          <w:tcPr>
            <w:tcW w:w="6932" w:type="dxa"/>
            <w:tcBorders>
              <w:top w:val="single" w:sz="4" w:space="0" w:color="auto"/>
              <w:left w:val="single" w:sz="4" w:space="0" w:color="auto"/>
              <w:bottom w:val="single" w:sz="4" w:space="0" w:color="auto"/>
              <w:right w:val="single" w:sz="4" w:space="0" w:color="auto"/>
            </w:tcBorders>
          </w:tcPr>
          <w:p w14:paraId="28AD402E" w14:textId="06E7EA80" w:rsidR="00591DB7" w:rsidRDefault="00000000">
            <w:pPr>
              <w:spacing w:line="480" w:lineRule="atLeast"/>
              <w:rPr>
                <w:rFonts w:ascii="宋体" w:hAnsi="宋体" w:hint="eastAsia"/>
                <w:bCs/>
                <w:iCs/>
                <w:color w:val="000000"/>
                <w:sz w:val="24"/>
                <w:szCs w:val="24"/>
              </w:rPr>
            </w:pPr>
            <w:r>
              <w:rPr>
                <w:rFonts w:ascii="宋体" w:hAnsi="宋体" w:hint="eastAsia"/>
                <w:bCs/>
                <w:iCs/>
                <w:color w:val="000000"/>
                <w:sz w:val="24"/>
                <w:szCs w:val="24"/>
              </w:rPr>
              <w:t>2025年6月2</w:t>
            </w:r>
            <w:r w:rsidR="005E2845">
              <w:rPr>
                <w:rFonts w:ascii="宋体" w:hAnsi="宋体" w:hint="eastAsia"/>
                <w:bCs/>
                <w:iCs/>
                <w:color w:val="000000"/>
                <w:sz w:val="24"/>
                <w:szCs w:val="24"/>
              </w:rPr>
              <w:t>7</w:t>
            </w:r>
            <w:r>
              <w:rPr>
                <w:rFonts w:ascii="宋体" w:hAnsi="宋体" w:hint="eastAsia"/>
                <w:bCs/>
                <w:iCs/>
                <w:color w:val="000000"/>
                <w:sz w:val="24"/>
                <w:szCs w:val="24"/>
              </w:rPr>
              <w:t>日</w:t>
            </w:r>
          </w:p>
        </w:tc>
      </w:tr>
    </w:tbl>
    <w:p w14:paraId="7536F682" w14:textId="77777777" w:rsidR="00591DB7" w:rsidRDefault="00591DB7"/>
    <w:sectPr w:rsidR="00591DB7">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6827"/>
    <w:multiLevelType w:val="multilevel"/>
    <w:tmpl w:val="0B2D682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EBF71F2"/>
    <w:multiLevelType w:val="multilevel"/>
    <w:tmpl w:val="3EBF71F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72AC07DA"/>
    <w:multiLevelType w:val="multilevel"/>
    <w:tmpl w:val="72AC07D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41837680">
    <w:abstractNumId w:val="2"/>
  </w:num>
  <w:num w:numId="2" w16cid:durableId="1453665838">
    <w:abstractNumId w:val="0"/>
  </w:num>
  <w:num w:numId="3" w16cid:durableId="1848208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66"/>
    <w:rsid w:val="00002466"/>
    <w:rsid w:val="00064380"/>
    <w:rsid w:val="00073C83"/>
    <w:rsid w:val="00093D1B"/>
    <w:rsid w:val="000A2B65"/>
    <w:rsid w:val="000C273C"/>
    <w:rsid w:val="000D37E0"/>
    <w:rsid w:val="000E1D87"/>
    <w:rsid w:val="000F764A"/>
    <w:rsid w:val="00103D44"/>
    <w:rsid w:val="00106512"/>
    <w:rsid w:val="00121641"/>
    <w:rsid w:val="00122BDC"/>
    <w:rsid w:val="00137020"/>
    <w:rsid w:val="00146A7E"/>
    <w:rsid w:val="001612A2"/>
    <w:rsid w:val="00190C07"/>
    <w:rsid w:val="001B715F"/>
    <w:rsid w:val="001C4BD8"/>
    <w:rsid w:val="001C7432"/>
    <w:rsid w:val="00200A6B"/>
    <w:rsid w:val="002117BD"/>
    <w:rsid w:val="002219BB"/>
    <w:rsid w:val="00230F40"/>
    <w:rsid w:val="00235CD0"/>
    <w:rsid w:val="00244243"/>
    <w:rsid w:val="0024616B"/>
    <w:rsid w:val="0027441F"/>
    <w:rsid w:val="0029545C"/>
    <w:rsid w:val="002A4669"/>
    <w:rsid w:val="002B3EDE"/>
    <w:rsid w:val="002B6CD5"/>
    <w:rsid w:val="002C2FDC"/>
    <w:rsid w:val="002C517F"/>
    <w:rsid w:val="002C58B2"/>
    <w:rsid w:val="002E0CE8"/>
    <w:rsid w:val="002E5C19"/>
    <w:rsid w:val="00306F3E"/>
    <w:rsid w:val="00327C83"/>
    <w:rsid w:val="00344FC4"/>
    <w:rsid w:val="00345FDF"/>
    <w:rsid w:val="00353F28"/>
    <w:rsid w:val="00362A85"/>
    <w:rsid w:val="00374D1A"/>
    <w:rsid w:val="00377883"/>
    <w:rsid w:val="0038335D"/>
    <w:rsid w:val="003846ED"/>
    <w:rsid w:val="00397676"/>
    <w:rsid w:val="003A45E2"/>
    <w:rsid w:val="003B0FA7"/>
    <w:rsid w:val="003C1400"/>
    <w:rsid w:val="003D509A"/>
    <w:rsid w:val="003E149A"/>
    <w:rsid w:val="003E303D"/>
    <w:rsid w:val="003E78B4"/>
    <w:rsid w:val="00403708"/>
    <w:rsid w:val="00404A17"/>
    <w:rsid w:val="00417124"/>
    <w:rsid w:val="00434D5D"/>
    <w:rsid w:val="00436DCE"/>
    <w:rsid w:val="00450403"/>
    <w:rsid w:val="004556C9"/>
    <w:rsid w:val="00457035"/>
    <w:rsid w:val="00486C38"/>
    <w:rsid w:val="004C3FC1"/>
    <w:rsid w:val="004C50FD"/>
    <w:rsid w:val="004C5926"/>
    <w:rsid w:val="004C761B"/>
    <w:rsid w:val="004F1302"/>
    <w:rsid w:val="004F5BCF"/>
    <w:rsid w:val="00503BFD"/>
    <w:rsid w:val="00520F03"/>
    <w:rsid w:val="005415F8"/>
    <w:rsid w:val="00550388"/>
    <w:rsid w:val="00553C83"/>
    <w:rsid w:val="00567F33"/>
    <w:rsid w:val="005713AE"/>
    <w:rsid w:val="00571D5A"/>
    <w:rsid w:val="00576D0F"/>
    <w:rsid w:val="00591DB7"/>
    <w:rsid w:val="005A000F"/>
    <w:rsid w:val="005B129F"/>
    <w:rsid w:val="005B1EF5"/>
    <w:rsid w:val="005D020D"/>
    <w:rsid w:val="005E2845"/>
    <w:rsid w:val="005F258B"/>
    <w:rsid w:val="005F74D3"/>
    <w:rsid w:val="00607B79"/>
    <w:rsid w:val="00612EAC"/>
    <w:rsid w:val="00613CF2"/>
    <w:rsid w:val="00615952"/>
    <w:rsid w:val="006268DE"/>
    <w:rsid w:val="00630730"/>
    <w:rsid w:val="0063162B"/>
    <w:rsid w:val="00634587"/>
    <w:rsid w:val="00641680"/>
    <w:rsid w:val="0064518F"/>
    <w:rsid w:val="00645FB2"/>
    <w:rsid w:val="0065146E"/>
    <w:rsid w:val="006C3114"/>
    <w:rsid w:val="006D1E9B"/>
    <w:rsid w:val="006D3160"/>
    <w:rsid w:val="006E49CB"/>
    <w:rsid w:val="006F1B32"/>
    <w:rsid w:val="006F6B4D"/>
    <w:rsid w:val="00702C25"/>
    <w:rsid w:val="007216BB"/>
    <w:rsid w:val="00741961"/>
    <w:rsid w:val="0077657F"/>
    <w:rsid w:val="007802AB"/>
    <w:rsid w:val="007A41AE"/>
    <w:rsid w:val="007A4510"/>
    <w:rsid w:val="007B4A72"/>
    <w:rsid w:val="007C4F9F"/>
    <w:rsid w:val="007E13FC"/>
    <w:rsid w:val="007E2EE7"/>
    <w:rsid w:val="007F1EBD"/>
    <w:rsid w:val="007F3703"/>
    <w:rsid w:val="007F47DB"/>
    <w:rsid w:val="007F79FC"/>
    <w:rsid w:val="00812FA9"/>
    <w:rsid w:val="00814CB2"/>
    <w:rsid w:val="00842266"/>
    <w:rsid w:val="008448B6"/>
    <w:rsid w:val="00846755"/>
    <w:rsid w:val="00846A89"/>
    <w:rsid w:val="00847A58"/>
    <w:rsid w:val="008547E8"/>
    <w:rsid w:val="008678EC"/>
    <w:rsid w:val="00886A49"/>
    <w:rsid w:val="008A189F"/>
    <w:rsid w:val="008B4C28"/>
    <w:rsid w:val="008B7107"/>
    <w:rsid w:val="008D0678"/>
    <w:rsid w:val="008E0AFD"/>
    <w:rsid w:val="008E56DE"/>
    <w:rsid w:val="008F04EA"/>
    <w:rsid w:val="00904980"/>
    <w:rsid w:val="009065E0"/>
    <w:rsid w:val="0091494C"/>
    <w:rsid w:val="00916616"/>
    <w:rsid w:val="00926D2A"/>
    <w:rsid w:val="00931857"/>
    <w:rsid w:val="00943A1C"/>
    <w:rsid w:val="00965D1E"/>
    <w:rsid w:val="00966AE3"/>
    <w:rsid w:val="00990669"/>
    <w:rsid w:val="009929AF"/>
    <w:rsid w:val="0099435D"/>
    <w:rsid w:val="009A0C1E"/>
    <w:rsid w:val="009A144D"/>
    <w:rsid w:val="009A4C17"/>
    <w:rsid w:val="009B0AFA"/>
    <w:rsid w:val="009C2EBE"/>
    <w:rsid w:val="009D2AE5"/>
    <w:rsid w:val="009E2A31"/>
    <w:rsid w:val="009E377E"/>
    <w:rsid w:val="009E4164"/>
    <w:rsid w:val="009E6DE0"/>
    <w:rsid w:val="009F77AD"/>
    <w:rsid w:val="00A27796"/>
    <w:rsid w:val="00A279E2"/>
    <w:rsid w:val="00A558CC"/>
    <w:rsid w:val="00A619CD"/>
    <w:rsid w:val="00A80C12"/>
    <w:rsid w:val="00A83D63"/>
    <w:rsid w:val="00A934A8"/>
    <w:rsid w:val="00A95385"/>
    <w:rsid w:val="00AA1345"/>
    <w:rsid w:val="00AB480F"/>
    <w:rsid w:val="00AC044F"/>
    <w:rsid w:val="00AD3AA9"/>
    <w:rsid w:val="00AD501D"/>
    <w:rsid w:val="00AE7054"/>
    <w:rsid w:val="00AF7E09"/>
    <w:rsid w:val="00B112DD"/>
    <w:rsid w:val="00B15570"/>
    <w:rsid w:val="00B17D10"/>
    <w:rsid w:val="00B216A4"/>
    <w:rsid w:val="00B2483A"/>
    <w:rsid w:val="00B30B80"/>
    <w:rsid w:val="00B42B52"/>
    <w:rsid w:val="00B43DBB"/>
    <w:rsid w:val="00B50C10"/>
    <w:rsid w:val="00B55377"/>
    <w:rsid w:val="00B57ADD"/>
    <w:rsid w:val="00B61274"/>
    <w:rsid w:val="00B64ADE"/>
    <w:rsid w:val="00B76167"/>
    <w:rsid w:val="00B76E03"/>
    <w:rsid w:val="00B96EA3"/>
    <w:rsid w:val="00BA5237"/>
    <w:rsid w:val="00BA741C"/>
    <w:rsid w:val="00BB2656"/>
    <w:rsid w:val="00BC51DA"/>
    <w:rsid w:val="00BC758B"/>
    <w:rsid w:val="00BD2345"/>
    <w:rsid w:val="00BD77AD"/>
    <w:rsid w:val="00BF53E5"/>
    <w:rsid w:val="00C16269"/>
    <w:rsid w:val="00C177FF"/>
    <w:rsid w:val="00C17957"/>
    <w:rsid w:val="00C20545"/>
    <w:rsid w:val="00C3255C"/>
    <w:rsid w:val="00C34EA8"/>
    <w:rsid w:val="00C53B86"/>
    <w:rsid w:val="00C60D5A"/>
    <w:rsid w:val="00C66BD3"/>
    <w:rsid w:val="00C66F71"/>
    <w:rsid w:val="00CC2DB0"/>
    <w:rsid w:val="00CC34A5"/>
    <w:rsid w:val="00CD3AA4"/>
    <w:rsid w:val="00CE4AB5"/>
    <w:rsid w:val="00CF04A7"/>
    <w:rsid w:val="00D03207"/>
    <w:rsid w:val="00D068F9"/>
    <w:rsid w:val="00D10B25"/>
    <w:rsid w:val="00D32F11"/>
    <w:rsid w:val="00D368DA"/>
    <w:rsid w:val="00D4033A"/>
    <w:rsid w:val="00D416AD"/>
    <w:rsid w:val="00D51C00"/>
    <w:rsid w:val="00D545B1"/>
    <w:rsid w:val="00D61859"/>
    <w:rsid w:val="00D639DF"/>
    <w:rsid w:val="00DD60EC"/>
    <w:rsid w:val="00DE0D55"/>
    <w:rsid w:val="00DE3139"/>
    <w:rsid w:val="00E06BDA"/>
    <w:rsid w:val="00E17B94"/>
    <w:rsid w:val="00E223C1"/>
    <w:rsid w:val="00E458B3"/>
    <w:rsid w:val="00E45F6C"/>
    <w:rsid w:val="00E53351"/>
    <w:rsid w:val="00E57B7B"/>
    <w:rsid w:val="00E721D5"/>
    <w:rsid w:val="00E77278"/>
    <w:rsid w:val="00E805B4"/>
    <w:rsid w:val="00E83E9F"/>
    <w:rsid w:val="00EA265D"/>
    <w:rsid w:val="00EB4979"/>
    <w:rsid w:val="00EB7321"/>
    <w:rsid w:val="00ED28F0"/>
    <w:rsid w:val="00ED783D"/>
    <w:rsid w:val="00F04529"/>
    <w:rsid w:val="00F23972"/>
    <w:rsid w:val="00F259DA"/>
    <w:rsid w:val="00F27294"/>
    <w:rsid w:val="00F41BB4"/>
    <w:rsid w:val="00F47AA4"/>
    <w:rsid w:val="00F71EC7"/>
    <w:rsid w:val="00F91F61"/>
    <w:rsid w:val="00FA752C"/>
    <w:rsid w:val="00FB1051"/>
    <w:rsid w:val="00FC253F"/>
    <w:rsid w:val="00FC5D67"/>
    <w:rsid w:val="00FD520D"/>
    <w:rsid w:val="00FF3078"/>
    <w:rsid w:val="00FF523C"/>
    <w:rsid w:val="07ED7533"/>
    <w:rsid w:val="0A0D32A0"/>
    <w:rsid w:val="0B3F7984"/>
    <w:rsid w:val="1E6C17E3"/>
    <w:rsid w:val="23B8044F"/>
    <w:rsid w:val="2F480C66"/>
    <w:rsid w:val="52914C73"/>
    <w:rsid w:val="70993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5075"/>
  <w15:docId w15:val="{554C1D82-57B9-4400-BE5E-D718AAC5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 w:type="character" w:customStyle="1" w:styleId="a4">
    <w:name w:val="批注框文本 字符"/>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327</Words>
  <Characters>1869</Characters>
  <Application>Microsoft Office Word</Application>
  <DocSecurity>0</DocSecurity>
  <Lines>15</Lines>
  <Paragraphs>4</Paragraphs>
  <ScaleCrop>false</ScaleCrop>
  <Company>iTianKong.com</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证券部</cp:lastModifiedBy>
  <cp:revision>40</cp:revision>
  <dcterms:created xsi:type="dcterms:W3CDTF">2025-06-12T09:38:00Z</dcterms:created>
  <dcterms:modified xsi:type="dcterms:W3CDTF">2025-06-27T09:28:00Z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72345D83EC0A483A9267B67705870469_13</vt:lpwstr>
  </property>
</Properties>
</file>