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28F">
      <w:pPr>
        <w:rPr>
          <w:rFonts w:ascii="宋体" w:hAnsi="宋体" w:eastAsia="宋体"/>
          <w:sz w:val="24"/>
          <w:szCs w:val="28"/>
        </w:rPr>
      </w:pPr>
      <w:r>
        <w:rPr>
          <w:rFonts w:hint="eastAsia" w:ascii="宋体" w:hAnsi="宋体" w:eastAsia="宋体"/>
          <w:sz w:val="24"/>
          <w:szCs w:val="28"/>
        </w:rPr>
        <w:t>证券代码：</w:t>
      </w:r>
      <w:r>
        <w:rPr>
          <w:rFonts w:ascii="Times New Roman" w:hAnsi="Times New Roman" w:eastAsia="宋体" w:cs="Times New Roman"/>
          <w:sz w:val="24"/>
          <w:szCs w:val="28"/>
        </w:rPr>
        <w:t xml:space="preserve">601126  </w:t>
      </w:r>
      <w:r>
        <w:rPr>
          <w:rFonts w:ascii="宋体" w:hAnsi="宋体" w:eastAsia="宋体"/>
          <w:sz w:val="24"/>
          <w:szCs w:val="28"/>
        </w:rPr>
        <w:t xml:space="preserve">                                 证券简称：</w:t>
      </w:r>
      <w:r>
        <w:rPr>
          <w:rFonts w:hint="eastAsia" w:ascii="宋体" w:hAnsi="宋体" w:eastAsia="宋体"/>
          <w:sz w:val="24"/>
          <w:szCs w:val="28"/>
        </w:rPr>
        <w:t>四方股份</w:t>
      </w:r>
    </w:p>
    <w:p w14:paraId="7645BE75">
      <w:pPr>
        <w:keepNext w:val="0"/>
        <w:keepLines w:val="0"/>
        <w:pageBreakBefore w:val="0"/>
        <w:widowControl w:val="0"/>
        <w:kinsoku/>
        <w:wordWrap/>
        <w:overflowPunct/>
        <w:topLinePunct w:val="0"/>
        <w:autoSpaceDE/>
        <w:autoSpaceDN/>
        <w:bidi w:val="0"/>
        <w:adjustRightInd/>
        <w:snapToGrid/>
        <w:spacing w:before="313" w:beforeLines="100" w:line="240" w:lineRule="auto"/>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b/>
          <w:bCs/>
          <w:sz w:val="32"/>
          <w:szCs w:val="32"/>
        </w:rPr>
        <w:t>北京四方继保自动化股份有限公司</w:t>
      </w:r>
    </w:p>
    <w:p w14:paraId="7C95FE26">
      <w:pPr>
        <w:spacing w:line="24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投资者关系活动记录表</w:t>
      </w:r>
    </w:p>
    <w:p w14:paraId="676DC2A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（2025年</w:t>
      </w:r>
      <w:r>
        <w:rPr>
          <w:rFonts w:hint="eastAsia" w:ascii="Times New Roman" w:hAnsi="Times New Roman" w:eastAsia="宋体" w:cs="Times New Roman"/>
          <w:b/>
          <w:bCs/>
          <w:sz w:val="32"/>
          <w:szCs w:val="32"/>
          <w:lang w:val="en-US" w:eastAsia="zh-CN"/>
        </w:rPr>
        <w:t>6</w:t>
      </w:r>
      <w:r>
        <w:rPr>
          <w:rFonts w:hint="default" w:ascii="Times New Roman" w:hAnsi="Times New Roman" w:eastAsia="宋体" w:cs="Times New Roman"/>
          <w:b/>
          <w:bCs/>
          <w:sz w:val="32"/>
          <w:szCs w:val="32"/>
        </w:rPr>
        <w:t>月）</w:t>
      </w:r>
    </w:p>
    <w:p w14:paraId="601D2596">
      <w:pPr>
        <w:spacing w:before="156" w:beforeLines="50" w:after="156" w:afterLines="50" w:line="300" w:lineRule="auto"/>
        <w:ind w:firstLine="480" w:firstLineChars="200"/>
        <w:rPr>
          <w:rFonts w:ascii="宋体" w:hAnsi="宋体" w:eastAsia="宋体"/>
          <w:sz w:val="24"/>
          <w:szCs w:val="24"/>
        </w:rPr>
      </w:pPr>
      <w:r>
        <w:rPr>
          <w:rFonts w:hint="eastAsia" w:ascii="宋体" w:hAnsi="宋体" w:eastAsia="宋体"/>
          <w:sz w:val="24"/>
          <w:szCs w:val="24"/>
        </w:rPr>
        <w:t>北京四方继保自动化股份有限公司</w:t>
      </w:r>
      <w:r>
        <w:rPr>
          <w:rFonts w:ascii="宋体" w:hAnsi="宋体" w:eastAsia="宋体"/>
          <w:sz w:val="24"/>
          <w:szCs w:val="24"/>
        </w:rPr>
        <w:t>于近期与投资</w:t>
      </w:r>
      <w:r>
        <w:rPr>
          <w:rFonts w:hint="eastAsia" w:ascii="宋体" w:hAnsi="宋体" w:eastAsia="宋体"/>
          <w:sz w:val="24"/>
          <w:szCs w:val="24"/>
        </w:rPr>
        <w:t>者、券商分析师等就公司生产经营情况进行交流，现将投资者关系活动的主要情况汇总发布如下：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5D73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56AD6A9">
            <w:pPr>
              <w:keepNext w:val="0"/>
              <w:keepLines w:val="0"/>
              <w:suppressLineNumbers w:val="0"/>
              <w:spacing w:before="156" w:beforeLines="50" w:beforeAutospacing="0" w:after="156" w:afterLines="50" w:afterAutospacing="0" w:line="300" w:lineRule="auto"/>
              <w:ind w:left="0" w:right="0"/>
              <w:jc w:val="center"/>
              <w:rPr>
                <w:rFonts w:hint="eastAsia" w:ascii="宋体" w:hAnsi="宋体" w:eastAsia="宋体"/>
                <w:b/>
                <w:sz w:val="24"/>
                <w:szCs w:val="24"/>
              </w:rPr>
            </w:pPr>
            <w:r>
              <w:rPr>
                <w:rFonts w:hint="eastAsia" w:ascii="宋体" w:hAnsi="宋体" w:eastAsia="宋体"/>
                <w:b/>
                <w:sz w:val="24"/>
                <w:szCs w:val="24"/>
              </w:rPr>
              <w:t>投资者关系活动类别</w:t>
            </w:r>
          </w:p>
        </w:tc>
        <w:tc>
          <w:tcPr>
            <w:tcW w:w="6741" w:type="dxa"/>
            <w:vAlign w:val="center"/>
          </w:tcPr>
          <w:p w14:paraId="64A409EF">
            <w:pPr>
              <w:keepNext w:val="0"/>
              <w:keepLines w:val="0"/>
              <w:suppressLineNumbers w:val="0"/>
              <w:spacing w:before="156" w:beforeLines="50" w:beforeAutospacing="0" w:after="156" w:afterLines="50" w:afterAutospacing="0" w:line="300" w:lineRule="auto"/>
              <w:ind w:left="0" w:right="0"/>
              <w:rPr>
                <w:rFonts w:hint="eastAsia" w:ascii="宋体" w:hAnsi="宋体" w:eastAsia="宋体"/>
                <w:sz w:val="24"/>
                <w:szCs w:val="24"/>
              </w:rPr>
            </w:pPr>
            <w:r>
              <w:rPr>
                <w:rFonts w:hint="eastAsia" w:ascii="宋体" w:hAnsi="宋体" w:eastAsia="宋体"/>
                <w:sz w:val="24"/>
                <w:szCs w:val="24"/>
                <w:woUserID w:val="2"/>
              </w:rPr>
              <w:sym w:font="Wingdings 2" w:char="0052"/>
            </w:r>
            <w:r>
              <w:rPr>
                <w:rFonts w:hint="eastAsia" w:ascii="宋体" w:hAnsi="宋体" w:eastAsia="宋体"/>
                <w:sz w:val="24"/>
                <w:szCs w:val="24"/>
              </w:rPr>
              <w:t xml:space="preserve">特定对象调研  □分析师会议  </w:t>
            </w:r>
            <w:r>
              <w:rPr>
                <w:rFonts w:hint="eastAsia" w:ascii="宋体" w:hAnsi="宋体" w:eastAsia="宋体"/>
                <w:sz w:val="24"/>
                <w:szCs w:val="24"/>
              </w:rPr>
              <w:sym w:font="Wingdings 2" w:char="00A3"/>
            </w:r>
            <w:r>
              <w:rPr>
                <w:rFonts w:hint="eastAsia" w:ascii="宋体" w:hAnsi="宋体" w:eastAsia="宋体"/>
                <w:sz w:val="24"/>
                <w:szCs w:val="24"/>
              </w:rPr>
              <w:t xml:space="preserve">媒体采访  □业绩解读会 </w:t>
            </w:r>
            <w:r>
              <w:rPr>
                <w:rFonts w:hint="eastAsia" w:ascii="宋体" w:hAnsi="宋体" w:eastAsia="宋体"/>
                <w:sz w:val="24"/>
                <w:szCs w:val="24"/>
                <w:woUserID w:val="2"/>
              </w:rPr>
              <w:sym w:font="Wingdings 2" w:char="0052"/>
            </w:r>
            <w:r>
              <w:rPr>
                <w:rFonts w:hint="default" w:ascii="宋体" w:hAnsi="宋体" w:eastAsia="宋体"/>
                <w:sz w:val="24"/>
                <w:szCs w:val="24"/>
                <w:woUserID w:val="2"/>
              </w:rPr>
              <w:t>券商策略</w:t>
            </w:r>
            <w:r>
              <w:rPr>
                <w:rFonts w:hint="eastAsia" w:ascii="宋体" w:hAnsi="宋体" w:eastAsia="宋体"/>
                <w:sz w:val="24"/>
                <w:szCs w:val="24"/>
              </w:rPr>
              <w:t xml:space="preserve">会  </w:t>
            </w:r>
            <w:r>
              <w:rPr>
                <w:rFonts w:hint="default" w:ascii="宋体" w:hAnsi="宋体" w:eastAsia="宋体"/>
                <w:sz w:val="24"/>
                <w:szCs w:val="24"/>
                <w:lang w:val="en-US"/>
              </w:rPr>
              <w:sym w:font="Wingdings 2" w:char="0052"/>
            </w:r>
            <w:r>
              <w:rPr>
                <w:rFonts w:hint="eastAsia" w:ascii="宋体" w:hAnsi="宋体" w:eastAsia="宋体"/>
                <w:sz w:val="24"/>
                <w:szCs w:val="24"/>
              </w:rPr>
              <w:t xml:space="preserve">路演活动  </w:t>
            </w:r>
            <w:r>
              <w:rPr>
                <w:rFonts w:hint="default" w:ascii="宋体" w:hAnsi="宋体" w:eastAsia="宋体"/>
                <w:sz w:val="24"/>
                <w:szCs w:val="24"/>
                <w:lang w:val="en-US"/>
              </w:rPr>
              <w:sym w:font="Wingdings 2" w:char="0052"/>
            </w:r>
            <w:r>
              <w:rPr>
                <w:rFonts w:hint="eastAsia" w:ascii="宋体" w:hAnsi="宋体" w:eastAsia="宋体"/>
                <w:sz w:val="24"/>
                <w:szCs w:val="24"/>
              </w:rPr>
              <w:t xml:space="preserve">现场参观  </w:t>
            </w:r>
            <w:r>
              <w:rPr>
                <w:rFonts w:hint="eastAsia" w:ascii="宋体" w:hAnsi="宋体" w:eastAsia="宋体"/>
                <w:sz w:val="24"/>
                <w:szCs w:val="24"/>
              </w:rPr>
              <w:sym w:font="Wingdings 2" w:char="00A3"/>
            </w:r>
            <w:r>
              <w:rPr>
                <w:rFonts w:hint="eastAsia" w:ascii="宋体" w:hAnsi="宋体" w:eastAsia="宋体"/>
                <w:sz w:val="24"/>
                <w:szCs w:val="24"/>
              </w:rPr>
              <w:t>其他</w:t>
            </w:r>
          </w:p>
        </w:tc>
      </w:tr>
      <w:tr w14:paraId="44EE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55" w:type="dxa"/>
            <w:vAlign w:val="center"/>
          </w:tcPr>
          <w:p w14:paraId="242CD024">
            <w:pPr>
              <w:keepNext w:val="0"/>
              <w:keepLines w:val="0"/>
              <w:suppressLineNumbers w:val="0"/>
              <w:spacing w:before="156" w:beforeLines="50" w:beforeAutospacing="0" w:after="156" w:afterLines="50" w:afterAutospacing="0" w:line="300" w:lineRule="auto"/>
              <w:ind w:left="0" w:right="0"/>
              <w:jc w:val="center"/>
              <w:rPr>
                <w:rFonts w:hint="eastAsia" w:ascii="宋体" w:hAnsi="宋体" w:eastAsia="宋体"/>
                <w:b/>
                <w:sz w:val="24"/>
                <w:szCs w:val="24"/>
              </w:rPr>
            </w:pPr>
            <w:r>
              <w:rPr>
                <w:rFonts w:hint="eastAsia" w:ascii="宋体" w:hAnsi="宋体" w:eastAsia="宋体"/>
                <w:b/>
                <w:sz w:val="24"/>
                <w:szCs w:val="24"/>
              </w:rPr>
              <w:t>参与机构</w:t>
            </w:r>
          </w:p>
        </w:tc>
        <w:tc>
          <w:tcPr>
            <w:tcW w:w="6741" w:type="dxa"/>
            <w:vAlign w:val="center"/>
          </w:tcPr>
          <w:p w14:paraId="570AE06F">
            <w:pPr>
              <w:keepNext w:val="0"/>
              <w:keepLines w:val="0"/>
              <w:suppressLineNumbers w:val="0"/>
              <w:spacing w:before="156" w:beforeLines="50" w:beforeAutospacing="0" w:after="156" w:afterLines="50" w:afterAutospacing="0" w:line="300" w:lineRule="auto"/>
              <w:ind w:left="0" w:right="0"/>
              <w:jc w:val="left"/>
              <w:rPr>
                <w:rFonts w:hint="eastAsia" w:ascii="宋体" w:hAnsi="宋体" w:eastAsia="宋体"/>
                <w:sz w:val="24"/>
                <w:szCs w:val="24"/>
              </w:rPr>
            </w:pPr>
            <w:r>
              <w:rPr>
                <w:rFonts w:hint="eastAsia" w:ascii="宋体" w:hAnsi="宋体" w:eastAsia="宋体"/>
                <w:sz w:val="24"/>
                <w:szCs w:val="24"/>
                <w:lang w:val="en-US" w:eastAsia="zh-CN"/>
              </w:rPr>
              <w:t>长江证券、国信证券、中金证券、申万宏源证券、华西证券、东吴证券、西部证券、</w:t>
            </w:r>
            <w:r>
              <w:rPr>
                <w:rFonts w:hint="default" w:ascii="宋体" w:hAnsi="宋体" w:eastAsia="宋体"/>
                <w:sz w:val="24"/>
                <w:szCs w:val="24"/>
                <w:lang w:eastAsia="zh-CN"/>
                <w:woUserID w:val="1"/>
              </w:rPr>
              <w:t>中信建投、国联基金、泰康资产、老虎基金、</w:t>
            </w:r>
            <w:r>
              <w:rPr>
                <w:rFonts w:hint="eastAsia" w:ascii="宋体" w:hAnsi="宋体" w:eastAsia="宋体"/>
                <w:sz w:val="24"/>
                <w:szCs w:val="24"/>
                <w:lang w:val="en-US" w:eastAsia="zh-CN"/>
              </w:rPr>
              <w:t>西藏信托、</w:t>
            </w:r>
            <w:r>
              <w:rPr>
                <w:rFonts w:hint="default" w:ascii="宋体" w:hAnsi="宋体" w:eastAsia="宋体"/>
                <w:sz w:val="24"/>
                <w:szCs w:val="24"/>
                <w:lang w:eastAsia="zh-CN"/>
                <w:woUserID w:val="1"/>
              </w:rPr>
              <w:t>碧云资产、阳光</w:t>
            </w:r>
            <w:r>
              <w:rPr>
                <w:rFonts w:hint="eastAsia" w:ascii="宋体" w:hAnsi="宋体" w:eastAsia="宋体"/>
                <w:sz w:val="24"/>
                <w:szCs w:val="24"/>
                <w:lang w:val="en-US" w:eastAsia="zh-CN"/>
              </w:rPr>
              <w:t>保险</w:t>
            </w:r>
            <w:r>
              <w:rPr>
                <w:rFonts w:hint="default" w:ascii="宋体" w:hAnsi="宋体" w:eastAsia="宋体"/>
                <w:sz w:val="24"/>
                <w:szCs w:val="24"/>
                <w:lang w:eastAsia="zh-CN"/>
                <w:woUserID w:val="1"/>
              </w:rPr>
              <w:t>、仁桥资产、荷兰APG</w:t>
            </w:r>
            <w:r>
              <w:rPr>
                <w:rFonts w:hint="eastAsia" w:ascii="宋体" w:hAnsi="宋体" w:eastAsia="宋体"/>
                <w:sz w:val="24"/>
                <w:szCs w:val="24"/>
              </w:rPr>
              <w:t>等</w:t>
            </w:r>
            <w:r>
              <w:rPr>
                <w:rFonts w:hint="default" w:ascii="宋体" w:hAnsi="宋体" w:eastAsia="宋体"/>
                <w:sz w:val="24"/>
                <w:szCs w:val="24"/>
                <w:woUserID w:val="1"/>
              </w:rPr>
              <w:t>3</w:t>
            </w:r>
            <w:r>
              <w:rPr>
                <w:rFonts w:hint="default" w:ascii="宋体" w:hAnsi="宋体" w:eastAsia="宋体"/>
                <w:sz w:val="24"/>
                <w:szCs w:val="24"/>
                <w:highlight w:val="none"/>
                <w:woUserID w:val="2"/>
              </w:rPr>
              <w:t>0+</w:t>
            </w:r>
            <w:r>
              <w:rPr>
                <w:rFonts w:hint="eastAsia" w:ascii="宋体" w:hAnsi="宋体" w:eastAsia="宋体"/>
                <w:sz w:val="24"/>
                <w:szCs w:val="24"/>
              </w:rPr>
              <w:t>机构</w:t>
            </w:r>
            <w:r>
              <w:rPr>
                <w:rFonts w:hint="default" w:ascii="宋体" w:hAnsi="宋体" w:eastAsia="宋体"/>
                <w:sz w:val="24"/>
                <w:szCs w:val="24"/>
                <w:woUserID w:val="1"/>
              </w:rPr>
              <w:t>/券商</w:t>
            </w:r>
          </w:p>
        </w:tc>
      </w:tr>
      <w:tr w14:paraId="4A23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C48F489">
            <w:pPr>
              <w:keepNext w:val="0"/>
              <w:keepLines w:val="0"/>
              <w:suppressLineNumbers w:val="0"/>
              <w:spacing w:before="156" w:beforeLines="50" w:beforeAutospacing="0" w:after="156" w:afterLines="50" w:afterAutospacing="0" w:line="300" w:lineRule="auto"/>
              <w:ind w:left="0" w:right="0"/>
              <w:jc w:val="center"/>
              <w:rPr>
                <w:rFonts w:hint="eastAsia" w:ascii="宋体" w:hAnsi="宋体" w:eastAsia="宋体"/>
                <w:b/>
                <w:sz w:val="24"/>
                <w:szCs w:val="24"/>
              </w:rPr>
            </w:pPr>
            <w:r>
              <w:rPr>
                <w:rFonts w:hint="eastAsia" w:ascii="宋体" w:hAnsi="宋体" w:eastAsia="宋体"/>
                <w:b/>
                <w:sz w:val="24"/>
                <w:szCs w:val="24"/>
              </w:rPr>
              <w:t>地点</w:t>
            </w:r>
          </w:p>
        </w:tc>
        <w:tc>
          <w:tcPr>
            <w:tcW w:w="6741" w:type="dxa"/>
            <w:vAlign w:val="center"/>
          </w:tcPr>
          <w:p w14:paraId="36A2F55D">
            <w:pPr>
              <w:keepNext w:val="0"/>
              <w:keepLines w:val="0"/>
              <w:suppressLineNumbers w:val="0"/>
              <w:spacing w:before="156" w:beforeLines="50" w:beforeAutospacing="0" w:after="156" w:afterLines="50" w:afterAutospacing="0" w:line="300" w:lineRule="auto"/>
              <w:ind w:left="0" w:right="0"/>
              <w:rPr>
                <w:rFonts w:hint="default" w:ascii="宋体" w:hAnsi="宋体" w:eastAsia="宋体"/>
                <w:sz w:val="24"/>
                <w:szCs w:val="24"/>
                <w:woUserID w:val="2"/>
              </w:rPr>
            </w:pPr>
            <w:r>
              <w:rPr>
                <w:rFonts w:hint="default" w:ascii="宋体" w:hAnsi="宋体" w:eastAsia="宋体"/>
                <w:sz w:val="24"/>
                <w:szCs w:val="24"/>
                <w:woUserID w:val="1"/>
              </w:rPr>
              <w:t>策略会现场、</w:t>
            </w:r>
            <w:r>
              <w:rPr>
                <w:rFonts w:hint="eastAsia" w:ascii="宋体" w:hAnsi="宋体" w:eastAsia="宋体"/>
                <w:sz w:val="24"/>
                <w:szCs w:val="24"/>
              </w:rPr>
              <w:t>公司会议室</w:t>
            </w:r>
            <w:r>
              <w:rPr>
                <w:rFonts w:hint="default" w:ascii="宋体" w:hAnsi="宋体" w:eastAsia="宋体"/>
                <w:sz w:val="24"/>
                <w:szCs w:val="24"/>
                <w:woUserID w:val="2"/>
              </w:rPr>
              <w:t>等</w:t>
            </w:r>
          </w:p>
        </w:tc>
      </w:tr>
      <w:tr w14:paraId="5688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555" w:type="dxa"/>
            <w:vAlign w:val="center"/>
          </w:tcPr>
          <w:p w14:paraId="5F7F83D3">
            <w:pPr>
              <w:keepNext w:val="0"/>
              <w:keepLines w:val="0"/>
              <w:suppressLineNumbers w:val="0"/>
              <w:spacing w:before="156" w:beforeLines="50" w:beforeAutospacing="0" w:after="156" w:afterLines="50" w:afterAutospacing="0" w:line="300" w:lineRule="auto"/>
              <w:ind w:left="0" w:right="0"/>
              <w:jc w:val="center"/>
              <w:rPr>
                <w:rFonts w:hint="eastAsia" w:ascii="宋体" w:hAnsi="宋体" w:eastAsia="宋体"/>
                <w:b/>
                <w:sz w:val="24"/>
                <w:szCs w:val="24"/>
              </w:rPr>
            </w:pPr>
            <w:r>
              <w:rPr>
                <w:rFonts w:hint="eastAsia" w:ascii="宋体" w:hAnsi="宋体" w:eastAsia="宋体"/>
                <w:b/>
                <w:sz w:val="24"/>
                <w:szCs w:val="24"/>
              </w:rPr>
              <w:t>上市公司接待人员</w:t>
            </w:r>
          </w:p>
        </w:tc>
        <w:tc>
          <w:tcPr>
            <w:tcW w:w="6741" w:type="dxa"/>
            <w:vAlign w:val="center"/>
          </w:tcPr>
          <w:p w14:paraId="1E15A8C2">
            <w:pPr>
              <w:keepNext w:val="0"/>
              <w:keepLines w:val="0"/>
              <w:suppressLineNumbers w:val="0"/>
              <w:spacing w:before="156" w:beforeLines="50" w:beforeAutospacing="0" w:after="156" w:afterLines="50" w:afterAutospacing="0" w:line="300" w:lineRule="auto"/>
              <w:ind w:left="0" w:right="0"/>
              <w:rPr>
                <w:rFonts w:hint="eastAsia" w:ascii="宋体" w:hAnsi="宋体" w:eastAsia="宋体"/>
                <w:sz w:val="24"/>
                <w:szCs w:val="24"/>
              </w:rPr>
            </w:pPr>
            <w:r>
              <w:rPr>
                <w:rFonts w:hint="eastAsia" w:ascii="宋体" w:hAnsi="宋体" w:eastAsia="宋体"/>
                <w:sz w:val="24"/>
                <w:szCs w:val="24"/>
              </w:rPr>
              <w:t>董事会秘书</w:t>
            </w:r>
            <w:r>
              <w:rPr>
                <w:rFonts w:hint="eastAsia" w:ascii="宋体" w:hAnsi="宋体" w:eastAsia="宋体"/>
                <w:sz w:val="24"/>
                <w:szCs w:val="24"/>
                <w:lang w:val="en-US" w:eastAsia="zh-CN"/>
              </w:rPr>
              <w:t>、</w:t>
            </w:r>
            <w:r>
              <w:rPr>
                <w:rFonts w:hint="eastAsia" w:ascii="宋体" w:hAnsi="宋体" w:eastAsia="宋体"/>
                <w:sz w:val="24"/>
                <w:szCs w:val="24"/>
              </w:rPr>
              <w:t>证券事务代表</w:t>
            </w:r>
          </w:p>
        </w:tc>
      </w:tr>
      <w:tr w14:paraId="483D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CAF4602">
            <w:pPr>
              <w:keepNext w:val="0"/>
              <w:keepLines w:val="0"/>
              <w:suppressLineNumbers w:val="0"/>
              <w:spacing w:before="156" w:beforeLines="50" w:beforeAutospacing="0" w:after="156" w:afterLines="50" w:afterAutospacing="0" w:line="300" w:lineRule="auto"/>
              <w:ind w:left="0" w:right="0"/>
              <w:jc w:val="center"/>
              <w:rPr>
                <w:rFonts w:hint="eastAsia" w:ascii="宋体" w:hAnsi="宋体" w:eastAsia="宋体"/>
                <w:b/>
                <w:sz w:val="24"/>
                <w:szCs w:val="24"/>
              </w:rPr>
            </w:pPr>
            <w:r>
              <w:rPr>
                <w:rFonts w:hint="eastAsia" w:ascii="宋体" w:hAnsi="宋体" w:eastAsia="宋体"/>
                <w:b/>
                <w:sz w:val="24"/>
                <w:szCs w:val="24"/>
              </w:rPr>
              <w:t>投资者关系活动主要内容介绍</w:t>
            </w:r>
          </w:p>
        </w:tc>
        <w:tc>
          <w:tcPr>
            <w:tcW w:w="6741" w:type="dxa"/>
            <w:vAlign w:val="center"/>
          </w:tcPr>
          <w:p w14:paraId="70C2B2FC">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sz w:val="24"/>
                <w:szCs w:val="24"/>
                <w:woUserID w:val="1"/>
              </w:rPr>
            </w:pPr>
            <w:r>
              <w:rPr>
                <w:rFonts w:hint="default" w:ascii="Times New Roman" w:hAnsi="Times New Roman" w:eastAsia="宋体" w:cs="Times New Roman"/>
                <w:b/>
                <w:bCs/>
                <w:sz w:val="24"/>
                <w:szCs w:val="24"/>
                <w:woUserID w:val="1"/>
              </w:rPr>
              <w:t xml:space="preserve">Q1: </w:t>
            </w:r>
            <w:r>
              <w:rPr>
                <w:rFonts w:hint="eastAsia" w:ascii="Times New Roman" w:hAnsi="Times New Roman" w:eastAsia="宋体" w:cs="Times New Roman"/>
                <w:b/>
                <w:bCs/>
                <w:sz w:val="24"/>
                <w:szCs w:val="24"/>
                <w:lang w:val="en-US" w:eastAsia="zh-CN"/>
                <w:woUserID w:val="1"/>
              </w:rPr>
              <w:t>公司2025年第二季度</w:t>
            </w:r>
            <w:r>
              <w:rPr>
                <w:rFonts w:hint="default" w:ascii="Times New Roman" w:hAnsi="Times New Roman" w:eastAsia="宋体" w:cs="Times New Roman"/>
                <w:b/>
                <w:bCs/>
                <w:sz w:val="24"/>
                <w:szCs w:val="24"/>
                <w:lang w:eastAsia="zh-CN"/>
                <w:woUserID w:val="1"/>
              </w:rPr>
              <w:t>新能源业务是否受到政策影响，整体</w:t>
            </w:r>
            <w:r>
              <w:rPr>
                <w:rFonts w:hint="eastAsia" w:ascii="Times New Roman" w:hAnsi="Times New Roman" w:eastAsia="宋体" w:cs="Times New Roman"/>
                <w:b/>
                <w:bCs/>
                <w:sz w:val="24"/>
                <w:szCs w:val="24"/>
                <w:lang w:val="en-US" w:eastAsia="zh-CN"/>
                <w:woUserID w:val="1"/>
              </w:rPr>
              <w:t>业务情况如何？</w:t>
            </w:r>
          </w:p>
          <w:p w14:paraId="531A038A">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val="0"/>
                <w:bCs w:val="0"/>
                <w:sz w:val="24"/>
                <w:szCs w:val="24"/>
                <w:lang w:val="en-US" w:eastAsia="zh-CN"/>
                <w:woUserID w:val="1"/>
              </w:rPr>
            </w:pPr>
            <w:r>
              <w:rPr>
                <w:rFonts w:hint="eastAsia" w:ascii="Times New Roman" w:hAnsi="Times New Roman" w:eastAsia="宋体" w:cs="Times New Roman"/>
                <w:b w:val="0"/>
                <w:bCs w:val="0"/>
                <w:sz w:val="24"/>
                <w:szCs w:val="24"/>
                <w:lang w:val="en-US" w:eastAsia="zh-CN"/>
                <w:woUserID w:val="1"/>
              </w:rPr>
              <w:t>A：</w:t>
            </w:r>
            <w:r>
              <w:rPr>
                <w:rFonts w:hint="default" w:ascii="Times New Roman" w:hAnsi="Times New Roman" w:eastAsia="宋体" w:cs="Times New Roman"/>
                <w:b w:val="0"/>
                <w:bCs w:val="0"/>
                <w:sz w:val="24"/>
                <w:szCs w:val="24"/>
                <w:lang w:eastAsia="zh-CN"/>
                <w:woUserID w:val="1"/>
              </w:rPr>
              <w:t>新能源产业链均受到相关政策不同程度的影响，公司也不例外，“抢装潮”对</w:t>
            </w:r>
            <w:r>
              <w:rPr>
                <w:rFonts w:hint="eastAsia" w:ascii="Times New Roman" w:hAnsi="Times New Roman" w:eastAsia="宋体" w:cs="Times New Roman"/>
                <w:b w:val="0"/>
                <w:bCs w:val="0"/>
                <w:sz w:val="24"/>
                <w:szCs w:val="24"/>
                <w:lang w:val="en-US" w:eastAsia="zh-CN"/>
                <w:woUserID w:val="1"/>
              </w:rPr>
              <w:t>第二季度</w:t>
            </w:r>
            <w:r>
              <w:rPr>
                <w:rFonts w:hint="default" w:ascii="Times New Roman" w:hAnsi="Times New Roman" w:eastAsia="宋体" w:cs="Times New Roman"/>
                <w:b w:val="0"/>
                <w:bCs w:val="0"/>
                <w:sz w:val="24"/>
                <w:szCs w:val="24"/>
                <w:lang w:eastAsia="zh-CN"/>
                <w:woUserID w:val="1"/>
              </w:rPr>
              <w:t>新能源业务带来了积极影响，下半年的情况也会与大趋势息息相关。公司整体</w:t>
            </w:r>
            <w:r>
              <w:rPr>
                <w:rFonts w:hint="eastAsia" w:ascii="Times New Roman" w:hAnsi="Times New Roman" w:eastAsia="宋体" w:cs="Times New Roman"/>
                <w:b w:val="0"/>
                <w:bCs w:val="0"/>
                <w:sz w:val="24"/>
                <w:szCs w:val="24"/>
                <w:lang w:val="en-US" w:eastAsia="zh-CN"/>
                <w:woUserID w:val="1"/>
              </w:rPr>
              <w:t>经营情况按照既定目标有序推进</w:t>
            </w:r>
            <w:r>
              <w:rPr>
                <w:rFonts w:hint="default" w:ascii="Times New Roman" w:hAnsi="Times New Roman" w:eastAsia="宋体" w:cs="Times New Roman"/>
                <w:b w:val="0"/>
                <w:bCs w:val="0"/>
                <w:sz w:val="24"/>
                <w:szCs w:val="24"/>
                <w:lang w:eastAsia="zh-CN"/>
                <w:woUserID w:val="1"/>
              </w:rPr>
              <w:t>中</w:t>
            </w:r>
            <w:r>
              <w:rPr>
                <w:rFonts w:hint="eastAsia" w:ascii="Times New Roman" w:hAnsi="Times New Roman" w:eastAsia="宋体" w:cs="Times New Roman"/>
                <w:b w:val="0"/>
                <w:bCs w:val="0"/>
                <w:sz w:val="24"/>
                <w:szCs w:val="24"/>
                <w:lang w:val="en-US" w:eastAsia="zh-CN"/>
                <w:woUserID w:val="1"/>
              </w:rPr>
              <w:t>，交付节奏正常，</w:t>
            </w:r>
            <w:r>
              <w:rPr>
                <w:rFonts w:hint="default" w:ascii="Times New Roman" w:hAnsi="Times New Roman" w:eastAsia="宋体" w:cs="Times New Roman"/>
                <w:b w:val="0"/>
                <w:bCs w:val="0"/>
                <w:sz w:val="24"/>
                <w:szCs w:val="24"/>
                <w:lang w:eastAsia="zh-CN"/>
                <w:woUserID w:val="1"/>
              </w:rPr>
              <w:t>具体请关注</w:t>
            </w:r>
            <w:r>
              <w:rPr>
                <w:rFonts w:hint="eastAsia" w:ascii="Times New Roman" w:hAnsi="Times New Roman" w:eastAsia="宋体" w:cs="Times New Roman"/>
                <w:b w:val="0"/>
                <w:bCs w:val="0"/>
                <w:sz w:val="24"/>
                <w:szCs w:val="24"/>
                <w:lang w:val="en-US" w:eastAsia="zh-CN"/>
                <w:woUserID w:val="1"/>
              </w:rPr>
              <w:t>半年度</w:t>
            </w:r>
            <w:r>
              <w:rPr>
                <w:rFonts w:hint="default" w:ascii="Times New Roman" w:hAnsi="Times New Roman" w:eastAsia="宋体" w:cs="Times New Roman"/>
                <w:b w:val="0"/>
                <w:bCs w:val="0"/>
                <w:sz w:val="24"/>
                <w:szCs w:val="24"/>
                <w:lang w:eastAsia="zh-CN"/>
                <w:woUserID w:val="1"/>
              </w:rPr>
              <w:t>报告</w:t>
            </w:r>
            <w:r>
              <w:rPr>
                <w:rFonts w:hint="eastAsia" w:ascii="Times New Roman" w:hAnsi="Times New Roman" w:eastAsia="宋体" w:cs="Times New Roman"/>
                <w:b w:val="0"/>
                <w:bCs w:val="0"/>
                <w:sz w:val="24"/>
                <w:szCs w:val="24"/>
                <w:lang w:val="en-US" w:eastAsia="zh-CN"/>
                <w:woUserID w:val="1"/>
              </w:rPr>
              <w:t>。</w:t>
            </w:r>
          </w:p>
          <w:p w14:paraId="3DF45D0F">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val="0"/>
                <w:bCs w:val="0"/>
                <w:sz w:val="24"/>
                <w:szCs w:val="24"/>
                <w:lang w:val="en-US" w:eastAsia="zh-CN"/>
                <w:woUserID w:val="1"/>
              </w:rPr>
            </w:pPr>
          </w:p>
          <w:p w14:paraId="3C954438">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bCs/>
                <w:sz w:val="24"/>
                <w:szCs w:val="24"/>
                <w:lang w:val="en-US" w:eastAsia="zh-CN"/>
                <w:woUserID w:val="1"/>
              </w:rPr>
            </w:pPr>
            <w:r>
              <w:rPr>
                <w:rFonts w:hint="eastAsia" w:ascii="Times New Roman" w:hAnsi="Times New Roman" w:eastAsia="宋体" w:cs="Times New Roman"/>
                <w:b/>
                <w:bCs/>
                <w:sz w:val="24"/>
                <w:szCs w:val="24"/>
                <w:lang w:val="en-US" w:eastAsia="zh-CN"/>
                <w:woUserID w:val="1"/>
              </w:rPr>
              <w:t>Q</w:t>
            </w:r>
            <w:r>
              <w:rPr>
                <w:rFonts w:hint="default" w:ascii="Times New Roman" w:hAnsi="Times New Roman" w:eastAsia="宋体" w:cs="Times New Roman"/>
                <w:b/>
                <w:bCs/>
                <w:sz w:val="24"/>
                <w:szCs w:val="24"/>
                <w:lang w:eastAsia="zh-CN"/>
                <w:woUserID w:val="1"/>
              </w:rPr>
              <w:t>2</w:t>
            </w:r>
            <w:r>
              <w:rPr>
                <w:rFonts w:hint="eastAsia" w:ascii="Times New Roman" w:hAnsi="Times New Roman" w:eastAsia="宋体" w:cs="Times New Roman"/>
                <w:b/>
                <w:bCs/>
                <w:sz w:val="24"/>
                <w:szCs w:val="24"/>
                <w:lang w:val="en-US" w:eastAsia="zh-CN"/>
                <w:woUserID w:val="1"/>
              </w:rPr>
              <w:t>：公司控股股东减持</w:t>
            </w:r>
            <w:r>
              <w:rPr>
                <w:rFonts w:hint="default" w:ascii="Times New Roman" w:hAnsi="Times New Roman" w:eastAsia="宋体" w:cs="Times New Roman"/>
                <w:b/>
                <w:bCs/>
                <w:sz w:val="24"/>
                <w:szCs w:val="24"/>
                <w:lang w:eastAsia="zh-CN"/>
                <w:woUserID w:val="1"/>
              </w:rPr>
              <w:t>情况</w:t>
            </w:r>
            <w:r>
              <w:rPr>
                <w:rFonts w:hint="eastAsia" w:ascii="Times New Roman" w:hAnsi="Times New Roman" w:eastAsia="宋体" w:cs="Times New Roman"/>
                <w:b/>
                <w:bCs/>
                <w:sz w:val="24"/>
                <w:szCs w:val="24"/>
                <w:lang w:val="en-US" w:eastAsia="zh-CN"/>
                <w:woUserID w:val="1"/>
              </w:rPr>
              <w:t>进展</w:t>
            </w:r>
            <w:r>
              <w:rPr>
                <w:rFonts w:hint="default" w:ascii="Times New Roman" w:hAnsi="Times New Roman" w:eastAsia="宋体" w:cs="Times New Roman"/>
                <w:b/>
                <w:bCs/>
                <w:sz w:val="24"/>
                <w:szCs w:val="24"/>
                <w:lang w:eastAsia="zh-CN"/>
                <w:woUserID w:val="1"/>
              </w:rPr>
              <w:t>如何</w:t>
            </w:r>
            <w:r>
              <w:rPr>
                <w:rFonts w:hint="eastAsia" w:ascii="Times New Roman" w:hAnsi="Times New Roman" w:eastAsia="宋体" w:cs="Times New Roman"/>
                <w:b/>
                <w:bCs/>
                <w:sz w:val="24"/>
                <w:szCs w:val="24"/>
                <w:lang w:val="en-US" w:eastAsia="zh-CN"/>
                <w:woUserID w:val="1"/>
              </w:rPr>
              <w:t>？</w:t>
            </w:r>
          </w:p>
          <w:p w14:paraId="70B7B8E2">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val="0"/>
                <w:bCs w:val="0"/>
                <w:sz w:val="24"/>
                <w:szCs w:val="24"/>
                <w:lang w:val="en-US" w:eastAsia="zh-CN"/>
                <w:woUserID w:val="1"/>
              </w:rPr>
            </w:pPr>
            <w:r>
              <w:rPr>
                <w:rFonts w:hint="eastAsia" w:ascii="Times New Roman" w:hAnsi="Times New Roman" w:eastAsia="宋体" w:cs="Times New Roman"/>
                <w:b w:val="0"/>
                <w:bCs w:val="0"/>
                <w:sz w:val="24"/>
                <w:szCs w:val="24"/>
                <w:lang w:val="en-US" w:eastAsia="zh-CN"/>
                <w:woUserID w:val="1"/>
              </w:rPr>
              <w:t>A：控股股东</w:t>
            </w:r>
            <w:r>
              <w:rPr>
                <w:rFonts w:hint="default" w:ascii="Times New Roman" w:hAnsi="Times New Roman" w:eastAsia="宋体" w:cs="Times New Roman"/>
                <w:b w:val="0"/>
                <w:bCs w:val="0"/>
                <w:sz w:val="24"/>
                <w:szCs w:val="24"/>
                <w:lang w:eastAsia="zh-CN"/>
                <w:woUserID w:val="1"/>
              </w:rPr>
              <w:t>发布了《减持计划公告》，后续的减持情况进展需按照相关披露要求进行披露，目前暂未收到股东的进展情况通知，</w:t>
            </w:r>
            <w:r>
              <w:rPr>
                <w:rFonts w:hint="eastAsia" w:ascii="Times New Roman" w:hAnsi="Times New Roman" w:eastAsia="宋体" w:cs="Times New Roman"/>
                <w:b w:val="0"/>
                <w:bCs w:val="0"/>
                <w:sz w:val="24"/>
                <w:szCs w:val="24"/>
                <w:lang w:val="en-US" w:eastAsia="zh-CN"/>
                <w:woUserID w:val="1"/>
              </w:rPr>
              <w:t>后续可以</w:t>
            </w:r>
            <w:r>
              <w:rPr>
                <w:rFonts w:hint="default" w:ascii="Times New Roman" w:hAnsi="Times New Roman" w:eastAsia="宋体" w:cs="Times New Roman"/>
                <w:b w:val="0"/>
                <w:bCs w:val="0"/>
                <w:sz w:val="24"/>
                <w:szCs w:val="24"/>
                <w:lang w:eastAsia="zh-CN"/>
                <w:woUserID w:val="1"/>
              </w:rPr>
              <w:t>及时</w:t>
            </w:r>
            <w:r>
              <w:rPr>
                <w:rFonts w:hint="eastAsia" w:ascii="Times New Roman" w:hAnsi="Times New Roman" w:eastAsia="宋体" w:cs="Times New Roman"/>
                <w:b w:val="0"/>
                <w:bCs w:val="0"/>
                <w:sz w:val="24"/>
                <w:szCs w:val="24"/>
                <w:lang w:val="en-US" w:eastAsia="zh-CN"/>
                <w:woUserID w:val="1"/>
              </w:rPr>
              <w:t>关注</w:t>
            </w:r>
            <w:r>
              <w:rPr>
                <w:rFonts w:hint="default" w:ascii="Times New Roman" w:hAnsi="Times New Roman" w:eastAsia="宋体" w:cs="Times New Roman"/>
                <w:b w:val="0"/>
                <w:bCs w:val="0"/>
                <w:sz w:val="24"/>
                <w:szCs w:val="24"/>
                <w:lang w:eastAsia="zh-CN"/>
                <w:woUserID w:val="1"/>
              </w:rPr>
              <w:t>相关</w:t>
            </w:r>
            <w:r>
              <w:rPr>
                <w:rFonts w:hint="eastAsia" w:ascii="Times New Roman" w:hAnsi="Times New Roman" w:eastAsia="宋体" w:cs="Times New Roman"/>
                <w:b w:val="0"/>
                <w:bCs w:val="0"/>
                <w:sz w:val="24"/>
                <w:szCs w:val="24"/>
                <w:lang w:val="en-US" w:eastAsia="zh-CN"/>
                <w:woUserID w:val="1"/>
              </w:rPr>
              <w:t>公告。</w:t>
            </w:r>
          </w:p>
          <w:p w14:paraId="59B58858">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bCs/>
                <w:sz w:val="24"/>
                <w:szCs w:val="24"/>
                <w:lang w:val="en-US" w:eastAsia="zh-CN"/>
              </w:rPr>
            </w:pPr>
            <w:bookmarkStart w:id="0" w:name="_GoBack"/>
            <w:bookmarkEnd w:id="0"/>
            <w:r>
              <w:rPr>
                <w:rFonts w:hint="default" w:ascii="Times New Roman" w:hAnsi="Times New Roman" w:eastAsia="宋体" w:cs="Times New Roman"/>
                <w:b/>
                <w:bCs/>
                <w:sz w:val="24"/>
                <w:szCs w:val="24"/>
              </w:rPr>
              <w:t>Q</w:t>
            </w:r>
            <w:r>
              <w:rPr>
                <w:rFonts w:hint="default" w:ascii="Times New Roman" w:hAnsi="Times New Roman" w:eastAsia="宋体" w:cs="Times New Roman"/>
                <w:b/>
                <w:bCs/>
                <w:sz w:val="24"/>
                <w:szCs w:val="24"/>
                <w:woUserID w:val="1"/>
              </w:rPr>
              <w:t>3</w:t>
            </w:r>
            <w:r>
              <w:rPr>
                <w:rFonts w:hint="default"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lang w:val="en-US" w:eastAsia="zh-CN"/>
              </w:rPr>
              <w:t>近日国家能源局印发关于组织开展</w:t>
            </w:r>
            <w:r>
              <w:rPr>
                <w:rFonts w:hint="default" w:ascii="Times New Roman" w:hAnsi="Times New Roman" w:eastAsia="宋体" w:cs="Times New Roman"/>
                <w:b/>
                <w:bCs/>
                <w:sz w:val="24"/>
                <w:szCs w:val="24"/>
                <w:lang w:val="en-US" w:eastAsia="zh-CN"/>
              </w:rPr>
              <w:fldChar w:fldCharType="begin"/>
            </w:r>
            <w:r>
              <w:rPr>
                <w:rFonts w:hint="default" w:ascii="Times New Roman" w:hAnsi="Times New Roman" w:eastAsia="宋体" w:cs="Times New Roman"/>
                <w:b/>
                <w:bCs/>
                <w:sz w:val="24"/>
                <w:szCs w:val="24"/>
                <w:lang w:val="en-US" w:eastAsia="zh-CN"/>
              </w:rPr>
              <w:instrText xml:space="preserve"> HYPERLINK "https://news.bjx.com.cn/topics/xinxingdianlixitong/" \t "https://news.bjx.com.cn/html/20250604/_blank" </w:instrText>
            </w:r>
            <w:r>
              <w:rPr>
                <w:rFonts w:hint="default" w:ascii="Times New Roman" w:hAnsi="Times New Roman" w:eastAsia="宋体" w:cs="Times New Roman"/>
                <w:b/>
                <w:bCs/>
                <w:sz w:val="24"/>
                <w:szCs w:val="24"/>
                <w:lang w:val="en-US" w:eastAsia="zh-CN"/>
              </w:rPr>
              <w:fldChar w:fldCharType="separate"/>
            </w:r>
            <w:r>
              <w:rPr>
                <w:rFonts w:hint="default" w:ascii="Times New Roman" w:hAnsi="Times New Roman" w:eastAsia="宋体" w:cs="Times New Roman"/>
                <w:b/>
                <w:bCs/>
                <w:sz w:val="24"/>
                <w:szCs w:val="24"/>
                <w:lang w:val="en-US" w:eastAsia="zh-CN"/>
              </w:rPr>
              <w:t>新型电力系统</w:t>
            </w:r>
            <w:r>
              <w:rPr>
                <w:rFonts w:hint="default" w:ascii="Times New Roman" w:hAnsi="Times New Roman" w:eastAsia="宋体" w:cs="Times New Roman"/>
                <w:b/>
                <w:bCs/>
                <w:sz w:val="24"/>
                <w:szCs w:val="24"/>
                <w:lang w:val="en-US" w:eastAsia="zh-CN"/>
              </w:rPr>
              <w:fldChar w:fldCharType="end"/>
            </w:r>
            <w:r>
              <w:rPr>
                <w:rFonts w:hint="default" w:ascii="Times New Roman" w:hAnsi="Times New Roman" w:eastAsia="宋体" w:cs="Times New Roman"/>
                <w:b/>
                <w:bCs/>
                <w:sz w:val="24"/>
                <w:szCs w:val="24"/>
                <w:lang w:val="en-US" w:eastAsia="zh-CN"/>
              </w:rPr>
              <w:t>建设第一批试点工作的通知</w:t>
            </w:r>
            <w:r>
              <w:rPr>
                <w:rFonts w:hint="eastAsia" w:ascii="Times New Roman" w:hAnsi="Times New Roman" w:eastAsia="宋体" w:cs="Times New Roman"/>
                <w:b/>
                <w:bCs/>
                <w:sz w:val="24"/>
                <w:szCs w:val="24"/>
                <w:lang w:val="en-US" w:eastAsia="zh-CN"/>
              </w:rPr>
              <w:t>，提到启动新型电力系统首批试点，聚焦七大试点方向</w:t>
            </w:r>
            <w:r>
              <w:rPr>
                <w:rFonts w:hint="default" w:ascii="Times New Roman" w:hAnsi="Times New Roman" w:eastAsia="宋体" w:cs="Times New Roman"/>
                <w:b/>
                <w:bCs/>
                <w:sz w:val="24"/>
                <w:szCs w:val="24"/>
                <w:lang w:eastAsia="zh-CN"/>
                <w:woUserID w:val="1"/>
              </w:rPr>
              <w:t>，</w:t>
            </w:r>
            <w:r>
              <w:rPr>
                <w:rFonts w:hint="eastAsia" w:ascii="Times New Roman" w:hAnsi="Times New Roman" w:eastAsia="宋体" w:cs="Times New Roman"/>
                <w:b/>
                <w:bCs/>
                <w:sz w:val="24"/>
                <w:szCs w:val="24"/>
                <w:lang w:val="en-US" w:eastAsia="zh-CN"/>
              </w:rPr>
              <w:t>请问该通知对公司有何影响？能否介绍一下？</w:t>
            </w:r>
          </w:p>
          <w:p w14:paraId="02107792">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val="0"/>
                <w:bCs w:val="0"/>
                <w:sz w:val="24"/>
                <w:szCs w:val="24"/>
                <w:lang w:val="en-US" w:eastAsia="zh-CN"/>
                <w:woUserID w:val="1"/>
              </w:rPr>
            </w:pPr>
            <w:r>
              <w:rPr>
                <w:rFonts w:hint="eastAsia" w:ascii="Times New Roman" w:hAnsi="Times New Roman" w:eastAsia="宋体" w:cs="Times New Roman"/>
                <w:b/>
                <w:bCs/>
                <w:sz w:val="24"/>
                <w:szCs w:val="24"/>
                <w:lang w:val="en-US" w:eastAsia="zh-CN"/>
              </w:rPr>
              <w:t>A：</w:t>
            </w:r>
            <w:r>
              <w:rPr>
                <w:rFonts w:hint="default" w:ascii="Times New Roman" w:hAnsi="Times New Roman" w:eastAsia="宋体" w:cs="Times New Roman"/>
                <w:b w:val="0"/>
                <w:bCs w:val="0"/>
                <w:color w:val="000000"/>
                <w:sz w:val="24"/>
                <w:szCs w:val="24"/>
                <w:lang w:eastAsia="zh-CN"/>
                <w:woUserID w:val="1"/>
              </w:rPr>
              <w:t>本次试点工作聚焦七个方向，旨在探索新型电力系统建设的新技术、新模式的推广应用</w:t>
            </w:r>
            <w:r>
              <w:rPr>
                <w:rFonts w:hint="eastAsia" w:ascii="宋体" w:hAnsi="宋体" w:eastAsia="宋体" w:cs="宋体"/>
                <w:color w:val="000000"/>
                <w:sz w:val="24"/>
                <w:szCs w:val="24"/>
                <w:lang w:eastAsia="zh-CN"/>
              </w:rPr>
              <w:t>。公司作为领先的新型电力系统解决方案提供商，长期深耕电力系统自动化等领域，在智慧发电及新能源、智能电网、新型配电网、智慧用电、新型储能等方向持续发力，拥有深厚技术积累与丰富实践经验。</w:t>
            </w:r>
            <w:r>
              <w:rPr>
                <w:rFonts w:hint="default" w:ascii="宋体" w:hAnsi="宋体" w:eastAsia="宋体" w:cs="宋体"/>
                <w:color w:val="000000"/>
                <w:sz w:val="24"/>
                <w:szCs w:val="24"/>
                <w:lang w:eastAsia="zh-CN"/>
                <w:woUserID w:val="1"/>
              </w:rPr>
              <w:t>公司高度重视</w:t>
            </w:r>
            <w:r>
              <w:rPr>
                <w:rFonts w:hint="eastAsia" w:ascii="宋体" w:hAnsi="宋体" w:eastAsia="宋体" w:cs="宋体"/>
                <w:color w:val="000000"/>
                <w:sz w:val="24"/>
                <w:szCs w:val="24"/>
                <w:lang w:eastAsia="zh-CN"/>
              </w:rPr>
              <w:t>此次试点工作，</w:t>
            </w:r>
            <w:r>
              <w:rPr>
                <w:rFonts w:hint="default" w:ascii="宋体" w:hAnsi="宋体" w:eastAsia="宋体" w:cs="宋体"/>
                <w:color w:val="000000"/>
                <w:sz w:val="24"/>
                <w:szCs w:val="24"/>
                <w:lang w:eastAsia="zh-CN"/>
                <w:woUserID w:val="1"/>
              </w:rPr>
              <w:t>持续紧跟发展动态。</w:t>
            </w:r>
          </w:p>
          <w:p w14:paraId="6FF6C437">
            <w:pPr>
              <w:keepNext w:val="0"/>
              <w:keepLines w:val="0"/>
              <w:suppressLineNumbers w:val="0"/>
              <w:spacing w:before="0" w:beforeAutospacing="0" w:after="0" w:afterAutospacing="0" w:line="360" w:lineRule="auto"/>
              <w:ind w:left="0" w:right="0"/>
              <w:rPr>
                <w:rFonts w:hint="default" w:ascii="宋体" w:hAnsi="宋体" w:eastAsia="微软雅黑" w:cs="宋体"/>
                <w:sz w:val="24"/>
                <w:szCs w:val="24"/>
                <w:lang w:val="en-US" w:eastAsia="zh-CN"/>
              </w:rPr>
            </w:pPr>
            <w:r>
              <w:rPr>
                <w:rFonts w:hint="eastAsia" w:ascii="宋体" w:hAnsi="宋体" w:eastAsia="宋体" w:cs="宋体"/>
                <w:b/>
                <w:bCs/>
                <w:sz w:val="24"/>
                <w:szCs w:val="24"/>
              </w:rPr>
              <w:t>构网型技术</w:t>
            </w:r>
            <w:r>
              <w:rPr>
                <w:rFonts w:hint="default" w:ascii="宋体" w:hAnsi="宋体" w:eastAsia="宋体" w:cs="宋体"/>
                <w:b/>
                <w:bCs/>
                <w:sz w:val="24"/>
                <w:szCs w:val="24"/>
                <w:woUserID w:val="1"/>
              </w:rPr>
              <w:t>方面</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公司基于对电网互动的深刻理解，充分利用构网型技术在弱系统频率电压主动支撑、交流保护适应性、宽频阻抗特性及振荡主动抑制等方面的技术优势，提出了在不同典型应用场景下的构网型</w:t>
            </w:r>
            <w:r>
              <w:rPr>
                <w:rFonts w:hint="eastAsia" w:ascii="宋体" w:hAnsi="宋体" w:eastAsia="宋体" w:cs="宋体"/>
                <w:sz w:val="24"/>
                <w:szCs w:val="24"/>
                <w:lang w:eastAsia="zh-CN"/>
                <w:woUserID w:val="1"/>
              </w:rPr>
              <w:t>SVG</w:t>
            </w:r>
            <w:r>
              <w:rPr>
                <w:rFonts w:hint="eastAsia" w:ascii="宋体" w:hAnsi="宋体" w:eastAsia="宋体" w:cs="宋体"/>
                <w:sz w:val="24"/>
                <w:szCs w:val="24"/>
                <w:lang w:eastAsia="zh-CN"/>
              </w:rPr>
              <w:t>和构网型</w:t>
            </w:r>
            <w:r>
              <w:rPr>
                <w:rFonts w:hint="eastAsia" w:ascii="宋体" w:hAnsi="宋体" w:eastAsia="宋体" w:cs="宋体"/>
                <w:sz w:val="24"/>
                <w:szCs w:val="24"/>
                <w:lang w:eastAsia="zh-CN"/>
                <w:woUserID w:val="1"/>
              </w:rPr>
              <w:t>储能</w:t>
            </w:r>
            <w:r>
              <w:rPr>
                <w:rFonts w:hint="eastAsia" w:ascii="宋体" w:hAnsi="宋体" w:eastAsia="宋体" w:cs="宋体"/>
                <w:sz w:val="24"/>
                <w:szCs w:val="24"/>
                <w:lang w:eastAsia="zh-CN"/>
              </w:rPr>
              <w:t>解决方案。</w:t>
            </w:r>
            <w:r>
              <w:rPr>
                <w:rFonts w:hint="eastAsia" w:ascii="宋体" w:hAnsi="宋体" w:eastAsia="宋体" w:cs="宋体"/>
                <w:b/>
                <w:bCs/>
                <w:sz w:val="24"/>
                <w:szCs w:val="24"/>
                <w:lang w:eastAsia="zh-CN"/>
                <w:woUserID w:val="1"/>
              </w:rPr>
              <w:t>构网型SVG</w:t>
            </w:r>
            <w:r>
              <w:rPr>
                <w:rFonts w:hint="eastAsia" w:ascii="宋体" w:hAnsi="宋体" w:eastAsia="宋体" w:cs="宋体"/>
                <w:sz w:val="24"/>
                <w:szCs w:val="24"/>
                <w:lang w:eastAsia="zh-CN"/>
                <w:woUserID w:val="1"/>
              </w:rPr>
              <w:t>可以实现同步无功补偿，解决传统跟网型SVG控制延时所造成的无功反调等问题，有效抑制新能源场站过电压，提高弱系统的短路比。</w:t>
            </w:r>
            <w:r>
              <w:rPr>
                <w:rFonts w:hint="eastAsia" w:ascii="宋体" w:hAnsi="宋体" w:eastAsia="宋体" w:cs="宋体"/>
                <w:b/>
                <w:bCs/>
                <w:sz w:val="24"/>
                <w:szCs w:val="24"/>
                <w:lang w:eastAsia="zh-CN"/>
              </w:rPr>
              <w:t>构网型储能</w:t>
            </w:r>
            <w:r>
              <w:rPr>
                <w:rFonts w:hint="eastAsia" w:ascii="宋体" w:hAnsi="宋体" w:eastAsia="宋体" w:cs="宋体"/>
                <w:sz w:val="24"/>
                <w:szCs w:val="24"/>
                <w:lang w:eastAsia="zh-CN"/>
              </w:rPr>
              <w:t>以构网技术为核心构建具有电压源特性的储能变流器，通过构网控制模拟同步机组特性，使储能系统向电网提供电压、频率支撑能力。主要应用场景包括沙戈荒新能源并网及孤岛运行、新能源基地经柔性直流送出、柔性直流接入弱系统等。“适用于高比例新能源电力系统的构网型储能变流器”已于2022年通过中国电机工程学会鉴</w:t>
            </w:r>
            <w:r>
              <w:rPr>
                <w:rFonts w:hint="eastAsia" w:ascii="宋体" w:hAnsi="宋体" w:eastAsia="宋体" w:cs="宋体"/>
                <w:sz w:val="24"/>
                <w:szCs w:val="24"/>
                <w:lang w:val="en-US" w:eastAsia="zh-CN"/>
              </w:rPr>
              <w:t>定，“</w:t>
            </w:r>
            <w:r>
              <w:rPr>
                <w:rFonts w:hint="default" w:ascii="宋体" w:hAnsi="宋体" w:eastAsia="宋体" w:cs="宋体"/>
                <w:sz w:val="24"/>
                <w:szCs w:val="24"/>
                <w:lang w:val="en-US" w:eastAsia="zh-CN"/>
              </w:rPr>
              <w:t>基于分层协同机制的电力系统宽频振荡智能监测溯源技术及应用</w:t>
            </w:r>
            <w:r>
              <w:rPr>
                <w:rFonts w:hint="eastAsia" w:ascii="宋体" w:hAnsi="宋体" w:eastAsia="宋体" w:cs="宋体"/>
                <w:sz w:val="24"/>
                <w:szCs w:val="24"/>
                <w:lang w:val="en-US" w:eastAsia="zh-CN"/>
              </w:rPr>
              <w:t>”、“新能源高渗透率下构网型SVG主动支撑和安全稳定运行关键</w:t>
            </w:r>
            <w:r>
              <w:rPr>
                <w:rFonts w:hint="eastAsia" w:ascii="宋体" w:hAnsi="宋体" w:eastAsia="宋体" w:cs="宋体"/>
                <w:sz w:val="24"/>
                <w:szCs w:val="24"/>
                <w:lang w:eastAsia="zh-CN"/>
              </w:rPr>
              <w:t>技术及应用”</w:t>
            </w:r>
            <w:r>
              <w:rPr>
                <w:rFonts w:hint="eastAsia" w:ascii="宋体" w:hAnsi="宋体" w:eastAsia="宋体" w:cs="宋体"/>
                <w:sz w:val="24"/>
                <w:szCs w:val="24"/>
                <w:lang w:val="en-US" w:eastAsia="zh-CN"/>
              </w:rPr>
              <w:t>已于2025年6月通过中国电工技术学会鉴定，</w:t>
            </w:r>
            <w:r>
              <w:rPr>
                <w:rFonts w:hint="eastAsia" w:ascii="宋体" w:hAnsi="宋体" w:eastAsia="宋体" w:cs="宋体"/>
                <w:sz w:val="24"/>
                <w:szCs w:val="24"/>
                <w:lang w:eastAsia="zh-CN"/>
              </w:rPr>
              <w:t>整体处于国际领先水平。</w:t>
            </w:r>
            <w:r>
              <w:rPr>
                <w:rFonts w:hint="eastAsia" w:ascii="宋体" w:hAnsi="宋体" w:eastAsia="宋体" w:cs="宋体"/>
                <w:sz w:val="24"/>
                <w:szCs w:val="24"/>
                <w:lang w:val="en-US" w:eastAsia="zh-CN"/>
              </w:rPr>
              <w:t>目前相关产品及技术成果</w:t>
            </w:r>
            <w:r>
              <w:rPr>
                <w:rFonts w:hint="eastAsia" w:ascii="宋体" w:hAnsi="宋体" w:eastAsia="宋体" w:cs="宋体"/>
                <w:sz w:val="24"/>
                <w:szCs w:val="24"/>
                <w:lang w:eastAsia="zh-CN"/>
              </w:rPr>
              <w:t>已在多个省区电网实现工程应用，经济和社会效益显著。</w:t>
            </w:r>
          </w:p>
          <w:p w14:paraId="5CBCB16D">
            <w:pPr>
              <w:pStyle w:val="6"/>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sz w:val="24"/>
                <w:szCs w:val="24"/>
                <w:highlight w:val="none"/>
                <w:lang w:eastAsia="zh-CN"/>
                <w:woUserID w:val="1"/>
              </w:rPr>
            </w:pPr>
            <w:r>
              <w:rPr>
                <w:rFonts w:hint="eastAsia" w:ascii="宋体" w:hAnsi="宋体" w:eastAsia="宋体" w:cs="宋体"/>
                <w:b/>
                <w:bCs/>
                <w:sz w:val="24"/>
                <w:szCs w:val="24"/>
                <w:highlight w:val="none"/>
                <w:woUserID w:val="1"/>
              </w:rPr>
              <w:t>系统友好型新能源电站</w:t>
            </w:r>
            <w:r>
              <w:rPr>
                <w:rFonts w:hint="default" w:ascii="宋体" w:hAnsi="宋体" w:eastAsia="宋体" w:cs="宋体"/>
                <w:b/>
                <w:bCs/>
                <w:sz w:val="24"/>
                <w:szCs w:val="24"/>
                <w:highlight w:val="none"/>
                <w:woUserID w:val="1"/>
              </w:rPr>
              <w:t>及</w:t>
            </w:r>
            <w:r>
              <w:rPr>
                <w:rFonts w:hint="eastAsia" w:ascii="宋体" w:hAnsi="宋体" w:eastAsia="宋体" w:cs="宋体"/>
                <w:b/>
                <w:bCs/>
                <w:sz w:val="24"/>
                <w:szCs w:val="24"/>
                <w:highlight w:val="none"/>
                <w:woUserID w:val="1"/>
              </w:rPr>
              <w:t>新能源外送</w:t>
            </w:r>
            <w:r>
              <w:rPr>
                <w:rFonts w:hint="default" w:ascii="宋体" w:hAnsi="宋体" w:eastAsia="宋体" w:cs="宋体"/>
                <w:b/>
                <w:bCs/>
                <w:sz w:val="24"/>
                <w:szCs w:val="24"/>
                <w:highlight w:val="none"/>
                <w:woUserID w:val="1"/>
              </w:rPr>
              <w:t>方面</w:t>
            </w:r>
            <w:r>
              <w:rPr>
                <w:rFonts w:hint="eastAsia" w:ascii="宋体" w:hAnsi="宋体" w:eastAsia="宋体" w:cs="宋体"/>
                <w:b/>
                <w:bCs/>
                <w:sz w:val="24"/>
                <w:szCs w:val="24"/>
                <w:highlight w:val="none"/>
                <w:lang w:eastAsia="zh-CN"/>
                <w:woUserID w:val="1"/>
              </w:rPr>
              <w:t>：</w:t>
            </w:r>
            <w:r>
              <w:rPr>
                <w:rFonts w:hint="default" w:ascii="宋体" w:hAnsi="宋体" w:eastAsia="宋体" w:cs="宋体"/>
                <w:b w:val="0"/>
                <w:bCs w:val="0"/>
                <w:sz w:val="24"/>
                <w:szCs w:val="24"/>
                <w:highlight w:val="none"/>
                <w:lang w:eastAsia="zh-CN"/>
                <w:woUserID w:val="1"/>
              </w:rPr>
              <w:t>公司提供系统级并网友好、自主可控、无人值守型解决方案，确保并网友好性与稳定性，提高新能源发电的智慧化水平。</w:t>
            </w:r>
            <w:r>
              <w:rPr>
                <w:rFonts w:hint="eastAsia" w:ascii="宋体" w:hAnsi="宋体" w:eastAsia="宋体" w:cs="宋体"/>
                <w:b w:val="0"/>
                <w:bCs w:val="0"/>
                <w:color w:val="000000"/>
                <w:sz w:val="24"/>
                <w:szCs w:val="24"/>
                <w:highlight w:val="none"/>
                <w:lang w:eastAsia="zh-CN"/>
                <w:woUserID w:val="1"/>
              </w:rPr>
              <w:t>新能源大基地场站一体化的场站系统减少设备运维，新能源大基地的智慧联合调控系统基于风光火储多种能源、多场站的协调控制，满足新能源大基地对电网的友好支撑</w:t>
            </w:r>
            <w:r>
              <w:rPr>
                <w:rFonts w:hint="default" w:ascii="宋体" w:hAnsi="宋体" w:eastAsia="宋体" w:cs="宋体"/>
                <w:b w:val="0"/>
                <w:bCs w:val="0"/>
                <w:color w:val="000000"/>
                <w:sz w:val="24"/>
                <w:szCs w:val="24"/>
                <w:highlight w:val="none"/>
                <w:lang w:eastAsia="zh-CN"/>
                <w:woUserID w:val="1"/>
              </w:rPr>
              <w:t>；</w:t>
            </w:r>
            <w:r>
              <w:rPr>
                <w:rFonts w:hint="eastAsia" w:ascii="宋体" w:hAnsi="宋体" w:eastAsia="宋体" w:cs="宋体"/>
                <w:b w:val="0"/>
                <w:bCs w:val="0"/>
                <w:color w:val="000000"/>
                <w:sz w:val="24"/>
                <w:szCs w:val="24"/>
                <w:highlight w:val="none"/>
                <w:lang w:eastAsia="zh-CN"/>
                <w:woUserID w:val="1"/>
              </w:rPr>
              <w:t>分布式调相机的保控系统、静止型调相机在大基地的应用提升大基地场站的短路比，提升整体送出能力</w:t>
            </w:r>
            <w:r>
              <w:rPr>
                <w:rFonts w:hint="default" w:ascii="宋体" w:hAnsi="宋体" w:eastAsia="宋体" w:cs="宋体"/>
                <w:b w:val="0"/>
                <w:bCs w:val="0"/>
                <w:color w:val="000000"/>
                <w:sz w:val="24"/>
                <w:szCs w:val="24"/>
                <w:highlight w:val="none"/>
                <w:lang w:eastAsia="zh-CN"/>
                <w:woUserID w:val="1"/>
              </w:rPr>
              <w:t>。公司参与的</w:t>
            </w:r>
            <w:r>
              <w:rPr>
                <w:rFonts w:hint="eastAsia" w:ascii="宋体" w:hAnsi="宋体" w:eastAsia="宋体" w:cs="宋体"/>
                <w:b w:val="0"/>
                <w:bCs w:val="0"/>
                <w:color w:val="000000"/>
                <w:sz w:val="24"/>
                <w:szCs w:val="24"/>
                <w:highlight w:val="none"/>
                <w:lang w:eastAsia="zh-CN"/>
                <w:woUserID w:val="1"/>
              </w:rPr>
              <w:t>三峡乌兰察布</w:t>
            </w:r>
            <w:r>
              <w:rPr>
                <w:rFonts w:hint="default" w:ascii="宋体" w:hAnsi="宋体" w:eastAsia="宋体" w:cs="宋体"/>
                <w:b w:val="0"/>
                <w:bCs w:val="0"/>
                <w:color w:val="000000"/>
                <w:sz w:val="24"/>
                <w:szCs w:val="24"/>
                <w:highlight w:val="none"/>
                <w:lang w:eastAsia="zh-CN"/>
                <w:woUserID w:val="1"/>
              </w:rPr>
              <w:t>新一代电网友好绿色电站</w:t>
            </w:r>
            <w:r>
              <w:rPr>
                <w:rFonts w:hint="eastAsia" w:ascii="宋体" w:hAnsi="宋体" w:eastAsia="宋体" w:cs="宋体"/>
                <w:b w:val="0"/>
                <w:bCs w:val="0"/>
                <w:color w:val="000000"/>
                <w:sz w:val="24"/>
                <w:szCs w:val="24"/>
                <w:highlight w:val="none"/>
                <w:lang w:eastAsia="zh-CN"/>
                <w:woUserID w:val="1"/>
              </w:rPr>
              <w:t>项目</w:t>
            </w:r>
            <w:r>
              <w:rPr>
                <w:rFonts w:hint="default" w:ascii="宋体" w:hAnsi="宋体" w:eastAsia="宋体" w:cs="宋体"/>
                <w:b w:val="0"/>
                <w:bCs w:val="0"/>
                <w:color w:val="000000"/>
                <w:sz w:val="24"/>
                <w:szCs w:val="24"/>
                <w:highlight w:val="none"/>
                <w:lang w:eastAsia="zh-CN"/>
                <w:woUserID w:val="1"/>
              </w:rPr>
              <w:t>，</w:t>
            </w:r>
            <w:r>
              <w:rPr>
                <w:rFonts w:hint="eastAsia" w:ascii="宋体" w:hAnsi="宋体" w:eastAsia="宋体" w:cs="宋体"/>
                <w:b w:val="0"/>
                <w:bCs w:val="0"/>
                <w:color w:val="000000"/>
                <w:sz w:val="24"/>
                <w:szCs w:val="24"/>
                <w:highlight w:val="none"/>
                <w:lang w:eastAsia="zh-CN"/>
                <w:woUserID w:val="1"/>
              </w:rPr>
              <w:t>风光储智慧联合调控中心实现了单个场站风光储协调控制及多场站的联合控制</w:t>
            </w:r>
            <w:r>
              <w:rPr>
                <w:rFonts w:hint="default" w:ascii="宋体" w:hAnsi="宋体" w:eastAsia="宋体" w:cs="宋体"/>
                <w:b w:val="0"/>
                <w:bCs w:val="0"/>
                <w:color w:val="000000"/>
                <w:sz w:val="24"/>
                <w:szCs w:val="24"/>
                <w:highlight w:val="none"/>
                <w:lang w:eastAsia="zh-CN"/>
                <w:woUserID w:val="1"/>
              </w:rPr>
              <w:t>。</w:t>
            </w:r>
            <w:r>
              <w:rPr>
                <w:rFonts w:hint="eastAsia" w:ascii="宋体" w:hAnsi="宋体" w:eastAsia="宋体" w:cs="宋体"/>
                <w:b w:val="0"/>
                <w:bCs w:val="0"/>
                <w:color w:val="000000"/>
                <w:sz w:val="24"/>
                <w:szCs w:val="24"/>
                <w:highlight w:val="none"/>
                <w:lang w:eastAsia="zh-CN"/>
                <w:woUserID w:val="1"/>
              </w:rPr>
              <w:t>调相机保护系统在冀北、蒙东、辽宁等多地区的新能源场站</w:t>
            </w:r>
            <w:r>
              <w:rPr>
                <w:rFonts w:hint="default" w:ascii="宋体" w:hAnsi="宋体" w:eastAsia="宋体" w:cs="宋体"/>
                <w:b w:val="0"/>
                <w:bCs w:val="0"/>
                <w:color w:val="000000"/>
                <w:sz w:val="24"/>
                <w:szCs w:val="24"/>
                <w:highlight w:val="none"/>
                <w:lang w:eastAsia="zh-CN"/>
                <w:woUserID w:val="1"/>
              </w:rPr>
              <w:t>实现</w:t>
            </w:r>
            <w:r>
              <w:rPr>
                <w:rFonts w:hint="eastAsia" w:ascii="宋体" w:hAnsi="宋体" w:eastAsia="宋体" w:cs="宋体"/>
                <w:b w:val="0"/>
                <w:bCs w:val="0"/>
                <w:color w:val="000000"/>
                <w:sz w:val="24"/>
                <w:szCs w:val="24"/>
                <w:highlight w:val="none"/>
                <w:lang w:eastAsia="zh-CN"/>
                <w:woUserID w:val="1"/>
              </w:rPr>
              <w:t>应用。</w:t>
            </w:r>
          </w:p>
          <w:p w14:paraId="09F62B10">
            <w:pPr>
              <w:keepNext w:val="0"/>
              <w:keepLines w:val="0"/>
              <w:suppressLineNumbers w:val="0"/>
              <w:spacing w:before="0" w:beforeAutospacing="0" w:after="0" w:afterAutospacing="0" w:line="360" w:lineRule="auto"/>
              <w:ind w:left="0" w:right="0"/>
              <w:rPr>
                <w:rFonts w:hint="eastAsia" w:ascii="宋体" w:hAnsi="宋体" w:eastAsia="宋体" w:cs="宋体"/>
                <w:b w:val="0"/>
                <w:bCs w:val="0"/>
                <w:sz w:val="24"/>
                <w:szCs w:val="24"/>
                <w:lang w:eastAsia="zh-CN"/>
              </w:rPr>
            </w:pPr>
            <w:r>
              <w:rPr>
                <w:rFonts w:hint="eastAsia" w:ascii="宋体" w:hAnsi="宋体" w:eastAsia="宋体" w:cs="宋体"/>
                <w:b/>
                <w:bCs/>
                <w:sz w:val="24"/>
                <w:szCs w:val="24"/>
              </w:rPr>
              <w:t>智能微电网</w:t>
            </w:r>
            <w:r>
              <w:rPr>
                <w:rFonts w:hint="default" w:ascii="宋体" w:hAnsi="宋体" w:eastAsia="宋体" w:cs="宋体"/>
                <w:b/>
                <w:bCs/>
                <w:sz w:val="24"/>
                <w:szCs w:val="24"/>
                <w:woUserID w:val="1"/>
              </w:rPr>
              <w:t>方面</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lang w:eastAsia="zh-CN"/>
              </w:rPr>
              <w:t>公司可以提供相关产品及全生命周期解决方案，</w:t>
            </w:r>
            <w:r>
              <w:rPr>
                <w:rFonts w:hint="default" w:ascii="Times New Roman" w:hAnsi="Times New Roman" w:eastAsia="宋体" w:cs="Times New Roman"/>
                <w:b w:val="0"/>
                <w:bCs w:val="0"/>
                <w:sz w:val="24"/>
                <w:szCs w:val="24"/>
                <w:lang w:eastAsia="zh-CN"/>
              </w:rPr>
              <w:t>（1）微电网控制系统：包括微电网监控系统（SCADA）+</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lang w:eastAsia="zh-CN"/>
              </w:rPr>
              <w:t>远程监控系统、微电网控制器和微电网站的继电保护装置；（2）构网型储能变流器产品；（3）微电网系统中相关设备的集成，包括电池系统、光伏系统、柴油发电机和电气开关设备等。公司在智能微电网领域参与了：高密度分布式能源接入交直流混合微电网关键技术、可离网型风光氢燃料电池直流互联与稳定控制技术、支撑低碳冬奥的智能电网综合示范工程等多个国重科技项目和863项目</w:t>
            </w:r>
            <w:r>
              <w:rPr>
                <w:rFonts w:hint="eastAsia" w:ascii="宋体" w:hAnsi="宋体" w:eastAsia="宋体" w:cs="宋体"/>
                <w:b w:val="0"/>
                <w:bCs w:val="0"/>
                <w:sz w:val="24"/>
                <w:szCs w:val="24"/>
                <w:lang w:eastAsia="zh-CN"/>
              </w:rPr>
              <w:t>，具有丰富的项目经验。</w:t>
            </w:r>
          </w:p>
          <w:p w14:paraId="3A09053B">
            <w:pPr>
              <w:keepNext w:val="0"/>
              <w:keepLines w:val="0"/>
              <w:suppressLineNumbers w:val="0"/>
              <w:spacing w:before="0" w:beforeAutospacing="0" w:after="0" w:afterAutospacing="0" w:line="360" w:lineRule="auto"/>
              <w:ind w:left="0" w:right="0"/>
              <w:rPr>
                <w:rFonts w:hint="default" w:ascii="宋体" w:hAnsi="宋体" w:eastAsia="宋体" w:cs="宋体"/>
                <w:b w:val="0"/>
                <w:bCs w:val="0"/>
                <w:sz w:val="24"/>
                <w:szCs w:val="24"/>
                <w:lang w:val="en-US" w:eastAsia="zh-CN"/>
              </w:rPr>
            </w:pPr>
            <w:r>
              <w:rPr>
                <w:rFonts w:hint="eastAsia" w:ascii="宋体" w:hAnsi="宋体" w:eastAsia="宋体" w:cs="宋体"/>
                <w:b/>
                <w:bCs/>
                <w:sz w:val="24"/>
                <w:szCs w:val="24"/>
              </w:rPr>
              <w:t>算力与电力协同</w:t>
            </w:r>
            <w:r>
              <w:rPr>
                <w:rFonts w:hint="default" w:ascii="宋体" w:hAnsi="宋体" w:eastAsia="宋体" w:cs="宋体"/>
                <w:b/>
                <w:bCs/>
                <w:sz w:val="24"/>
                <w:szCs w:val="24"/>
                <w:woUserID w:val="1"/>
              </w:rPr>
              <w:t>方面</w:t>
            </w:r>
            <w:r>
              <w:rPr>
                <w:rFonts w:hint="eastAsia" w:ascii="宋体" w:hAnsi="宋体" w:eastAsia="宋体" w:cs="宋体"/>
                <w:b/>
                <w:bCs/>
                <w:sz w:val="24"/>
                <w:szCs w:val="24"/>
                <w:lang w:eastAsia="zh-CN"/>
              </w:rPr>
              <w:t>：</w:t>
            </w:r>
            <w:r>
              <w:rPr>
                <w:rFonts w:hint="default" w:ascii="宋体" w:hAnsi="宋体" w:eastAsia="宋体" w:cs="宋体"/>
                <w:b w:val="0"/>
                <w:bCs w:val="0"/>
                <w:sz w:val="24"/>
                <w:szCs w:val="24"/>
                <w:lang w:eastAsia="zh-CN"/>
                <w:woUserID w:val="1"/>
              </w:rPr>
              <w:t>为</w:t>
            </w:r>
            <w:r>
              <w:rPr>
                <w:rFonts w:hint="eastAsia" w:ascii="宋体" w:hAnsi="宋体" w:eastAsia="宋体" w:cs="宋体"/>
                <w:b w:val="0"/>
                <w:bCs w:val="0"/>
                <w:sz w:val="24"/>
                <w:szCs w:val="24"/>
                <w:lang w:eastAsia="zh-CN"/>
                <w:woUserID w:val="1"/>
              </w:rPr>
              <w:t>有效推动算力中心绿色低碳发展，充分发挥电力与算力两大领域的综合协同优势</w:t>
            </w:r>
            <w:r>
              <w:rPr>
                <w:rFonts w:hint="default" w:ascii="宋体" w:hAnsi="宋体" w:eastAsia="宋体" w:cs="宋体"/>
                <w:b w:val="0"/>
                <w:bCs w:val="0"/>
                <w:sz w:val="24"/>
                <w:szCs w:val="24"/>
                <w:lang w:eastAsia="zh-CN"/>
                <w:woUserID w:val="1"/>
              </w:rPr>
              <w:t>，</w:t>
            </w:r>
            <w:r>
              <w:rPr>
                <w:rFonts w:hint="eastAsia" w:ascii="宋体" w:hAnsi="宋体" w:eastAsia="宋体" w:cs="宋体"/>
                <w:b w:val="0"/>
                <w:bCs w:val="0"/>
                <w:sz w:val="24"/>
                <w:szCs w:val="24"/>
                <w:lang w:eastAsia="zh-CN"/>
              </w:rPr>
              <w:t>公司创新推出绿色算力整体解决方案，提供新能源发电至算力中心用电全链路的核心装备，构筑端到端低碳闭环。该方案采用智慧全景监控、动态精准控制、多级优化调度、智能交易辅助等关键技术，以AI赋能的绿色算力协调控制系统为核心引擎，通过“源-网-荷-储”多维资源动态协调，实现算力中心供电系统的优化控制，促进供需两端精准匹配，提高算力中心绿电利用率，</w:t>
            </w:r>
            <w:r>
              <w:rPr>
                <w:rFonts w:hint="default" w:ascii="宋体" w:hAnsi="宋体" w:eastAsia="宋体" w:cs="宋体"/>
                <w:b w:val="0"/>
                <w:bCs w:val="0"/>
                <w:sz w:val="24"/>
                <w:szCs w:val="24"/>
                <w:lang w:eastAsia="zh-CN"/>
                <w:woUserID w:val="1"/>
              </w:rPr>
              <w:t>满足</w:t>
            </w:r>
            <w:r>
              <w:rPr>
                <w:rFonts w:hint="eastAsia" w:ascii="宋体" w:hAnsi="宋体" w:eastAsia="宋体" w:cs="宋体"/>
                <w:b w:val="0"/>
                <w:bCs w:val="0"/>
                <w:sz w:val="24"/>
                <w:szCs w:val="24"/>
                <w:lang w:eastAsia="zh-CN"/>
              </w:rPr>
              <w:t>算力中心绿色化、智能化的核心需求</w:t>
            </w:r>
            <w:r>
              <w:rPr>
                <w:rFonts w:hint="default" w:ascii="宋体" w:hAnsi="宋体" w:eastAsia="宋体" w:cs="宋体"/>
                <w:b w:val="0"/>
                <w:bCs w:val="0"/>
                <w:sz w:val="24"/>
                <w:szCs w:val="24"/>
                <w:lang w:eastAsia="zh-CN"/>
                <w:woUserID w:val="1"/>
              </w:rPr>
              <w:t>。公司积极推进</w:t>
            </w:r>
            <w:r>
              <w:rPr>
                <w:rFonts w:hint="eastAsia" w:ascii="宋体" w:hAnsi="宋体" w:eastAsia="宋体" w:cs="宋体"/>
                <w:b w:val="0"/>
                <w:bCs w:val="0"/>
                <w:sz w:val="24"/>
                <w:szCs w:val="24"/>
                <w:lang w:eastAsia="zh-CN"/>
              </w:rPr>
              <w:t>该</w:t>
            </w:r>
            <w:r>
              <w:rPr>
                <w:rFonts w:hint="default" w:ascii="宋体" w:hAnsi="宋体" w:eastAsia="宋体" w:cs="宋体"/>
                <w:b w:val="0"/>
                <w:bCs w:val="0"/>
                <w:sz w:val="24"/>
                <w:szCs w:val="24"/>
                <w:lang w:eastAsia="zh-CN"/>
                <w:woUserID w:val="1"/>
              </w:rPr>
              <w:t>解决</w:t>
            </w:r>
            <w:r>
              <w:rPr>
                <w:rFonts w:hint="eastAsia" w:ascii="宋体" w:hAnsi="宋体" w:eastAsia="宋体" w:cs="宋体"/>
                <w:b w:val="0"/>
                <w:bCs w:val="0"/>
                <w:sz w:val="24"/>
                <w:szCs w:val="24"/>
                <w:lang w:eastAsia="zh-CN"/>
              </w:rPr>
              <w:t>方案的</w:t>
            </w:r>
            <w:r>
              <w:rPr>
                <w:rFonts w:hint="default" w:ascii="宋体" w:hAnsi="宋体" w:eastAsia="宋体" w:cs="宋体"/>
                <w:b w:val="0"/>
                <w:bCs w:val="0"/>
                <w:sz w:val="24"/>
                <w:szCs w:val="24"/>
                <w:lang w:eastAsia="zh-CN"/>
                <w:woUserID w:val="1"/>
              </w:rPr>
              <w:t>推广应用</w:t>
            </w:r>
            <w:r>
              <w:rPr>
                <w:rFonts w:hint="eastAsia" w:ascii="宋体" w:hAnsi="宋体" w:eastAsia="宋体" w:cs="宋体"/>
                <w:b w:val="0"/>
                <w:bCs w:val="0"/>
                <w:sz w:val="24"/>
                <w:szCs w:val="24"/>
                <w:lang w:eastAsia="zh-CN"/>
              </w:rPr>
              <w:t>。</w:t>
            </w:r>
          </w:p>
          <w:p w14:paraId="1887FCF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000000"/>
                <w:sz w:val="24"/>
                <w:szCs w:val="24"/>
                <w:lang w:val="en-US" w:eastAsia="zh-CN"/>
                <w:woUserID w:val="1"/>
              </w:rPr>
            </w:pPr>
            <w:r>
              <w:rPr>
                <w:rFonts w:hint="eastAsia" w:ascii="宋体" w:hAnsi="宋体" w:eastAsia="宋体" w:cs="宋体"/>
                <w:b/>
                <w:bCs/>
                <w:sz w:val="24"/>
                <w:szCs w:val="24"/>
              </w:rPr>
              <w:t>虚拟电厂</w:t>
            </w:r>
            <w:r>
              <w:rPr>
                <w:rFonts w:hint="default" w:ascii="宋体" w:hAnsi="宋体" w:eastAsia="宋体" w:cs="宋体"/>
                <w:b/>
                <w:bCs/>
                <w:sz w:val="24"/>
                <w:szCs w:val="24"/>
                <w:woUserID w:val="1"/>
              </w:rPr>
              <w:t>方面</w:t>
            </w:r>
            <w:r>
              <w:rPr>
                <w:rFonts w:hint="eastAsia" w:ascii="宋体" w:hAnsi="宋体" w:eastAsia="宋体" w:cs="宋体"/>
                <w:b/>
                <w:bCs/>
                <w:sz w:val="24"/>
                <w:szCs w:val="24"/>
                <w:lang w:eastAsia="zh-CN"/>
              </w:rPr>
              <w:t>：</w:t>
            </w:r>
            <w:r>
              <w:rPr>
                <w:rFonts w:hint="eastAsia" w:ascii="宋体" w:hAnsi="宋体" w:eastAsia="宋体" w:cs="宋体"/>
                <w:b w:val="0"/>
                <w:bCs w:val="0"/>
                <w:color w:val="000000"/>
                <w:sz w:val="24"/>
                <w:szCs w:val="24"/>
                <w:lang w:val="en-US" w:eastAsia="zh-CN"/>
              </w:rPr>
              <w:t>公司积极布局虚拟电厂领域，在多源数据聚合、云边协同调控、多元市场预测、交易辅助决策等技术方向进行深入研究。通过搭建跨平台数据中台，已实现电网实时运行数据、分布式能源发电预测、用户侧可调负荷信息及气象数据等多维信息的整合，具备对虚拟电厂内分布式能源、储能、可控负荷等资源的秒级状态感知能力。同时，研发的基于边缘计算的分层协同控制算法，经区域电网调频、峰谷套利等场景验证，可在保障电网稳定性的前提下，动态优化资源调度策略，显著提升响应速度和调节精度。</w:t>
            </w:r>
            <w:r>
              <w:rPr>
                <w:rFonts w:hint="default" w:ascii="宋体" w:hAnsi="宋体" w:eastAsia="宋体" w:cs="宋体"/>
                <w:b w:val="0"/>
                <w:bCs w:val="0"/>
                <w:color w:val="000000"/>
                <w:sz w:val="24"/>
                <w:szCs w:val="24"/>
                <w:lang w:eastAsia="zh-CN"/>
                <w:woUserID w:val="1"/>
              </w:rPr>
              <w:t>公司可以</w:t>
            </w:r>
            <w:r>
              <w:rPr>
                <w:rFonts w:hint="eastAsia" w:ascii="宋体" w:hAnsi="宋体" w:eastAsia="宋体" w:cs="宋体"/>
                <w:b w:val="0"/>
                <w:bCs w:val="0"/>
                <w:color w:val="000000"/>
                <w:sz w:val="24"/>
                <w:szCs w:val="24"/>
                <w:lang w:val="en-US" w:eastAsia="zh-CN"/>
                <w:woUserID w:val="1"/>
              </w:rPr>
              <w:t>提供从数据整合、资源调控到市场交易的全流程技术支持，</w:t>
            </w:r>
            <w:r>
              <w:rPr>
                <w:rFonts w:hint="eastAsia" w:ascii="宋体" w:hAnsi="宋体" w:eastAsia="宋体" w:cs="宋体"/>
                <w:b w:val="0"/>
                <w:bCs w:val="0"/>
                <w:color w:val="000000"/>
                <w:sz w:val="24"/>
                <w:szCs w:val="24"/>
                <w:lang w:val="en-US" w:eastAsia="zh-CN"/>
              </w:rPr>
              <w:t>已</w:t>
            </w:r>
            <w:r>
              <w:rPr>
                <w:rFonts w:hint="eastAsia" w:ascii="宋体" w:hAnsi="宋体" w:eastAsia="宋体" w:cs="宋体"/>
                <w:b w:val="0"/>
                <w:bCs w:val="0"/>
                <w:color w:val="000000"/>
                <w:sz w:val="24"/>
                <w:szCs w:val="24"/>
                <w:lang w:val="en-US" w:eastAsia="zh-CN"/>
                <w:woUserID w:val="1"/>
              </w:rPr>
              <w:t>形成完善的技术储备体系</w:t>
            </w:r>
            <w:r>
              <w:rPr>
                <w:rFonts w:hint="default" w:ascii="宋体" w:hAnsi="宋体" w:eastAsia="宋体" w:cs="宋体"/>
                <w:b w:val="0"/>
                <w:bCs w:val="0"/>
                <w:color w:val="000000"/>
                <w:sz w:val="24"/>
                <w:szCs w:val="24"/>
                <w:lang w:eastAsia="zh-CN"/>
                <w:woUserID w:val="1"/>
              </w:rPr>
              <w:t>，并</w:t>
            </w:r>
            <w:r>
              <w:rPr>
                <w:rFonts w:hint="eastAsia" w:ascii="宋体" w:hAnsi="宋体" w:eastAsia="宋体" w:cs="宋体"/>
                <w:b w:val="0"/>
                <w:bCs w:val="0"/>
                <w:color w:val="000000"/>
                <w:sz w:val="24"/>
                <w:szCs w:val="24"/>
                <w:lang w:val="en-US" w:eastAsia="zh-CN"/>
                <w:woUserID w:val="1"/>
              </w:rPr>
              <w:t>凭借在分布式电源集控运维系统、微电网管理系统、大型企业及园区电力调控系统、源网荷储一体化等方面积累的丰富项目经验，进一步加强电力现货市场及虚拟电厂相关技术产品和项目的跟进力度。</w:t>
            </w:r>
          </w:p>
          <w:p w14:paraId="121A6EE1">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val="0"/>
                <w:bCs w:val="0"/>
                <w:sz w:val="24"/>
                <w:szCs w:val="24"/>
                <w:lang w:val="en-US" w:eastAsia="zh-CN"/>
              </w:rPr>
            </w:pPr>
          </w:p>
          <w:p w14:paraId="06314DEB">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000000"/>
                <w:sz w:val="24"/>
                <w:szCs w:val="24"/>
                <w:lang w:val="en-US" w:eastAsia="zh-CN"/>
                <w:woUserID w:val="2"/>
              </w:rPr>
            </w:pPr>
            <w:r>
              <w:rPr>
                <w:rFonts w:hint="default" w:ascii="Times New Roman" w:hAnsi="Times New Roman" w:eastAsia="宋体" w:cs="Times New Roman"/>
                <w:b/>
                <w:bCs/>
                <w:color w:val="000000"/>
                <w:sz w:val="24"/>
                <w:szCs w:val="24"/>
              </w:rPr>
              <w:t>Q</w:t>
            </w:r>
            <w:r>
              <w:rPr>
                <w:rFonts w:hint="default" w:ascii="Times New Roman" w:hAnsi="Times New Roman" w:eastAsia="宋体" w:cs="Times New Roman"/>
                <w:b/>
                <w:bCs/>
                <w:color w:val="000000"/>
                <w:sz w:val="24"/>
                <w:szCs w:val="24"/>
                <w:woUserID w:val="1"/>
              </w:rPr>
              <w:t>4</w:t>
            </w:r>
            <w:r>
              <w:rPr>
                <w:rFonts w:hint="default" w:ascii="Times New Roman" w:hAnsi="Times New Roman" w:eastAsia="宋体" w:cs="Times New Roman"/>
                <w:b/>
                <w:bCs/>
                <w:color w:val="000000"/>
                <w:sz w:val="24"/>
                <w:szCs w:val="24"/>
              </w:rPr>
              <w:t xml:space="preserve">: </w:t>
            </w:r>
            <w:r>
              <w:rPr>
                <w:rFonts w:hint="eastAsia" w:ascii="Times New Roman" w:hAnsi="Times New Roman" w:eastAsia="宋体" w:cs="Times New Roman"/>
                <w:b/>
                <w:bCs/>
                <w:color w:val="000000"/>
                <w:sz w:val="24"/>
                <w:szCs w:val="24"/>
                <w:lang w:val="en-US" w:eastAsia="zh-CN"/>
                <w:woUserID w:val="2"/>
              </w:rPr>
              <w:t>国家发改委近日出台《关于有序推动绿电直连发展有关事项的通知》，推动绿电直连高耗能产业，公司在该领域有</w:t>
            </w:r>
            <w:r>
              <w:rPr>
                <w:rFonts w:hint="default" w:ascii="Times New Roman" w:hAnsi="Times New Roman" w:eastAsia="宋体" w:cs="Times New Roman"/>
                <w:b/>
                <w:bCs/>
                <w:color w:val="000000"/>
                <w:sz w:val="24"/>
                <w:szCs w:val="24"/>
                <w:lang w:eastAsia="zh-CN"/>
                <w:woUserID w:val="1"/>
              </w:rPr>
              <w:t>什么布局</w:t>
            </w:r>
            <w:r>
              <w:rPr>
                <w:rFonts w:hint="eastAsia" w:ascii="Times New Roman" w:hAnsi="Times New Roman" w:eastAsia="宋体" w:cs="Times New Roman"/>
                <w:b/>
                <w:bCs/>
                <w:color w:val="000000"/>
                <w:sz w:val="24"/>
                <w:szCs w:val="24"/>
                <w:lang w:val="en-US" w:eastAsia="zh-CN"/>
                <w:woUserID w:val="2"/>
              </w:rPr>
              <w:t>？</w:t>
            </w:r>
          </w:p>
          <w:p w14:paraId="489FE069">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bCs/>
                <w:color w:val="000000"/>
                <w:sz w:val="24"/>
                <w:szCs w:val="24"/>
                <w:lang w:val="en-US" w:eastAsia="zh-CN"/>
                <w:woUserID w:val="2"/>
              </w:rPr>
              <w:t>A：</w:t>
            </w:r>
            <w:r>
              <w:rPr>
                <w:rFonts w:hint="default" w:ascii="Times New Roman" w:hAnsi="Times New Roman" w:eastAsia="宋体" w:cs="Times New Roman"/>
                <w:b w:val="0"/>
                <w:bCs w:val="0"/>
                <w:color w:val="000000"/>
                <w:sz w:val="24"/>
                <w:szCs w:val="24"/>
                <w:lang w:eastAsia="zh-CN"/>
                <w:woUserID w:val="1"/>
              </w:rPr>
              <w:t>该政策</w:t>
            </w:r>
            <w:r>
              <w:rPr>
                <w:rFonts w:hint="eastAsia" w:ascii="Times New Roman" w:hAnsi="Times New Roman" w:eastAsia="宋体" w:cs="Times New Roman"/>
                <w:b w:val="0"/>
                <w:bCs w:val="0"/>
                <w:color w:val="000000"/>
                <w:sz w:val="24"/>
                <w:szCs w:val="24"/>
                <w:lang w:val="en-US" w:eastAsia="zh-CN"/>
                <w:woUserID w:val="1"/>
              </w:rPr>
              <w:t>是推动绿色电力与高耗能产业直接对接的重要指引，对促进能源结构转型和工业低碳发展具有重要意义。公司在绿电直连高耗能产业领域</w:t>
            </w:r>
            <w:r>
              <w:rPr>
                <w:rFonts w:hint="default" w:ascii="Times New Roman" w:hAnsi="Times New Roman" w:eastAsia="宋体" w:cs="Times New Roman"/>
                <w:b w:val="0"/>
                <w:bCs w:val="0"/>
                <w:color w:val="000000"/>
                <w:sz w:val="24"/>
                <w:szCs w:val="24"/>
                <w:lang w:eastAsia="zh-CN"/>
                <w:woUserID w:val="1"/>
              </w:rPr>
              <w:t>积极</w:t>
            </w:r>
            <w:r>
              <w:rPr>
                <w:rFonts w:hint="eastAsia" w:ascii="Times New Roman" w:hAnsi="Times New Roman" w:eastAsia="宋体" w:cs="Times New Roman"/>
                <w:b w:val="0"/>
                <w:bCs w:val="0"/>
                <w:color w:val="000000"/>
                <w:sz w:val="24"/>
                <w:szCs w:val="24"/>
                <w:lang w:val="en-US" w:eastAsia="zh-CN"/>
                <w:woUserID w:val="1"/>
              </w:rPr>
              <w:t>布局</w:t>
            </w:r>
            <w:r>
              <w:rPr>
                <w:rFonts w:hint="default" w:ascii="Times New Roman" w:hAnsi="Times New Roman" w:eastAsia="宋体" w:cs="Times New Roman"/>
                <w:b w:val="0"/>
                <w:bCs w:val="0"/>
                <w:color w:val="000000"/>
                <w:sz w:val="24"/>
                <w:szCs w:val="24"/>
                <w:lang w:eastAsia="zh-CN"/>
                <w:woUserID w:val="1"/>
              </w:rPr>
              <w:t>，重点聚焦绿色工业细分市场的开拓与创新，前期针对智算中心需求已经推出绿色算力解决方案，近期针对合金工业率先推出</w:t>
            </w:r>
            <w:r>
              <w:rPr>
                <w:rFonts w:hint="eastAsia" w:ascii="Times New Roman" w:hAnsi="Times New Roman" w:eastAsia="宋体" w:cs="Times New Roman"/>
                <w:b w:val="0"/>
                <w:bCs w:val="0"/>
                <w:color w:val="000000"/>
                <w:sz w:val="24"/>
                <w:szCs w:val="24"/>
                <w:lang w:val="en-US" w:eastAsia="zh-CN"/>
                <w:woUserID w:val="1"/>
              </w:rPr>
              <w:t>绿电合金解决方案。</w:t>
            </w:r>
            <w:r>
              <w:rPr>
                <w:rFonts w:hint="default" w:ascii="Times New Roman" w:hAnsi="Times New Roman" w:eastAsia="宋体" w:cs="Times New Roman"/>
                <w:b w:val="0"/>
                <w:bCs w:val="0"/>
                <w:color w:val="000000"/>
                <w:sz w:val="24"/>
                <w:szCs w:val="24"/>
                <w:lang w:eastAsia="zh-CN"/>
                <w:woUserID w:val="1"/>
              </w:rPr>
              <w:t>基于</w:t>
            </w:r>
            <w:r>
              <w:rPr>
                <w:rFonts w:hint="eastAsia" w:ascii="Times New Roman" w:hAnsi="Times New Roman" w:eastAsia="宋体" w:cs="Times New Roman"/>
                <w:b w:val="0"/>
                <w:bCs w:val="0"/>
                <w:color w:val="000000"/>
                <w:sz w:val="24"/>
                <w:szCs w:val="24"/>
                <w:lang w:val="en-US" w:eastAsia="zh-CN"/>
              </w:rPr>
              <w:t>传统合金生产依赖高碳能源，面临高排放与高成本压力的现状，</w:t>
            </w:r>
            <w:r>
              <w:rPr>
                <w:rFonts w:hint="eastAsia" w:ascii="Times New Roman" w:hAnsi="Times New Roman" w:eastAsia="宋体" w:cs="Times New Roman"/>
                <w:b w:val="0"/>
                <w:bCs w:val="0"/>
                <w:color w:val="000000"/>
                <w:sz w:val="24"/>
                <w:szCs w:val="24"/>
                <w:lang w:val="en-US" w:eastAsia="zh-CN"/>
                <w:woUserID w:val="1"/>
              </w:rPr>
              <w:t>绿电合金解决方案</w:t>
            </w:r>
            <w:r>
              <w:rPr>
                <w:rFonts w:hint="default" w:ascii="Times New Roman" w:hAnsi="Times New Roman" w:eastAsia="宋体" w:cs="Times New Roman"/>
                <w:b w:val="0"/>
                <w:bCs w:val="0"/>
                <w:color w:val="000000"/>
                <w:sz w:val="24"/>
                <w:szCs w:val="24"/>
                <w:lang w:eastAsia="zh-CN"/>
                <w:woUserID w:val="1"/>
              </w:rPr>
              <w:t>旨在</w:t>
            </w:r>
            <w:r>
              <w:rPr>
                <w:rFonts w:hint="eastAsia" w:ascii="Times New Roman" w:hAnsi="Times New Roman" w:eastAsia="宋体" w:cs="Times New Roman"/>
                <w:b w:val="0"/>
                <w:bCs w:val="0"/>
                <w:color w:val="000000"/>
                <w:sz w:val="24"/>
                <w:szCs w:val="24"/>
                <w:lang w:val="en-US" w:eastAsia="zh-CN"/>
                <w:woUserID w:val="1"/>
              </w:rPr>
              <w:t>通过清洁能源替代，降低生产环节碳排放，同时结合智能技术提升能效</w:t>
            </w:r>
            <w:r>
              <w:rPr>
                <w:rFonts w:hint="default" w:ascii="Times New Roman" w:hAnsi="Times New Roman" w:eastAsia="宋体" w:cs="Times New Roman"/>
                <w:b w:val="0"/>
                <w:bCs w:val="0"/>
                <w:color w:val="000000"/>
                <w:sz w:val="24"/>
                <w:szCs w:val="24"/>
                <w:lang w:eastAsia="zh-CN"/>
                <w:woUserID w:val="1"/>
              </w:rPr>
              <w:t>，</w:t>
            </w:r>
            <w:r>
              <w:rPr>
                <w:rFonts w:hint="eastAsia" w:ascii="Times New Roman" w:hAnsi="Times New Roman" w:eastAsia="宋体" w:cs="Times New Roman"/>
                <w:b w:val="0"/>
                <w:bCs w:val="0"/>
                <w:color w:val="000000"/>
                <w:sz w:val="24"/>
                <w:szCs w:val="24"/>
                <w:lang w:val="en-US" w:eastAsia="zh-CN"/>
                <w:woUserID w:val="1"/>
              </w:rPr>
              <w:t>为合金材料行业突破“高耗能-低附加值</w:t>
            </w:r>
            <w:r>
              <w:rPr>
                <w:rFonts w:hint="default" w:ascii="Times New Roman" w:hAnsi="Times New Roman" w:eastAsia="宋体" w:cs="Times New Roman"/>
                <w:b w:val="0"/>
                <w:bCs w:val="0"/>
                <w:color w:val="000000"/>
                <w:sz w:val="24"/>
                <w:szCs w:val="24"/>
                <w:lang w:eastAsia="zh-CN"/>
                <w:woUserID w:val="1"/>
              </w:rPr>
              <w:t>”</w:t>
            </w:r>
            <w:r>
              <w:rPr>
                <w:rFonts w:hint="eastAsia" w:ascii="Times New Roman" w:hAnsi="Times New Roman" w:eastAsia="宋体" w:cs="Times New Roman"/>
                <w:b w:val="0"/>
                <w:bCs w:val="0"/>
                <w:color w:val="000000"/>
                <w:sz w:val="24"/>
                <w:szCs w:val="24"/>
                <w:lang w:val="en-US" w:eastAsia="zh-CN"/>
                <w:woUserID w:val="1"/>
              </w:rPr>
              <w:t>发展困局提供数字化解决方案，推动合金制造向低碳化、精密化转型。</w:t>
            </w:r>
            <w:r>
              <w:rPr>
                <w:rFonts w:hint="default" w:ascii="Times New Roman" w:hAnsi="Times New Roman" w:eastAsia="宋体" w:cs="Times New Roman"/>
                <w:b w:val="0"/>
                <w:bCs w:val="0"/>
                <w:color w:val="000000"/>
                <w:sz w:val="24"/>
                <w:szCs w:val="24"/>
                <w:lang w:eastAsia="zh-CN"/>
                <w:woUserID w:val="1"/>
              </w:rPr>
              <w:t>该解决方案融合了绿色电力、智能电网、合金负荷及储能技术，实现多能协同管理。</w:t>
            </w:r>
            <w:r>
              <w:rPr>
                <w:rFonts w:hint="eastAsia" w:ascii="Times New Roman" w:hAnsi="Times New Roman" w:eastAsia="宋体" w:cs="Times New Roman"/>
                <w:b w:val="0"/>
                <w:bCs w:val="0"/>
                <w:color w:val="000000"/>
                <w:sz w:val="24"/>
                <w:szCs w:val="24"/>
                <w:lang w:val="en-US" w:eastAsia="zh-CN"/>
              </w:rPr>
              <w:t>以绿电驱动替代传统供能模式为核心，通过构建多能互补调度模型，精准适配电弧炉炼钢、金属热处理等典型工艺的动态用能需求，有效平抑合金熔炼设备启停导致的尖峰负荷波动。</w:t>
            </w:r>
          </w:p>
          <w:p w14:paraId="62E25D98">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val="0"/>
                <w:bCs w:val="0"/>
                <w:sz w:val="24"/>
                <w:szCs w:val="24"/>
                <w:lang w:val="en-US" w:eastAsia="zh-CN"/>
              </w:rPr>
            </w:pPr>
          </w:p>
          <w:p w14:paraId="44818EDD">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bCs/>
                <w:color w:val="000000"/>
                <w:sz w:val="24"/>
                <w:szCs w:val="24"/>
                <w:lang w:eastAsia="zh-CN"/>
                <w:woUserID w:val="1"/>
              </w:rPr>
            </w:pPr>
            <w:r>
              <w:rPr>
                <w:rFonts w:hint="default" w:ascii="Times New Roman" w:hAnsi="Times New Roman" w:eastAsia="宋体" w:cs="Times New Roman"/>
                <w:b/>
                <w:bCs/>
                <w:color w:val="000000"/>
                <w:sz w:val="24"/>
                <w:szCs w:val="24"/>
                <w:woUserID w:val="1"/>
              </w:rPr>
              <w:t xml:space="preserve">Q5: </w:t>
            </w:r>
            <w:r>
              <w:rPr>
                <w:rFonts w:hint="eastAsia" w:ascii="Times New Roman" w:hAnsi="Times New Roman" w:eastAsia="宋体" w:cs="Times New Roman"/>
                <w:b/>
                <w:bCs/>
                <w:color w:val="000000"/>
                <w:sz w:val="24"/>
                <w:szCs w:val="24"/>
                <w:lang w:val="en-US" w:eastAsia="zh-CN"/>
                <w:woUserID w:val="1"/>
              </w:rPr>
              <w:t>公司最近有两项科技成果通过鉴定，能简单介绍一下吗</w:t>
            </w:r>
            <w:r>
              <w:rPr>
                <w:rFonts w:hint="default" w:ascii="Times New Roman" w:hAnsi="Times New Roman" w:eastAsia="宋体" w:cs="Times New Roman"/>
                <w:b/>
                <w:bCs/>
                <w:color w:val="000000"/>
                <w:sz w:val="24"/>
                <w:szCs w:val="24"/>
                <w:woUserID w:val="1"/>
              </w:rPr>
              <w:t>？</w:t>
            </w:r>
          </w:p>
          <w:p w14:paraId="1BC196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color w:val="000000"/>
                <w:sz w:val="24"/>
                <w:szCs w:val="24"/>
                <w:woUserID w:val="1"/>
              </w:rPr>
              <w:t>A：</w:t>
            </w:r>
            <w:r>
              <w:rPr>
                <w:rFonts w:hint="default" w:ascii="Times New Roman" w:hAnsi="Times New Roman" w:eastAsia="宋体" w:cs="Times New Roman"/>
                <w:b w:val="0"/>
                <w:bCs w:val="0"/>
                <w:i w:val="0"/>
                <w:iCs w:val="0"/>
                <w:caps w:val="0"/>
                <w:color w:val="000000"/>
                <w:spacing w:val="0"/>
                <w:kern w:val="0"/>
                <w:sz w:val="24"/>
                <w:szCs w:val="24"/>
                <w:shd w:val="clear" w:fill="FFFFFF"/>
                <w:vertAlign w:val="baseline"/>
                <w:lang w:val="en-US" w:eastAsia="zh-CN" w:bidi="ar"/>
                <w:woUserID w:val="1"/>
              </w:rPr>
              <w:t>公司最近通过鉴定的两项科技成果分别是：</w:t>
            </w:r>
            <w:r>
              <w:rPr>
                <w:rFonts w:hint="eastAsia" w:ascii="Times New Roman" w:hAnsi="Times New Roman" w:eastAsia="宋体" w:cs="Times New Roman"/>
                <w:b/>
                <w:bCs/>
                <w:i w:val="0"/>
                <w:iCs w:val="0"/>
                <w:caps w:val="0"/>
                <w:color w:val="000000"/>
                <w:spacing w:val="0"/>
                <w:kern w:val="0"/>
                <w:sz w:val="24"/>
                <w:szCs w:val="24"/>
                <w:shd w:val="clear" w:fill="FFFFFF"/>
                <w:vertAlign w:val="baseline"/>
                <w:lang w:val="en-US" w:eastAsia="zh-CN" w:bidi="ar"/>
                <w:woUserID w:val="1"/>
              </w:rPr>
              <w:t>1.“</w:t>
            </w:r>
            <w:r>
              <w:rPr>
                <w:rFonts w:hint="default" w:ascii="Times New Roman" w:hAnsi="Times New Roman" w:eastAsia="宋体" w:cs="Times New Roman"/>
                <w:b/>
                <w:bCs/>
                <w:i w:val="0"/>
                <w:iCs w:val="0"/>
                <w:caps w:val="0"/>
                <w:color w:val="000000"/>
                <w:spacing w:val="0"/>
                <w:kern w:val="0"/>
                <w:sz w:val="24"/>
                <w:szCs w:val="24"/>
                <w:shd w:val="clear" w:fill="FFFFFF"/>
                <w:vertAlign w:val="baseline"/>
                <w:lang w:val="en-US" w:eastAsia="zh-CN" w:bidi="ar"/>
                <w:woUserID w:val="1"/>
              </w:rPr>
              <w:t>基于分层协同机制的电力系统宽频振荡智能监测溯源技术及应用</w:t>
            </w:r>
            <w:r>
              <w:rPr>
                <w:rFonts w:hint="eastAsia" w:ascii="Times New Roman" w:hAnsi="Times New Roman" w:eastAsia="宋体" w:cs="Times New Roman"/>
                <w:b/>
                <w:bCs/>
                <w:i w:val="0"/>
                <w:iCs w:val="0"/>
                <w:caps w:val="0"/>
                <w:color w:val="000000"/>
                <w:spacing w:val="0"/>
                <w:kern w:val="0"/>
                <w:sz w:val="24"/>
                <w:szCs w:val="24"/>
                <w:shd w:val="clear" w:fill="FFFFFF"/>
                <w:vertAlign w:val="baseline"/>
                <w:lang w:val="en-US" w:eastAsia="zh-CN" w:bidi="ar"/>
                <w:woUserID w:val="1"/>
              </w:rPr>
              <w:t>”</w:t>
            </w:r>
            <w:r>
              <w:rPr>
                <w:rFonts w:hint="eastAsia" w:ascii="Times New Roman" w:hAnsi="Times New Roman" w:eastAsia="宋体" w:cs="Times New Roman"/>
                <w:b w:val="0"/>
                <w:bCs w:val="0"/>
                <w:i w:val="0"/>
                <w:iCs w:val="0"/>
                <w:caps w:val="0"/>
                <w:color w:val="000000"/>
                <w:spacing w:val="0"/>
                <w:kern w:val="0"/>
                <w:sz w:val="24"/>
                <w:szCs w:val="24"/>
                <w:shd w:val="clear" w:fill="FFFFFF"/>
                <w:vertAlign w:val="baseline"/>
                <w:lang w:val="en-US" w:eastAsia="zh-CN" w:bidi="ar"/>
                <w:woUserID w:val="1"/>
              </w:rPr>
              <w:t>，</w:t>
            </w:r>
            <w:r>
              <w:rPr>
                <w:rFonts w:hint="default" w:ascii="Times New Roman" w:hAnsi="Times New Roman" w:eastAsia="宋体" w:cs="Times New Roman"/>
                <w:i w:val="0"/>
                <w:iCs w:val="0"/>
                <w:caps w:val="0"/>
                <w:color w:val="000000"/>
                <w:spacing w:val="0"/>
                <w:sz w:val="24"/>
                <w:szCs w:val="24"/>
                <w:shd w:val="clear" w:fill="FFFFFF"/>
                <w:woUserID w:val="1"/>
              </w:rPr>
              <w:t>聚焦新型电力系统下多模式振荡交织凸显等问题，研制了“采集高效-感知灵敏-诊断可信-分层协同”的宽频监测与分析系统，在宽频振荡监测架构、宽频振荡识别与风险预警、振荡溯源与智能诊断、宽频振荡协同分析等4个方面取得关键技术突破。该项技术已在多个电网调控中心、电厂及新能源场站成功应用，系统运行稳定可靠，显著提升了调度侧对广域电网振荡事件的监测分析能力和厂站侧对宽频振荡的实时监测和本地响应能力，为电网安全稳定运行提供了有力支撑。</w:t>
            </w:r>
            <w:r>
              <w:rPr>
                <w:rFonts w:hint="eastAsia" w:ascii="Times New Roman" w:hAnsi="Times New Roman" w:eastAsia="宋体" w:cs="Times New Roman"/>
                <w:b/>
                <w:bCs/>
                <w:i w:val="0"/>
                <w:iCs w:val="0"/>
                <w:caps w:val="0"/>
                <w:spacing w:val="0"/>
                <w:kern w:val="0"/>
                <w:sz w:val="24"/>
                <w:szCs w:val="24"/>
                <w:shd w:val="clear" w:fill="FFFFFF"/>
                <w:vertAlign w:val="baseline"/>
                <w:lang w:val="en-US" w:eastAsia="zh-CN" w:bidi="ar"/>
                <w:woUserID w:val="1"/>
              </w:rPr>
              <w:t>2.“新能源高渗透率下构网型SVG主动支撑和安全稳定运行关键技术及应用”</w:t>
            </w:r>
            <w:r>
              <w:rPr>
                <w:rFonts w:hint="default" w:ascii="Times New Roman" w:hAnsi="Times New Roman" w:eastAsia="宋体" w:cs="Times New Roman"/>
                <w:i w:val="0"/>
                <w:iCs w:val="0"/>
                <w:caps w:val="0"/>
                <w:color w:val="3E3E3E"/>
                <w:spacing w:val="0"/>
                <w:sz w:val="24"/>
                <w:szCs w:val="24"/>
                <w:shd w:val="clear" w:fill="FFFFFF"/>
                <w:woUserID w:val="1"/>
              </w:rPr>
              <w:t>，</w:t>
            </w:r>
            <w:r>
              <w:rPr>
                <w:rFonts w:hint="default" w:ascii="Times New Roman" w:hAnsi="Times New Roman" w:eastAsia="宋体" w:cs="Times New Roman"/>
                <w:i w:val="0"/>
                <w:iCs w:val="0"/>
                <w:caps w:val="0"/>
                <w:color w:val="000000"/>
                <w:spacing w:val="0"/>
                <w:sz w:val="24"/>
                <w:szCs w:val="24"/>
                <w:shd w:val="clear" w:fill="FFFFFF"/>
                <w:woUserID w:val="1"/>
              </w:rPr>
              <w:t>以双高电力系统存在低惯性、欠阻尼等安全稳定问题为导向，提出了参数动态调整、快速响应控制、附加阻尼振荡抑制和超级电容系统柔性重构等关键技术，实现了构网SVG在多场景下的主动支撑能力、对电网变化的快速响应能力和对宽频振荡的有效抑制能力，并提升了设备整体运行安全性与使用寿命。构网型SVG产品及相关技术成果已在多个省区电网实现工程应用，经济和社会效益显著。</w:t>
            </w:r>
            <w:r>
              <w:rPr>
                <w:rFonts w:hint="eastAsia" w:ascii="Times New Roman" w:hAnsi="Times New Roman" w:eastAsia="宋体" w:cs="Times New Roman"/>
                <w:b w:val="0"/>
                <w:bCs w:val="0"/>
                <w:i w:val="0"/>
                <w:iCs w:val="0"/>
                <w:caps w:val="0"/>
                <w:color w:val="000000"/>
                <w:spacing w:val="0"/>
                <w:sz w:val="24"/>
                <w:szCs w:val="24"/>
                <w:shd w:val="clear" w:fill="FFFFFF"/>
                <w:lang w:val="en-US" w:eastAsia="zh-CN"/>
                <w:woUserID w:val="1"/>
              </w:rPr>
              <w:t>经鉴定，上述两项成果</w:t>
            </w:r>
            <w:r>
              <w:rPr>
                <w:rFonts w:hint="default" w:ascii="Times New Roman" w:hAnsi="Times New Roman" w:eastAsia="宋体" w:cs="Times New Roman"/>
                <w:b w:val="0"/>
                <w:bCs w:val="0"/>
                <w:i w:val="0"/>
                <w:iCs w:val="0"/>
                <w:caps w:val="0"/>
                <w:color w:val="000000"/>
                <w:spacing w:val="0"/>
                <w:sz w:val="24"/>
                <w:szCs w:val="24"/>
                <w:shd w:val="clear" w:fill="FFFFFF"/>
                <w:woUserID w:val="1"/>
              </w:rPr>
              <w:t>均处于国际领先水平，经济和社会效益显著，推广应用前景广阔</w:t>
            </w:r>
            <w:r>
              <w:rPr>
                <w:rFonts w:hint="eastAsia" w:ascii="Times New Roman" w:hAnsi="Times New Roman" w:eastAsia="宋体" w:cs="Times New Roman"/>
                <w:b w:val="0"/>
                <w:bCs w:val="0"/>
                <w:i w:val="0"/>
                <w:iCs w:val="0"/>
                <w:caps w:val="0"/>
                <w:color w:val="000000"/>
                <w:spacing w:val="0"/>
                <w:sz w:val="24"/>
                <w:szCs w:val="24"/>
                <w:shd w:val="clear" w:fill="FFFFFF"/>
                <w:lang w:eastAsia="zh-CN"/>
                <w:woUserID w:val="1"/>
              </w:rPr>
              <w:t>。</w:t>
            </w:r>
          </w:p>
        </w:tc>
      </w:tr>
      <w:tr w14:paraId="4364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D607CAB">
            <w:pPr>
              <w:keepNext w:val="0"/>
              <w:keepLines w:val="0"/>
              <w:suppressLineNumbers w:val="0"/>
              <w:spacing w:before="156" w:beforeLines="50" w:beforeAutospacing="0" w:after="156" w:afterLines="50" w:afterAutospacing="0" w:line="300" w:lineRule="auto"/>
              <w:ind w:left="0" w:right="0"/>
              <w:jc w:val="center"/>
              <w:rPr>
                <w:rFonts w:hint="eastAsia" w:ascii="宋体" w:hAnsi="宋体" w:eastAsia="宋体"/>
                <w:b/>
                <w:sz w:val="24"/>
                <w:szCs w:val="24"/>
              </w:rPr>
            </w:pPr>
            <w:r>
              <w:rPr>
                <w:rFonts w:hint="eastAsia" w:ascii="宋体" w:hAnsi="宋体" w:eastAsia="宋体"/>
                <w:b/>
                <w:sz w:val="24"/>
                <w:szCs w:val="24"/>
              </w:rPr>
              <w:t>时间</w:t>
            </w:r>
          </w:p>
        </w:tc>
        <w:tc>
          <w:tcPr>
            <w:tcW w:w="6741" w:type="dxa"/>
            <w:vAlign w:val="center"/>
          </w:tcPr>
          <w:p w14:paraId="30F7B4C0">
            <w:pPr>
              <w:keepNext w:val="0"/>
              <w:keepLines w:val="0"/>
              <w:suppressLineNumbers w:val="0"/>
              <w:spacing w:before="156" w:beforeLines="50" w:beforeAutospacing="0" w:after="156" w:afterLines="50" w:afterAutospacing="0" w:line="300" w:lineRule="auto"/>
              <w:ind w:left="0" w:right="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2025年</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月1日——2025年</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30</w:t>
            </w:r>
            <w:r>
              <w:rPr>
                <w:rFonts w:hint="eastAsia" w:ascii="Times New Roman" w:hAnsi="Times New Roman" w:eastAsia="宋体" w:cs="Times New Roman"/>
                <w:sz w:val="24"/>
                <w:szCs w:val="24"/>
              </w:rPr>
              <w:t>日</w:t>
            </w:r>
          </w:p>
        </w:tc>
      </w:tr>
    </w:tbl>
    <w:p w14:paraId="4A3DA5F8">
      <w:pPr>
        <w:spacing w:before="156" w:beforeLines="50" w:after="156" w:afterLines="50" w:line="300" w:lineRule="auto"/>
        <w:ind w:firstLine="480" w:firstLineChars="200"/>
        <w:rPr>
          <w:rFonts w:ascii="宋体" w:hAnsi="宋体" w:eastAsia="宋体"/>
          <w:sz w:val="24"/>
          <w:szCs w:val="24"/>
        </w:rPr>
      </w:pPr>
      <w:r>
        <w:rPr>
          <w:rFonts w:hint="eastAsia" w:ascii="宋体" w:hAnsi="宋体" w:eastAsia="宋体"/>
          <w:sz w:val="24"/>
          <w:szCs w:val="24"/>
        </w:rPr>
        <w:t>特此发布。敬请广大投资者注意投资风险，理性投资。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B1"/>
    <w:rsid w:val="00003A3E"/>
    <w:rsid w:val="00030D8E"/>
    <w:rsid w:val="0004504C"/>
    <w:rsid w:val="00073B14"/>
    <w:rsid w:val="000754C7"/>
    <w:rsid w:val="0008270A"/>
    <w:rsid w:val="000858FF"/>
    <w:rsid w:val="00092E1F"/>
    <w:rsid w:val="00094DAA"/>
    <w:rsid w:val="000A0B27"/>
    <w:rsid w:val="000A7E02"/>
    <w:rsid w:val="000B49BB"/>
    <w:rsid w:val="000C344A"/>
    <w:rsid w:val="000C5723"/>
    <w:rsid w:val="000E2A90"/>
    <w:rsid w:val="000E4F30"/>
    <w:rsid w:val="000F0516"/>
    <w:rsid w:val="000F1971"/>
    <w:rsid w:val="000F340B"/>
    <w:rsid w:val="000F3F8A"/>
    <w:rsid w:val="00105239"/>
    <w:rsid w:val="0011479E"/>
    <w:rsid w:val="0012401E"/>
    <w:rsid w:val="00150C02"/>
    <w:rsid w:val="001572B1"/>
    <w:rsid w:val="00161711"/>
    <w:rsid w:val="00162F87"/>
    <w:rsid w:val="00164332"/>
    <w:rsid w:val="00167C02"/>
    <w:rsid w:val="00170230"/>
    <w:rsid w:val="0017261E"/>
    <w:rsid w:val="00173A8B"/>
    <w:rsid w:val="001801D3"/>
    <w:rsid w:val="00181B5D"/>
    <w:rsid w:val="001851F9"/>
    <w:rsid w:val="00186E49"/>
    <w:rsid w:val="00192255"/>
    <w:rsid w:val="001A5771"/>
    <w:rsid w:val="001A62F9"/>
    <w:rsid w:val="001B589D"/>
    <w:rsid w:val="001B74B0"/>
    <w:rsid w:val="001C0B6C"/>
    <w:rsid w:val="001D1079"/>
    <w:rsid w:val="001D33DA"/>
    <w:rsid w:val="001D657B"/>
    <w:rsid w:val="001E217C"/>
    <w:rsid w:val="001E28B7"/>
    <w:rsid w:val="001F2F71"/>
    <w:rsid w:val="001F688E"/>
    <w:rsid w:val="00206A69"/>
    <w:rsid w:val="00210ACF"/>
    <w:rsid w:val="00210C33"/>
    <w:rsid w:val="00213DA1"/>
    <w:rsid w:val="00215A01"/>
    <w:rsid w:val="0021641F"/>
    <w:rsid w:val="00224D32"/>
    <w:rsid w:val="00225136"/>
    <w:rsid w:val="0022732E"/>
    <w:rsid w:val="002435FD"/>
    <w:rsid w:val="00250C47"/>
    <w:rsid w:val="00252AB7"/>
    <w:rsid w:val="00252C29"/>
    <w:rsid w:val="00254569"/>
    <w:rsid w:val="00256A9A"/>
    <w:rsid w:val="00265DD5"/>
    <w:rsid w:val="00282FB7"/>
    <w:rsid w:val="00290432"/>
    <w:rsid w:val="002963A0"/>
    <w:rsid w:val="002A436A"/>
    <w:rsid w:val="002A4375"/>
    <w:rsid w:val="002B0CCD"/>
    <w:rsid w:val="002B1550"/>
    <w:rsid w:val="002C5CC5"/>
    <w:rsid w:val="002C640A"/>
    <w:rsid w:val="002C7341"/>
    <w:rsid w:val="002D1EB5"/>
    <w:rsid w:val="002D3DBE"/>
    <w:rsid w:val="002D4490"/>
    <w:rsid w:val="002D4A05"/>
    <w:rsid w:val="002D5590"/>
    <w:rsid w:val="002D59B7"/>
    <w:rsid w:val="002D6B52"/>
    <w:rsid w:val="002D7201"/>
    <w:rsid w:val="002D7F4C"/>
    <w:rsid w:val="002E4751"/>
    <w:rsid w:val="003042E3"/>
    <w:rsid w:val="00307CB5"/>
    <w:rsid w:val="003144EE"/>
    <w:rsid w:val="00325176"/>
    <w:rsid w:val="00330698"/>
    <w:rsid w:val="00345C04"/>
    <w:rsid w:val="003478EC"/>
    <w:rsid w:val="003713BC"/>
    <w:rsid w:val="00383462"/>
    <w:rsid w:val="003871A9"/>
    <w:rsid w:val="00390403"/>
    <w:rsid w:val="00391BC1"/>
    <w:rsid w:val="003A0823"/>
    <w:rsid w:val="003A72C4"/>
    <w:rsid w:val="003A7C03"/>
    <w:rsid w:val="003B000A"/>
    <w:rsid w:val="003B098F"/>
    <w:rsid w:val="003B4456"/>
    <w:rsid w:val="003C1992"/>
    <w:rsid w:val="003C2D49"/>
    <w:rsid w:val="003C574F"/>
    <w:rsid w:val="003D3603"/>
    <w:rsid w:val="003D5F3C"/>
    <w:rsid w:val="003D6C9F"/>
    <w:rsid w:val="003E38FC"/>
    <w:rsid w:val="003E429A"/>
    <w:rsid w:val="003E5358"/>
    <w:rsid w:val="003E5B0D"/>
    <w:rsid w:val="003E5E1D"/>
    <w:rsid w:val="003F1E1E"/>
    <w:rsid w:val="003F7890"/>
    <w:rsid w:val="004006A3"/>
    <w:rsid w:val="00401AD3"/>
    <w:rsid w:val="00405B05"/>
    <w:rsid w:val="00406A4A"/>
    <w:rsid w:val="00412C70"/>
    <w:rsid w:val="004131B0"/>
    <w:rsid w:val="00422846"/>
    <w:rsid w:val="00436F5E"/>
    <w:rsid w:val="00470637"/>
    <w:rsid w:val="004735AA"/>
    <w:rsid w:val="0047685D"/>
    <w:rsid w:val="00477CEB"/>
    <w:rsid w:val="00481C00"/>
    <w:rsid w:val="00483C85"/>
    <w:rsid w:val="004972B2"/>
    <w:rsid w:val="004A4F63"/>
    <w:rsid w:val="004A5BFC"/>
    <w:rsid w:val="004A65E7"/>
    <w:rsid w:val="004C62BA"/>
    <w:rsid w:val="004C7D68"/>
    <w:rsid w:val="004E15F7"/>
    <w:rsid w:val="004E651F"/>
    <w:rsid w:val="004F2587"/>
    <w:rsid w:val="00500099"/>
    <w:rsid w:val="005018B8"/>
    <w:rsid w:val="00502CFB"/>
    <w:rsid w:val="005052CE"/>
    <w:rsid w:val="00506DB8"/>
    <w:rsid w:val="0052119A"/>
    <w:rsid w:val="00521FE9"/>
    <w:rsid w:val="00522C10"/>
    <w:rsid w:val="0053049B"/>
    <w:rsid w:val="0053276D"/>
    <w:rsid w:val="0054311A"/>
    <w:rsid w:val="00543B93"/>
    <w:rsid w:val="00544832"/>
    <w:rsid w:val="00550318"/>
    <w:rsid w:val="00563C64"/>
    <w:rsid w:val="00581DC0"/>
    <w:rsid w:val="00590932"/>
    <w:rsid w:val="00592C63"/>
    <w:rsid w:val="00594077"/>
    <w:rsid w:val="00597302"/>
    <w:rsid w:val="005A6927"/>
    <w:rsid w:val="005B3EEB"/>
    <w:rsid w:val="005B4CA9"/>
    <w:rsid w:val="005B7046"/>
    <w:rsid w:val="005C2B90"/>
    <w:rsid w:val="005C395F"/>
    <w:rsid w:val="005D1AE6"/>
    <w:rsid w:val="005D31F5"/>
    <w:rsid w:val="005E4598"/>
    <w:rsid w:val="005F3FB8"/>
    <w:rsid w:val="00601767"/>
    <w:rsid w:val="00610261"/>
    <w:rsid w:val="00610D5C"/>
    <w:rsid w:val="00612F3A"/>
    <w:rsid w:val="0061510E"/>
    <w:rsid w:val="00632FB1"/>
    <w:rsid w:val="006432C2"/>
    <w:rsid w:val="0064762F"/>
    <w:rsid w:val="00670D81"/>
    <w:rsid w:val="0068077C"/>
    <w:rsid w:val="0068212A"/>
    <w:rsid w:val="00686819"/>
    <w:rsid w:val="006A1FE1"/>
    <w:rsid w:val="006B030B"/>
    <w:rsid w:val="006B5E5C"/>
    <w:rsid w:val="006C752F"/>
    <w:rsid w:val="006D3564"/>
    <w:rsid w:val="006D7F0B"/>
    <w:rsid w:val="006E0C67"/>
    <w:rsid w:val="006E2F47"/>
    <w:rsid w:val="006F580F"/>
    <w:rsid w:val="0070391F"/>
    <w:rsid w:val="007048DC"/>
    <w:rsid w:val="00705CDD"/>
    <w:rsid w:val="00705FA8"/>
    <w:rsid w:val="0070685E"/>
    <w:rsid w:val="00711674"/>
    <w:rsid w:val="00716495"/>
    <w:rsid w:val="00720BFF"/>
    <w:rsid w:val="00733DD3"/>
    <w:rsid w:val="00737585"/>
    <w:rsid w:val="00744BC8"/>
    <w:rsid w:val="007450D1"/>
    <w:rsid w:val="00746B4F"/>
    <w:rsid w:val="00747117"/>
    <w:rsid w:val="00750B86"/>
    <w:rsid w:val="007542BA"/>
    <w:rsid w:val="00761151"/>
    <w:rsid w:val="00764B40"/>
    <w:rsid w:val="007701C6"/>
    <w:rsid w:val="00773F4C"/>
    <w:rsid w:val="007826FB"/>
    <w:rsid w:val="00784025"/>
    <w:rsid w:val="0079322F"/>
    <w:rsid w:val="00793795"/>
    <w:rsid w:val="00794348"/>
    <w:rsid w:val="00795E2E"/>
    <w:rsid w:val="00797FE5"/>
    <w:rsid w:val="007C453F"/>
    <w:rsid w:val="007C75E2"/>
    <w:rsid w:val="007D03A4"/>
    <w:rsid w:val="007D2E29"/>
    <w:rsid w:val="007E6B57"/>
    <w:rsid w:val="007F139C"/>
    <w:rsid w:val="007F2B99"/>
    <w:rsid w:val="00801FD8"/>
    <w:rsid w:val="0080541B"/>
    <w:rsid w:val="00806F6F"/>
    <w:rsid w:val="00814FDA"/>
    <w:rsid w:val="0081609F"/>
    <w:rsid w:val="008160BF"/>
    <w:rsid w:val="00821CBC"/>
    <w:rsid w:val="008404D7"/>
    <w:rsid w:val="00856D88"/>
    <w:rsid w:val="00867E65"/>
    <w:rsid w:val="00873614"/>
    <w:rsid w:val="00881E8C"/>
    <w:rsid w:val="00882E60"/>
    <w:rsid w:val="00887A4B"/>
    <w:rsid w:val="00894A83"/>
    <w:rsid w:val="00895254"/>
    <w:rsid w:val="008972E2"/>
    <w:rsid w:val="008973B5"/>
    <w:rsid w:val="008A5000"/>
    <w:rsid w:val="008A5480"/>
    <w:rsid w:val="008A5E76"/>
    <w:rsid w:val="008C79DE"/>
    <w:rsid w:val="008D2AAC"/>
    <w:rsid w:val="008D51F7"/>
    <w:rsid w:val="008E2738"/>
    <w:rsid w:val="008E6DBD"/>
    <w:rsid w:val="008E7B0E"/>
    <w:rsid w:val="00904D7A"/>
    <w:rsid w:val="00906AE3"/>
    <w:rsid w:val="009074DD"/>
    <w:rsid w:val="00915448"/>
    <w:rsid w:val="00917D4C"/>
    <w:rsid w:val="00920338"/>
    <w:rsid w:val="00924791"/>
    <w:rsid w:val="00944FF3"/>
    <w:rsid w:val="00955DB9"/>
    <w:rsid w:val="00961284"/>
    <w:rsid w:val="00964965"/>
    <w:rsid w:val="0097014F"/>
    <w:rsid w:val="0099536A"/>
    <w:rsid w:val="00995851"/>
    <w:rsid w:val="00995BB8"/>
    <w:rsid w:val="009A3819"/>
    <w:rsid w:val="009A446D"/>
    <w:rsid w:val="009A5236"/>
    <w:rsid w:val="009A53B4"/>
    <w:rsid w:val="009A5FE0"/>
    <w:rsid w:val="009A602A"/>
    <w:rsid w:val="009A7F7F"/>
    <w:rsid w:val="009B0CA8"/>
    <w:rsid w:val="009B781F"/>
    <w:rsid w:val="009C2972"/>
    <w:rsid w:val="009C560E"/>
    <w:rsid w:val="009D2020"/>
    <w:rsid w:val="009D7E19"/>
    <w:rsid w:val="009E4899"/>
    <w:rsid w:val="009F4BF6"/>
    <w:rsid w:val="009F7638"/>
    <w:rsid w:val="00A00EFA"/>
    <w:rsid w:val="00A025C8"/>
    <w:rsid w:val="00A05FA4"/>
    <w:rsid w:val="00A06B97"/>
    <w:rsid w:val="00A13043"/>
    <w:rsid w:val="00A175BA"/>
    <w:rsid w:val="00A20863"/>
    <w:rsid w:val="00A209AA"/>
    <w:rsid w:val="00A20DE0"/>
    <w:rsid w:val="00A33BAF"/>
    <w:rsid w:val="00A36AE9"/>
    <w:rsid w:val="00A413BA"/>
    <w:rsid w:val="00A56163"/>
    <w:rsid w:val="00A62B5D"/>
    <w:rsid w:val="00A63871"/>
    <w:rsid w:val="00A82BBA"/>
    <w:rsid w:val="00A857FA"/>
    <w:rsid w:val="00A900F6"/>
    <w:rsid w:val="00A90A58"/>
    <w:rsid w:val="00AA0FC3"/>
    <w:rsid w:val="00AA30BB"/>
    <w:rsid w:val="00AA7F89"/>
    <w:rsid w:val="00AB0C39"/>
    <w:rsid w:val="00AB4DC0"/>
    <w:rsid w:val="00AC0C6F"/>
    <w:rsid w:val="00AC4159"/>
    <w:rsid w:val="00AC5E4E"/>
    <w:rsid w:val="00AC6111"/>
    <w:rsid w:val="00AE3E16"/>
    <w:rsid w:val="00AF23F6"/>
    <w:rsid w:val="00B015BA"/>
    <w:rsid w:val="00B12798"/>
    <w:rsid w:val="00B14E98"/>
    <w:rsid w:val="00B1604F"/>
    <w:rsid w:val="00B1690D"/>
    <w:rsid w:val="00B174DD"/>
    <w:rsid w:val="00B2544D"/>
    <w:rsid w:val="00B25643"/>
    <w:rsid w:val="00B30734"/>
    <w:rsid w:val="00B31F44"/>
    <w:rsid w:val="00B41ACE"/>
    <w:rsid w:val="00B42564"/>
    <w:rsid w:val="00B44777"/>
    <w:rsid w:val="00B53F66"/>
    <w:rsid w:val="00B54444"/>
    <w:rsid w:val="00B54987"/>
    <w:rsid w:val="00B55413"/>
    <w:rsid w:val="00B56BD3"/>
    <w:rsid w:val="00B5747E"/>
    <w:rsid w:val="00B6324E"/>
    <w:rsid w:val="00B654DF"/>
    <w:rsid w:val="00B66386"/>
    <w:rsid w:val="00B66914"/>
    <w:rsid w:val="00B73C50"/>
    <w:rsid w:val="00B73E4C"/>
    <w:rsid w:val="00B74417"/>
    <w:rsid w:val="00B77978"/>
    <w:rsid w:val="00B8007B"/>
    <w:rsid w:val="00B84357"/>
    <w:rsid w:val="00B874F7"/>
    <w:rsid w:val="00B877C3"/>
    <w:rsid w:val="00B91FC1"/>
    <w:rsid w:val="00B95549"/>
    <w:rsid w:val="00BA64AF"/>
    <w:rsid w:val="00BD14B9"/>
    <w:rsid w:val="00BD2F25"/>
    <w:rsid w:val="00BE0B8B"/>
    <w:rsid w:val="00BE2622"/>
    <w:rsid w:val="00BF1F86"/>
    <w:rsid w:val="00C0077D"/>
    <w:rsid w:val="00C10139"/>
    <w:rsid w:val="00C11289"/>
    <w:rsid w:val="00C173E0"/>
    <w:rsid w:val="00C24390"/>
    <w:rsid w:val="00C31E80"/>
    <w:rsid w:val="00C33817"/>
    <w:rsid w:val="00C43F1C"/>
    <w:rsid w:val="00C43F58"/>
    <w:rsid w:val="00C705B1"/>
    <w:rsid w:val="00C70601"/>
    <w:rsid w:val="00C71E18"/>
    <w:rsid w:val="00C80465"/>
    <w:rsid w:val="00C8246A"/>
    <w:rsid w:val="00C95A0C"/>
    <w:rsid w:val="00CB69F1"/>
    <w:rsid w:val="00CB7389"/>
    <w:rsid w:val="00CC0F3A"/>
    <w:rsid w:val="00CC3088"/>
    <w:rsid w:val="00CC616A"/>
    <w:rsid w:val="00CC685E"/>
    <w:rsid w:val="00CD575E"/>
    <w:rsid w:val="00CD5DFE"/>
    <w:rsid w:val="00CD661E"/>
    <w:rsid w:val="00CE04F0"/>
    <w:rsid w:val="00CE2C0F"/>
    <w:rsid w:val="00CE34AD"/>
    <w:rsid w:val="00CF329A"/>
    <w:rsid w:val="00CF3A3A"/>
    <w:rsid w:val="00CF592E"/>
    <w:rsid w:val="00D048C2"/>
    <w:rsid w:val="00D05553"/>
    <w:rsid w:val="00D06460"/>
    <w:rsid w:val="00D06F7B"/>
    <w:rsid w:val="00D272B7"/>
    <w:rsid w:val="00D308CD"/>
    <w:rsid w:val="00D30C73"/>
    <w:rsid w:val="00D355A8"/>
    <w:rsid w:val="00D36D68"/>
    <w:rsid w:val="00D3763A"/>
    <w:rsid w:val="00D547B4"/>
    <w:rsid w:val="00D621C3"/>
    <w:rsid w:val="00D66BCF"/>
    <w:rsid w:val="00D74CBC"/>
    <w:rsid w:val="00D860EE"/>
    <w:rsid w:val="00DA4B0B"/>
    <w:rsid w:val="00DA6CF7"/>
    <w:rsid w:val="00DB0950"/>
    <w:rsid w:val="00DB6148"/>
    <w:rsid w:val="00DD0A0D"/>
    <w:rsid w:val="00DD3067"/>
    <w:rsid w:val="00DE49F7"/>
    <w:rsid w:val="00DE542F"/>
    <w:rsid w:val="00DE68D8"/>
    <w:rsid w:val="00DE7DE3"/>
    <w:rsid w:val="00DF04AE"/>
    <w:rsid w:val="00DF103E"/>
    <w:rsid w:val="00DF1640"/>
    <w:rsid w:val="00DF2DD2"/>
    <w:rsid w:val="00DF6944"/>
    <w:rsid w:val="00E00783"/>
    <w:rsid w:val="00E40424"/>
    <w:rsid w:val="00E43D20"/>
    <w:rsid w:val="00E470ED"/>
    <w:rsid w:val="00E56C5F"/>
    <w:rsid w:val="00E57EB9"/>
    <w:rsid w:val="00E711B5"/>
    <w:rsid w:val="00E7768A"/>
    <w:rsid w:val="00E825B8"/>
    <w:rsid w:val="00E903DE"/>
    <w:rsid w:val="00E9543C"/>
    <w:rsid w:val="00EA2E90"/>
    <w:rsid w:val="00EA3116"/>
    <w:rsid w:val="00EA4342"/>
    <w:rsid w:val="00EA5031"/>
    <w:rsid w:val="00EA7879"/>
    <w:rsid w:val="00EB5318"/>
    <w:rsid w:val="00EB536B"/>
    <w:rsid w:val="00ED27D4"/>
    <w:rsid w:val="00ED3800"/>
    <w:rsid w:val="00EE2058"/>
    <w:rsid w:val="00EE693B"/>
    <w:rsid w:val="00EF0D3F"/>
    <w:rsid w:val="00EF10F1"/>
    <w:rsid w:val="00EF21FE"/>
    <w:rsid w:val="00EF6BA0"/>
    <w:rsid w:val="00EF7EFB"/>
    <w:rsid w:val="00F017A3"/>
    <w:rsid w:val="00F047CE"/>
    <w:rsid w:val="00F13E15"/>
    <w:rsid w:val="00F23C67"/>
    <w:rsid w:val="00F2576F"/>
    <w:rsid w:val="00F26B12"/>
    <w:rsid w:val="00F31FEA"/>
    <w:rsid w:val="00F476E8"/>
    <w:rsid w:val="00F5713C"/>
    <w:rsid w:val="00F60647"/>
    <w:rsid w:val="00F704BF"/>
    <w:rsid w:val="00F713B1"/>
    <w:rsid w:val="00F71CD6"/>
    <w:rsid w:val="00F750BE"/>
    <w:rsid w:val="00F75388"/>
    <w:rsid w:val="00F80521"/>
    <w:rsid w:val="00F84D35"/>
    <w:rsid w:val="00F8633B"/>
    <w:rsid w:val="00F9266B"/>
    <w:rsid w:val="00F94756"/>
    <w:rsid w:val="00FA0894"/>
    <w:rsid w:val="00FA090B"/>
    <w:rsid w:val="00FA152D"/>
    <w:rsid w:val="00FA600B"/>
    <w:rsid w:val="00FA6733"/>
    <w:rsid w:val="00FC4BE5"/>
    <w:rsid w:val="00FC7FF4"/>
    <w:rsid w:val="00FD746D"/>
    <w:rsid w:val="00FE37E0"/>
    <w:rsid w:val="00FE5EAF"/>
    <w:rsid w:val="00FE76C8"/>
    <w:rsid w:val="00FE7EEE"/>
    <w:rsid w:val="00FF651C"/>
    <w:rsid w:val="01E414FF"/>
    <w:rsid w:val="028B18FB"/>
    <w:rsid w:val="029E1CF3"/>
    <w:rsid w:val="02EE30B6"/>
    <w:rsid w:val="040A4E42"/>
    <w:rsid w:val="07283BBC"/>
    <w:rsid w:val="08DF3250"/>
    <w:rsid w:val="09B94F9F"/>
    <w:rsid w:val="0B952ADC"/>
    <w:rsid w:val="0BFBFAAA"/>
    <w:rsid w:val="0CC51EAD"/>
    <w:rsid w:val="0CDD71F7"/>
    <w:rsid w:val="0E9E6512"/>
    <w:rsid w:val="0EB6471F"/>
    <w:rsid w:val="0F7C4064"/>
    <w:rsid w:val="0FEB3B29"/>
    <w:rsid w:val="104135F9"/>
    <w:rsid w:val="116137C7"/>
    <w:rsid w:val="117E41D3"/>
    <w:rsid w:val="121216F1"/>
    <w:rsid w:val="130C25E4"/>
    <w:rsid w:val="14757D15"/>
    <w:rsid w:val="147D4A90"/>
    <w:rsid w:val="14A14FAE"/>
    <w:rsid w:val="15B80793"/>
    <w:rsid w:val="15D26F32"/>
    <w:rsid w:val="16D36F75"/>
    <w:rsid w:val="183E3E7C"/>
    <w:rsid w:val="1BB9498B"/>
    <w:rsid w:val="1DFB12EB"/>
    <w:rsid w:val="1E3BF0DA"/>
    <w:rsid w:val="1E420AD8"/>
    <w:rsid w:val="1E974C77"/>
    <w:rsid w:val="1F2C2D5F"/>
    <w:rsid w:val="1F8613E5"/>
    <w:rsid w:val="1FA92F69"/>
    <w:rsid w:val="20410B4E"/>
    <w:rsid w:val="223631D9"/>
    <w:rsid w:val="22F10EAE"/>
    <w:rsid w:val="23FA1B4B"/>
    <w:rsid w:val="242B611F"/>
    <w:rsid w:val="2A500BB0"/>
    <w:rsid w:val="2ABC4498"/>
    <w:rsid w:val="2B7F799F"/>
    <w:rsid w:val="2B9238D6"/>
    <w:rsid w:val="2BE850F4"/>
    <w:rsid w:val="2D261455"/>
    <w:rsid w:val="2D9318EA"/>
    <w:rsid w:val="2E292214"/>
    <w:rsid w:val="2EEE5640"/>
    <w:rsid w:val="2FAD43CD"/>
    <w:rsid w:val="30F5600E"/>
    <w:rsid w:val="3162469E"/>
    <w:rsid w:val="31D070A7"/>
    <w:rsid w:val="33353039"/>
    <w:rsid w:val="34867D43"/>
    <w:rsid w:val="34FD149E"/>
    <w:rsid w:val="35951B6D"/>
    <w:rsid w:val="359F22BA"/>
    <w:rsid w:val="35D72DDF"/>
    <w:rsid w:val="36164E43"/>
    <w:rsid w:val="3742355C"/>
    <w:rsid w:val="37E33064"/>
    <w:rsid w:val="3AAB3F75"/>
    <w:rsid w:val="3AE315CD"/>
    <w:rsid w:val="3C6F3118"/>
    <w:rsid w:val="3C8039B1"/>
    <w:rsid w:val="3D017677"/>
    <w:rsid w:val="3D9B33F2"/>
    <w:rsid w:val="3DE6F019"/>
    <w:rsid w:val="3E8F6C46"/>
    <w:rsid w:val="3EED0D19"/>
    <w:rsid w:val="3F7FA137"/>
    <w:rsid w:val="3FDF79FA"/>
    <w:rsid w:val="400E791C"/>
    <w:rsid w:val="402A2B77"/>
    <w:rsid w:val="40933B51"/>
    <w:rsid w:val="40BA6517"/>
    <w:rsid w:val="42605623"/>
    <w:rsid w:val="42693F02"/>
    <w:rsid w:val="42695622"/>
    <w:rsid w:val="42A71DE3"/>
    <w:rsid w:val="42D73111"/>
    <w:rsid w:val="42E268CE"/>
    <w:rsid w:val="435B43F6"/>
    <w:rsid w:val="4A1D3A8C"/>
    <w:rsid w:val="4AD12446"/>
    <w:rsid w:val="4ADD35DB"/>
    <w:rsid w:val="4BE45B54"/>
    <w:rsid w:val="4BED4C7B"/>
    <w:rsid w:val="4D2A29AE"/>
    <w:rsid w:val="4D5C0978"/>
    <w:rsid w:val="4DFF6959"/>
    <w:rsid w:val="4E08517B"/>
    <w:rsid w:val="4E4F2DA9"/>
    <w:rsid w:val="4FAFE429"/>
    <w:rsid w:val="4FE6773D"/>
    <w:rsid w:val="4FFBAF22"/>
    <w:rsid w:val="50112E5F"/>
    <w:rsid w:val="50391857"/>
    <w:rsid w:val="54372316"/>
    <w:rsid w:val="54DA301B"/>
    <w:rsid w:val="56986138"/>
    <w:rsid w:val="56FF174F"/>
    <w:rsid w:val="57883DC5"/>
    <w:rsid w:val="57A203EE"/>
    <w:rsid w:val="57F124D9"/>
    <w:rsid w:val="582D6ECD"/>
    <w:rsid w:val="58433BC3"/>
    <w:rsid w:val="5A3E7F6B"/>
    <w:rsid w:val="5BEE2A2D"/>
    <w:rsid w:val="5BFD4B61"/>
    <w:rsid w:val="5BFEEEB9"/>
    <w:rsid w:val="5C3B496D"/>
    <w:rsid w:val="5C9E03A3"/>
    <w:rsid w:val="5DA10786"/>
    <w:rsid w:val="5DBD47E8"/>
    <w:rsid w:val="5DC36436"/>
    <w:rsid w:val="5DD906CC"/>
    <w:rsid w:val="5E510478"/>
    <w:rsid w:val="5E766837"/>
    <w:rsid w:val="5EEA09A8"/>
    <w:rsid w:val="5FA267D3"/>
    <w:rsid w:val="5FB711F3"/>
    <w:rsid w:val="5FD34B2E"/>
    <w:rsid w:val="5FE8720C"/>
    <w:rsid w:val="604E1113"/>
    <w:rsid w:val="614B1509"/>
    <w:rsid w:val="61696FB2"/>
    <w:rsid w:val="62A72510"/>
    <w:rsid w:val="62F12D86"/>
    <w:rsid w:val="63DD3261"/>
    <w:rsid w:val="64075BDA"/>
    <w:rsid w:val="651F307E"/>
    <w:rsid w:val="65827169"/>
    <w:rsid w:val="65E240AB"/>
    <w:rsid w:val="66F703CC"/>
    <w:rsid w:val="68837508"/>
    <w:rsid w:val="68AD73E4"/>
    <w:rsid w:val="6A52203C"/>
    <w:rsid w:val="6AFF00F2"/>
    <w:rsid w:val="6B9D2F4E"/>
    <w:rsid w:val="6BA936A1"/>
    <w:rsid w:val="6CFEC4DC"/>
    <w:rsid w:val="6DBE68FE"/>
    <w:rsid w:val="6EC82F51"/>
    <w:rsid w:val="6EE7ADAF"/>
    <w:rsid w:val="6F0118FB"/>
    <w:rsid w:val="6F1F51D8"/>
    <w:rsid w:val="6F2F2072"/>
    <w:rsid w:val="6FB6DD6C"/>
    <w:rsid w:val="70E77AE2"/>
    <w:rsid w:val="71164BAB"/>
    <w:rsid w:val="719F5F35"/>
    <w:rsid w:val="71F7E6A0"/>
    <w:rsid w:val="72BF6E30"/>
    <w:rsid w:val="72F86CBC"/>
    <w:rsid w:val="73571C35"/>
    <w:rsid w:val="736F2F6C"/>
    <w:rsid w:val="738E51DF"/>
    <w:rsid w:val="73BFEAD0"/>
    <w:rsid w:val="73FB740F"/>
    <w:rsid w:val="741FC724"/>
    <w:rsid w:val="74546174"/>
    <w:rsid w:val="7479E77C"/>
    <w:rsid w:val="74FF42C9"/>
    <w:rsid w:val="757C7081"/>
    <w:rsid w:val="76420A34"/>
    <w:rsid w:val="77A4EA1F"/>
    <w:rsid w:val="77D238E5"/>
    <w:rsid w:val="77EE41A8"/>
    <w:rsid w:val="77FFA9B4"/>
    <w:rsid w:val="787F133D"/>
    <w:rsid w:val="79EE5AD5"/>
    <w:rsid w:val="7A2741E7"/>
    <w:rsid w:val="7A6390F1"/>
    <w:rsid w:val="7B8228A1"/>
    <w:rsid w:val="7BB3A749"/>
    <w:rsid w:val="7BDF910D"/>
    <w:rsid w:val="7C2A605D"/>
    <w:rsid w:val="7CE612DD"/>
    <w:rsid w:val="7E283678"/>
    <w:rsid w:val="7EE54B20"/>
    <w:rsid w:val="7F3DFEC3"/>
    <w:rsid w:val="7F7211B1"/>
    <w:rsid w:val="7F8C710A"/>
    <w:rsid w:val="7FDFEE12"/>
    <w:rsid w:val="7FF8DCFF"/>
    <w:rsid w:val="7FFB2D61"/>
    <w:rsid w:val="8F7F6C89"/>
    <w:rsid w:val="9D5B4DCC"/>
    <w:rsid w:val="9E5D5468"/>
    <w:rsid w:val="AECF8EB8"/>
    <w:rsid w:val="AFDB387C"/>
    <w:rsid w:val="BFFB478C"/>
    <w:rsid w:val="CFFA544B"/>
    <w:rsid w:val="D5CF1924"/>
    <w:rsid w:val="D7E1D983"/>
    <w:rsid w:val="DAB79E35"/>
    <w:rsid w:val="DBFF8918"/>
    <w:rsid w:val="DF5B7DBF"/>
    <w:rsid w:val="DFB7F630"/>
    <w:rsid w:val="DFF3FF19"/>
    <w:rsid w:val="F2FD01AC"/>
    <w:rsid w:val="F5CC22F8"/>
    <w:rsid w:val="F6A1191E"/>
    <w:rsid w:val="F6AFAA41"/>
    <w:rsid w:val="F7E09A21"/>
    <w:rsid w:val="F9FBA920"/>
    <w:rsid w:val="FAF78A88"/>
    <w:rsid w:val="FBAB11D8"/>
    <w:rsid w:val="FBB79D8F"/>
    <w:rsid w:val="FBFFB937"/>
    <w:rsid w:val="FDCBB794"/>
    <w:rsid w:val="FEB20FE4"/>
    <w:rsid w:val="FEFD5DE1"/>
    <w:rsid w:val="FF7D41BC"/>
    <w:rsid w:val="FFBD98DC"/>
    <w:rsid w:val="FFD719EE"/>
    <w:rsid w:val="FFDF03EA"/>
    <w:rsid w:val="FFF7A456"/>
    <w:rsid w:val="FFF93317"/>
    <w:rsid w:val="FFFEAC0E"/>
    <w:rsid w:val="FFFF2E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emailstyle15"/>
    <w:basedOn w:val="9"/>
    <w:qFormat/>
    <w:uiPriority w:val="0"/>
    <w:rPr>
      <w:rFonts w:hint="eastAsia" w:ascii="等线" w:hAnsi="等线" w:eastAsia="等线" w:cs="Times New Roman"/>
      <w:color w:val="auto"/>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3316</Words>
  <Characters>3376</Characters>
  <Lines>11</Lines>
  <Paragraphs>3</Paragraphs>
  <TotalTime>5</TotalTime>
  <ScaleCrop>false</ScaleCrop>
  <LinksUpToDate>false</LinksUpToDate>
  <CharactersWithSpaces>3429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2024-04-03T18:13:00Z</dcterms:created>
  <dc:creator>秦誉文</dc:creator>
  <cp:lastModifiedBy>Yu Fan</cp:lastModifiedBy>
  <dcterms:modified xsi:type="dcterms:W3CDTF">2025-06-27T05:41:04Z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eyJoZGlkIjoiOWNhZjVkOGM4MzRkZDQ2Y2IyZjIyODljYjcyOGJhYjciLCJ1c2VySWQiOiIyNTYzMDc2NDQifQ==</vt:lpwstr>
  </property>
  <property fmtid="{D5CDD505-2E9C-101B-9397-08002B2CF9AE}" pid="4" name="ICV">
    <vt:lpwstr>B52BA013761B46F4BB585B9FE29F8397_12</vt:lpwstr>
  </property>
</Properties>
</file>