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A8351D" w14:paraId="04BB9441" w14:textId="77777777">
        <w:trPr>
          <w:trHeight w:val="132"/>
        </w:trPr>
        <w:tc>
          <w:tcPr>
            <w:tcW w:w="4148" w:type="dxa"/>
          </w:tcPr>
          <w:p w14:paraId="75F58838" w14:textId="77777777" w:rsidR="00A8351D" w:rsidRDefault="00380974">
            <w:r>
              <w:rPr>
                <w:rFonts w:hint="eastAsia"/>
              </w:rPr>
              <w:t>证券代码：</w:t>
            </w:r>
            <w:r>
              <w:t>601607</w:t>
            </w:r>
          </w:p>
          <w:p w14:paraId="6777CCEB" w14:textId="77777777" w:rsidR="00A8351D" w:rsidRDefault="00A8351D"/>
        </w:tc>
        <w:tc>
          <w:tcPr>
            <w:tcW w:w="4148" w:type="dxa"/>
          </w:tcPr>
          <w:p w14:paraId="79FD47E2" w14:textId="77777777" w:rsidR="00A8351D" w:rsidRDefault="00380974">
            <w:pPr>
              <w:jc w:val="right"/>
            </w:pPr>
            <w:r>
              <w:rPr>
                <w:rFonts w:hint="eastAsia"/>
              </w:rPr>
              <w:t>证券简称：上海医药</w:t>
            </w:r>
          </w:p>
        </w:tc>
      </w:tr>
    </w:tbl>
    <w:p w14:paraId="2B332B80" w14:textId="77777777" w:rsidR="00A8351D" w:rsidRDefault="00380974">
      <w:pPr>
        <w:spacing w:line="440" w:lineRule="exact"/>
        <w:jc w:val="center"/>
        <w:rPr>
          <w:rStyle w:val="NormalCharacter"/>
          <w:rFonts w:ascii="宋体" w:hAnsi="宋体"/>
          <w:b/>
          <w:bCs/>
          <w:iCs/>
          <w:sz w:val="24"/>
        </w:rPr>
      </w:pPr>
      <w:r>
        <w:rPr>
          <w:rStyle w:val="NormalCharacter"/>
          <w:rFonts w:ascii="宋体" w:hAnsi="宋体"/>
          <w:b/>
          <w:bCs/>
          <w:iCs/>
          <w:sz w:val="24"/>
        </w:rPr>
        <w:t>上海医药</w:t>
      </w:r>
      <w:r>
        <w:rPr>
          <w:rStyle w:val="NormalCharacter"/>
          <w:rFonts w:ascii="宋体" w:hAnsi="宋体" w:hint="eastAsia"/>
          <w:b/>
          <w:bCs/>
          <w:iCs/>
          <w:sz w:val="24"/>
        </w:rPr>
        <w:t>集团</w:t>
      </w:r>
      <w:r>
        <w:rPr>
          <w:rStyle w:val="NormalCharacter"/>
          <w:rFonts w:ascii="宋体" w:hAnsi="宋体"/>
          <w:b/>
          <w:bCs/>
          <w:iCs/>
          <w:sz w:val="24"/>
        </w:rPr>
        <w:t>股份有限公司</w:t>
      </w:r>
    </w:p>
    <w:p w14:paraId="65189594" w14:textId="77777777" w:rsidR="00A8351D" w:rsidRDefault="00380974">
      <w:pPr>
        <w:spacing w:line="440" w:lineRule="exact"/>
        <w:jc w:val="center"/>
        <w:rPr>
          <w:rStyle w:val="NormalCharacter"/>
          <w:rFonts w:ascii="宋体" w:hAnsi="宋体"/>
          <w:b/>
          <w:bCs/>
          <w:iCs/>
          <w:sz w:val="24"/>
        </w:rPr>
      </w:pPr>
      <w:r>
        <w:rPr>
          <w:rStyle w:val="NormalCharacter"/>
          <w:rFonts w:ascii="宋体" w:hAnsi="宋体"/>
          <w:b/>
          <w:bCs/>
          <w:iCs/>
          <w:sz w:val="24"/>
        </w:rPr>
        <w:t>投资者关系活动记录表</w:t>
      </w:r>
    </w:p>
    <w:p w14:paraId="7B2F44ED" w14:textId="4C6701B7" w:rsidR="00A8351D" w:rsidRDefault="00380974">
      <w:pPr>
        <w:spacing w:line="440" w:lineRule="exact"/>
        <w:rPr>
          <w:rStyle w:val="NormalCharacter"/>
          <w:rFonts w:ascii="宋体" w:hAnsi="宋体"/>
          <w:bCs/>
          <w:iCs/>
          <w:sz w:val="24"/>
        </w:rPr>
      </w:pPr>
      <w:r>
        <w:rPr>
          <w:rStyle w:val="NormalCharacter"/>
          <w:rFonts w:ascii="宋体" w:hAnsi="宋体"/>
          <w:bCs/>
          <w:iCs/>
          <w:sz w:val="24"/>
        </w:rPr>
        <w:t xml:space="preserve">                                                      </w:t>
      </w:r>
      <w:r w:rsidR="00E8749A">
        <w:rPr>
          <w:rStyle w:val="NormalCharacter"/>
          <w:rFonts w:ascii="宋体" w:hAnsi="宋体"/>
          <w:bCs/>
          <w:iCs/>
          <w:sz w:val="24"/>
        </w:rPr>
        <w:t>编号：2025-002</w:t>
      </w:r>
    </w:p>
    <w:tbl>
      <w:tblPr>
        <w:tblW w:w="85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62"/>
        <w:gridCol w:w="7282"/>
      </w:tblGrid>
      <w:tr w:rsidR="00A8351D" w14:paraId="77FBAC0D" w14:textId="77777777">
        <w:trPr>
          <w:trHeight w:val="1881"/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42318" w14:textId="77777777" w:rsidR="00A8351D" w:rsidRDefault="00380974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>投资者关系活动类别</w:t>
            </w:r>
          </w:p>
          <w:p w14:paraId="0573383F" w14:textId="77777777" w:rsidR="00A8351D" w:rsidRDefault="00A8351D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18B46" w14:textId="77777777" w:rsidR="00A8351D" w:rsidRDefault="00380974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□</w:t>
            </w:r>
            <w:r>
              <w:rPr>
                <w:rStyle w:val="NormalCharacter"/>
                <w:rFonts w:ascii="宋体" w:hAnsi="宋体"/>
                <w:sz w:val="24"/>
              </w:rPr>
              <w:t xml:space="preserve">特定对象调研        </w:t>
            </w: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□</w:t>
            </w:r>
            <w:r>
              <w:rPr>
                <w:rStyle w:val="NormalCharacter"/>
                <w:rFonts w:ascii="宋体" w:hAnsi="宋体"/>
                <w:sz w:val="24"/>
              </w:rPr>
              <w:t>分析师会议</w:t>
            </w:r>
          </w:p>
          <w:p w14:paraId="5D88D3B8" w14:textId="584DD04B" w:rsidR="00A8351D" w:rsidRDefault="00380974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□</w:t>
            </w:r>
            <w:r>
              <w:rPr>
                <w:rStyle w:val="NormalCharacter"/>
                <w:rFonts w:ascii="宋体" w:hAnsi="宋体"/>
                <w:sz w:val="24"/>
              </w:rPr>
              <w:t xml:space="preserve">媒体采访            </w:t>
            </w:r>
            <w:r w:rsidR="00B52F84"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□</w:t>
            </w:r>
            <w:r>
              <w:rPr>
                <w:rStyle w:val="NormalCharacter"/>
                <w:rFonts w:ascii="宋体" w:hAnsi="宋体"/>
                <w:sz w:val="24"/>
              </w:rPr>
              <w:t>业绩说明会</w:t>
            </w:r>
          </w:p>
          <w:p w14:paraId="652F2B22" w14:textId="44F0556E" w:rsidR="00A8351D" w:rsidRDefault="00380974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□</w:t>
            </w:r>
            <w:r>
              <w:rPr>
                <w:rStyle w:val="NormalCharacter"/>
                <w:rFonts w:ascii="宋体" w:hAnsi="宋体"/>
                <w:sz w:val="24"/>
              </w:rPr>
              <w:t xml:space="preserve">新闻发布会          </w:t>
            </w:r>
            <w:r w:rsidR="00B52F84">
              <w:rPr>
                <w:rStyle w:val="NormalCharacter"/>
                <w:rFonts w:ascii="宋体" w:hAnsi="宋体"/>
                <w:bCs/>
                <w:iCs/>
                <w:sz w:val="24"/>
              </w:rPr>
              <w:sym w:font="Wingdings 2" w:char="F052"/>
            </w:r>
            <w:r>
              <w:rPr>
                <w:rStyle w:val="NormalCharacter"/>
                <w:rFonts w:ascii="宋体" w:hAnsi="宋体"/>
                <w:sz w:val="24"/>
              </w:rPr>
              <w:t>路演活动</w:t>
            </w:r>
          </w:p>
          <w:p w14:paraId="5D96A9C4" w14:textId="77777777" w:rsidR="00A8351D" w:rsidRDefault="00380974">
            <w:pPr>
              <w:tabs>
                <w:tab w:val="left" w:pos="3045"/>
                <w:tab w:val="center" w:pos="3199"/>
              </w:tabs>
              <w:spacing w:line="440" w:lineRule="exact"/>
              <w:ind w:left="1320" w:hangingChars="550" w:hanging="1320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□</w:t>
            </w:r>
            <w:r>
              <w:rPr>
                <w:rStyle w:val="NormalCharacter"/>
                <w:rFonts w:ascii="宋体" w:hAnsi="宋体"/>
                <w:sz w:val="24"/>
              </w:rPr>
              <w:t>现场参观</w:t>
            </w: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ab/>
              <w:t xml:space="preserve">           </w:t>
            </w: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□</w:t>
            </w:r>
            <w:r>
              <w:rPr>
                <w:rStyle w:val="NormalCharacter"/>
                <w:rFonts w:ascii="宋体" w:hAnsi="宋体"/>
                <w:sz w:val="24"/>
              </w:rPr>
              <w:t>其他</w:t>
            </w:r>
            <w:r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Style w:val="NormalCharacter"/>
                <w:rFonts w:ascii="宋体" w:hAnsi="宋体"/>
                <w:sz w:val="24"/>
                <w:u w:val="single"/>
              </w:rPr>
              <w:t xml:space="preserve">      </w:t>
            </w:r>
            <w:r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Style w:val="NormalCharacter"/>
                <w:rFonts w:ascii="宋体" w:hAnsi="宋体"/>
                <w:sz w:val="24"/>
                <w:u w:val="single"/>
              </w:rPr>
              <w:t xml:space="preserve">       </w:t>
            </w:r>
            <w:r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Style w:val="NormalCharacter"/>
                <w:rFonts w:ascii="宋体" w:hAnsi="宋体"/>
                <w:sz w:val="24"/>
                <w:u w:val="single"/>
              </w:rPr>
              <w:t xml:space="preserve">   </w:t>
            </w:r>
            <w:r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Style w:val="NormalCharacter"/>
                <w:rFonts w:ascii="宋体" w:hAnsi="宋体"/>
                <w:sz w:val="24"/>
                <w:u w:val="single"/>
              </w:rPr>
              <w:t xml:space="preserve">     </w:t>
            </w:r>
          </w:p>
        </w:tc>
      </w:tr>
      <w:tr w:rsidR="00A8351D" w14:paraId="71625F9A" w14:textId="77777777" w:rsidTr="00873CF0">
        <w:trPr>
          <w:trHeight w:val="1263"/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657D" w14:textId="77777777" w:rsidR="00A8351D" w:rsidRDefault="00380974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>参与单位名称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61C23" w14:textId="06F5D189" w:rsidR="00A8351D" w:rsidRDefault="00380974">
            <w:pPr>
              <w:spacing w:line="276" w:lineRule="auto"/>
              <w:jc w:val="left"/>
              <w:rPr>
                <w:rFonts w:ascii="宋体" w:hAnsi="宋体"/>
                <w:bCs/>
                <w:sz w:val="24"/>
                <w:szCs w:val="22"/>
              </w:rPr>
            </w:pPr>
            <w:r>
              <w:rPr>
                <w:rFonts w:ascii="宋体" w:hAnsi="宋体" w:hint="eastAsia"/>
                <w:bCs/>
                <w:sz w:val="24"/>
                <w:szCs w:val="22"/>
              </w:rPr>
              <w:t>参与机构：</w:t>
            </w:r>
            <w:r w:rsidR="0066704A">
              <w:rPr>
                <w:rFonts w:ascii="宋体" w:hAnsi="宋体" w:hint="eastAsia"/>
                <w:bCs/>
                <w:sz w:val="24"/>
                <w:szCs w:val="22"/>
              </w:rPr>
              <w:t>工银瑞信、</w:t>
            </w:r>
            <w:r w:rsidR="00B46F47">
              <w:rPr>
                <w:rFonts w:ascii="宋体" w:hAnsi="宋体" w:hint="eastAsia"/>
                <w:bCs/>
                <w:sz w:val="24"/>
                <w:szCs w:val="22"/>
              </w:rPr>
              <w:t>宁银理财</w:t>
            </w:r>
            <w:r w:rsidR="00D142A2">
              <w:rPr>
                <w:rFonts w:ascii="宋体" w:hAnsi="宋体" w:hint="eastAsia"/>
                <w:bCs/>
                <w:sz w:val="24"/>
                <w:szCs w:val="22"/>
              </w:rPr>
              <w:t>、健顺投资、彤源投资、国投瑞银、幸福人寿、彬元资本、银华基金</w:t>
            </w:r>
            <w:r w:rsidR="0066704A">
              <w:rPr>
                <w:rFonts w:ascii="宋体" w:hAnsi="宋体" w:hint="eastAsia"/>
                <w:bCs/>
                <w:sz w:val="24"/>
                <w:szCs w:val="22"/>
              </w:rPr>
              <w:t>、利安人寿、长盛基金、银河证券、中金证券、中信建投、天风证券</w:t>
            </w:r>
            <w:r w:rsidR="00390DD1">
              <w:rPr>
                <w:rFonts w:ascii="宋体" w:hAnsi="宋体" w:hint="eastAsia"/>
                <w:bCs/>
                <w:sz w:val="24"/>
                <w:szCs w:val="22"/>
              </w:rPr>
              <w:t>等</w:t>
            </w:r>
            <w:r w:rsidR="00226AAA">
              <w:rPr>
                <w:rFonts w:ascii="宋体" w:hAnsi="宋体"/>
                <w:bCs/>
                <w:sz w:val="24"/>
                <w:szCs w:val="22"/>
              </w:rPr>
              <w:t>59</w:t>
            </w:r>
            <w:r>
              <w:rPr>
                <w:rFonts w:ascii="宋体" w:hAnsi="宋体" w:hint="eastAsia"/>
                <w:bCs/>
                <w:sz w:val="24"/>
                <w:szCs w:val="22"/>
              </w:rPr>
              <w:t>人</w:t>
            </w:r>
            <w:r w:rsidR="00B52F84">
              <w:rPr>
                <w:rFonts w:ascii="宋体" w:hAnsi="宋体" w:hint="eastAsia"/>
                <w:bCs/>
                <w:sz w:val="24"/>
                <w:szCs w:val="22"/>
              </w:rPr>
              <w:t>次</w:t>
            </w:r>
            <w:r>
              <w:rPr>
                <w:rFonts w:ascii="宋体" w:hAnsi="宋体" w:hint="eastAsia"/>
                <w:bCs/>
                <w:sz w:val="24"/>
                <w:szCs w:val="22"/>
              </w:rPr>
              <w:t>。</w:t>
            </w:r>
          </w:p>
        </w:tc>
      </w:tr>
      <w:tr w:rsidR="00A8351D" w14:paraId="22517B72" w14:textId="77777777">
        <w:trPr>
          <w:trHeight w:val="774"/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A7E92" w14:textId="77777777" w:rsidR="00A8351D" w:rsidRDefault="00380974">
            <w:pPr>
              <w:spacing w:line="440" w:lineRule="exact"/>
              <w:jc w:val="center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时间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688F8" w14:textId="26AB8E73" w:rsidR="00A8351D" w:rsidRDefault="00380974">
            <w:pPr>
              <w:spacing w:line="276" w:lineRule="auto"/>
              <w:jc w:val="lef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202</w:t>
            </w:r>
            <w:r w:rsidR="000C281C">
              <w:rPr>
                <w:rStyle w:val="NormalCharacter"/>
                <w:rFonts w:ascii="宋体" w:hAnsi="宋体"/>
                <w:bCs/>
                <w:iCs/>
                <w:sz w:val="24"/>
              </w:rPr>
              <w:t>5</w:t>
            </w: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年</w:t>
            </w:r>
            <w:r w:rsidR="00390DD1">
              <w:rPr>
                <w:rStyle w:val="NormalCharacter"/>
                <w:rFonts w:ascii="宋体" w:hAnsi="宋体"/>
                <w:bCs/>
                <w:iCs/>
                <w:sz w:val="24"/>
              </w:rPr>
              <w:t>6</w:t>
            </w:r>
            <w:r w:rsidR="00507760"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月</w:t>
            </w:r>
          </w:p>
        </w:tc>
      </w:tr>
      <w:tr w:rsidR="00A8351D" w14:paraId="72C8E93D" w14:textId="77777777">
        <w:trPr>
          <w:trHeight w:val="670"/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986BA" w14:textId="77777777" w:rsidR="00A8351D" w:rsidRDefault="00380974">
            <w:pPr>
              <w:spacing w:line="440" w:lineRule="exact"/>
              <w:jc w:val="center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>地点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25DE5" w14:textId="5EA7A6AD" w:rsidR="00A8351D" w:rsidRDefault="00982269">
            <w:pPr>
              <w:spacing w:line="276" w:lineRule="auto"/>
              <w:jc w:val="lef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上海医药大厦会议室、</w:t>
            </w:r>
            <w:r w:rsidR="00B52F84"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策略会</w:t>
            </w:r>
          </w:p>
        </w:tc>
      </w:tr>
      <w:tr w:rsidR="00A8351D" w14:paraId="3D033AE1" w14:textId="77777777" w:rsidTr="00B52F84">
        <w:trPr>
          <w:trHeight w:val="1019"/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8BB34" w14:textId="77777777" w:rsidR="00A8351D" w:rsidRDefault="00380974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>上市公司接待人员姓名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E72D2" w14:textId="7013C7ED" w:rsidR="0066704A" w:rsidRDefault="0066704A" w:rsidP="00B52F84">
            <w:pPr>
              <w:spacing w:line="276" w:lineRule="auto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 xml:space="preserve">证券事务代表 </w:t>
            </w: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 xml:space="preserve"> </w:t>
            </w:r>
            <w:r w:rsidR="00BD3F84">
              <w:rPr>
                <w:rStyle w:val="NormalCharacter"/>
                <w:rFonts w:ascii="宋体" w:hAnsi="宋体"/>
                <w:bCs/>
                <w:iCs/>
                <w:sz w:val="24"/>
              </w:rPr>
              <w:t xml:space="preserve">     </w:t>
            </w: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 xml:space="preserve"> </w:t>
            </w: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刘咏涛</w:t>
            </w:r>
          </w:p>
          <w:p w14:paraId="75CB56DE" w14:textId="599F6EE3" w:rsidR="003D4770" w:rsidRDefault="00B52F84" w:rsidP="00B52F84">
            <w:pPr>
              <w:spacing w:line="276" w:lineRule="auto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 xml:space="preserve">证券事务代表 </w:t>
            </w: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 xml:space="preserve"> </w:t>
            </w:r>
            <w:r w:rsidR="00BD3F84">
              <w:rPr>
                <w:rStyle w:val="NormalCharacter"/>
                <w:rFonts w:ascii="宋体" w:hAnsi="宋体"/>
                <w:bCs/>
                <w:iCs/>
                <w:sz w:val="24"/>
              </w:rPr>
              <w:t xml:space="preserve">     </w:t>
            </w: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 xml:space="preserve"> </w:t>
            </w: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孙诗旖</w:t>
            </w:r>
          </w:p>
          <w:p w14:paraId="6BB5EAF2" w14:textId="36085D9E" w:rsidR="0066704A" w:rsidRPr="00B52F84" w:rsidRDefault="0066704A" w:rsidP="00B52F84">
            <w:pPr>
              <w:spacing w:line="276" w:lineRule="auto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I</w:t>
            </w: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 xml:space="preserve">R             </w:t>
            </w:r>
            <w:r w:rsidR="00BD3F84">
              <w:rPr>
                <w:rStyle w:val="NormalCharacter"/>
                <w:rFonts w:ascii="宋体" w:hAnsi="宋体"/>
                <w:bCs/>
                <w:iCs/>
                <w:sz w:val="24"/>
              </w:rPr>
              <w:t xml:space="preserve">     </w:t>
            </w: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王梓安</w:t>
            </w:r>
          </w:p>
        </w:tc>
      </w:tr>
      <w:tr w:rsidR="00A8351D" w14:paraId="3C670D49" w14:textId="77777777">
        <w:trPr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6920B" w14:textId="77777777" w:rsidR="00A8351D" w:rsidRDefault="00380974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>投资者关系活动主要内容介绍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D106C" w14:textId="0839CB65" w:rsidR="002B01D8" w:rsidRPr="000106BF" w:rsidRDefault="002B01D8" w:rsidP="002B01D8">
            <w:pPr>
              <w:spacing w:line="276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Q：</w:t>
            </w:r>
            <w:r w:rsidR="008254B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未来的</w:t>
            </w:r>
            <w:r w:rsidR="001E199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战略方向</w:t>
            </w:r>
            <w:r w:rsidR="00A7567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？</w:t>
            </w:r>
          </w:p>
          <w:p w14:paraId="2232D53C" w14:textId="7BB6CA48" w:rsidR="002B01D8" w:rsidRDefault="002B01D8" w:rsidP="00D00FB6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A：</w:t>
            </w:r>
            <w:r w:rsidR="00A4306B" w:rsidRPr="00A4306B">
              <w:rPr>
                <w:rFonts w:ascii="宋体" w:hAnsi="宋体" w:cs="宋体" w:hint="eastAsia"/>
                <w:kern w:val="0"/>
                <w:sz w:val="24"/>
              </w:rPr>
              <w:t>新的发展时期，上海医药将积极发挥作为上海生物医药产业龙头企业的引领作用，促进创新链、产业链和资金链深度融合，全力争当具有生态主导力的链长企业，发挥好产业链贯通、支撑和带动作用；</w:t>
            </w:r>
            <w:r w:rsidR="008254B7" w:rsidRPr="008254B7">
              <w:rPr>
                <w:rFonts w:ascii="宋体" w:hAnsi="宋体" w:cs="宋体" w:hint="eastAsia"/>
                <w:kern w:val="0"/>
                <w:sz w:val="24"/>
              </w:rPr>
              <w:t>面向未来，将通过科技创新驱动、制造能级提升、AI数智赋能发展、加快国际化业务拓展、深化体制机制改革等战略性举措，推动公司新一轮高质量发展，为股东和社会创造更大价值。</w:t>
            </w:r>
          </w:p>
          <w:p w14:paraId="0504BE1F" w14:textId="67C6EDD4" w:rsidR="00A8351D" w:rsidRDefault="00A8351D">
            <w:pPr>
              <w:spacing w:line="276" w:lineRule="auto"/>
              <w:jc w:val="left"/>
            </w:pPr>
          </w:p>
          <w:p w14:paraId="4536BBC6" w14:textId="475DFAD8" w:rsidR="001E1996" w:rsidRPr="000106BF" w:rsidRDefault="001E1996" w:rsidP="001E1996">
            <w:pPr>
              <w:spacing w:line="276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Q：</w:t>
            </w:r>
            <w:r w:rsidR="00BD3F8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公司中药业务发展以及对上海和黄药业的整合规划？</w:t>
            </w:r>
          </w:p>
          <w:p w14:paraId="5FCE72BE" w14:textId="59EE5BC6" w:rsidR="001E1996" w:rsidRDefault="001E1996" w:rsidP="001E1996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A：</w:t>
            </w:r>
            <w:r w:rsidR="00BD3F84" w:rsidRPr="00BD3F84">
              <w:rPr>
                <w:rFonts w:ascii="宋体" w:hAnsi="宋体" w:cs="宋体" w:hint="eastAsia"/>
                <w:kern w:val="0"/>
                <w:sz w:val="24"/>
              </w:rPr>
              <w:t>上海医药拥有丰富的中药产业资源，公司通过挖掘优势品种、推进循证医学研究、布局院外市场等方式，紧抓市场机遇，持续推进中药大品种和大品牌的培育</w:t>
            </w:r>
            <w:r w:rsidR="00BD3F84"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="00BD3F84" w:rsidRPr="00BD3F84">
              <w:rPr>
                <w:rFonts w:ascii="宋体" w:hAnsi="宋体" w:cs="宋体" w:hint="eastAsia"/>
                <w:kern w:val="0"/>
                <w:sz w:val="24"/>
              </w:rPr>
              <w:t>胃复春、养心氏片等重点品种正在有序推进循证医学研究。</w:t>
            </w:r>
            <w:r w:rsidR="00BD3F84">
              <w:rPr>
                <w:rFonts w:ascii="宋体" w:hAnsi="宋体" w:cs="宋体" w:hint="eastAsia"/>
                <w:kern w:val="0"/>
                <w:sz w:val="24"/>
              </w:rPr>
              <w:t>此外，</w:t>
            </w:r>
            <w:r w:rsidR="00342020" w:rsidRPr="00342020">
              <w:rPr>
                <w:rFonts w:ascii="宋体" w:hAnsi="宋体" w:cs="宋体" w:hint="eastAsia"/>
                <w:kern w:val="0"/>
                <w:sz w:val="24"/>
              </w:rPr>
              <w:t>上海和黄的并购交易已于4月完成交割，不仅将为公司带来麝香保心丸这一国家保密配方品种，也将进一步加强公司的中药整体实力。后续公司将充分发挥上海医药与上海和黄的优势，</w:t>
            </w:r>
            <w:r w:rsidR="008254B7" w:rsidRPr="008254B7">
              <w:rPr>
                <w:rFonts w:ascii="宋体" w:hAnsi="宋体" w:cs="宋体" w:hint="eastAsia"/>
                <w:kern w:val="0"/>
                <w:sz w:val="24"/>
              </w:rPr>
              <w:t>加大内部资源整合、强化双向赋能，充分融合品</w:t>
            </w:r>
            <w:r w:rsidR="008254B7" w:rsidRPr="008254B7">
              <w:rPr>
                <w:rFonts w:ascii="宋体" w:hAnsi="宋体" w:cs="宋体" w:hint="eastAsia"/>
                <w:kern w:val="0"/>
                <w:sz w:val="24"/>
              </w:rPr>
              <w:lastRenderedPageBreak/>
              <w:t>种、品牌、研发、市场等方面的优势，通过深化循证医学研究等，进一步增强核心竞争力，推动中药业务做大做强</w:t>
            </w:r>
            <w:r w:rsidR="008254B7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14:paraId="3E09EDC2" w14:textId="2843AC26" w:rsidR="00A8351D" w:rsidRDefault="00A8351D" w:rsidP="00E10ABA">
            <w:pPr>
              <w:spacing w:line="276" w:lineRule="auto"/>
              <w:jc w:val="left"/>
            </w:pPr>
          </w:p>
          <w:p w14:paraId="24B4E632" w14:textId="5AC770E3" w:rsidR="00BD3F84" w:rsidRDefault="00BD3F84" w:rsidP="00BD3F84">
            <w:pPr>
              <w:spacing w:line="276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Q：商业板块</w:t>
            </w:r>
            <w:r w:rsidR="00226AA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的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创新业务布局</w:t>
            </w:r>
            <w:r w:rsidR="00A7567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？</w:t>
            </w:r>
          </w:p>
          <w:p w14:paraId="472FF2E3" w14:textId="34625B41" w:rsidR="00BD3F84" w:rsidRPr="00BD3F84" w:rsidRDefault="00BD3F84" w:rsidP="00E10ABA">
            <w:pPr>
              <w:spacing w:line="276" w:lineRule="auto"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A：</w:t>
            </w:r>
            <w:r w:rsidRPr="00BD3F84">
              <w:rPr>
                <w:rFonts w:ascii="宋体" w:hAnsi="宋体" w:cs="宋体" w:hint="eastAsia"/>
                <w:kern w:val="0"/>
                <w:sz w:val="24"/>
              </w:rPr>
              <w:t>上海医药作为全国头部的医药流通企业，主动应对市场变革，抢抓发展机遇，大力拓展创新业务，在创新药全生命周期服务、器械大健康、CSO业务、SPD业务、多元化支付等方面实现跨越式发展，进一步稳固和提升了公司在中国医药流通领域的领先地位。未来，上海医药将继续推进商业板块的高质量发展，深化创新业务布局，强化网络覆盖能力，为创新药和优质医疗产品提供全方位支持</w:t>
            </w:r>
            <w:r w:rsidR="00226AAA"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Pr="00BD3F84">
              <w:rPr>
                <w:rFonts w:ascii="宋体" w:hAnsi="宋体" w:cs="宋体" w:hint="eastAsia"/>
                <w:kern w:val="0"/>
                <w:sz w:val="24"/>
              </w:rPr>
              <w:t>为患者需求提供更完善、更高效的服务。</w:t>
            </w:r>
          </w:p>
          <w:p w14:paraId="4B19CAB6" w14:textId="77777777" w:rsidR="00BD3F84" w:rsidRDefault="00BD3F84" w:rsidP="00E10ABA">
            <w:pPr>
              <w:spacing w:line="276" w:lineRule="auto"/>
              <w:jc w:val="left"/>
            </w:pPr>
          </w:p>
          <w:p w14:paraId="1DF30BE9" w14:textId="60BED459" w:rsidR="00A8351D" w:rsidRDefault="00380974">
            <w:pPr>
              <w:spacing w:line="276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Q：</w:t>
            </w:r>
            <w:r w:rsidR="0066704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研发体系及创新管线的最新进展</w:t>
            </w:r>
            <w:r w:rsidR="00A7567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？</w:t>
            </w:r>
          </w:p>
          <w:p w14:paraId="53CFA491" w14:textId="2588625A" w:rsidR="00A8351D" w:rsidRDefault="00BD3F84" w:rsidP="0066704A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A：</w:t>
            </w:r>
            <w:r w:rsidRPr="0066704A">
              <w:rPr>
                <w:rFonts w:ascii="宋体" w:hAnsi="宋体" w:cs="宋体" w:hint="eastAsia"/>
                <w:kern w:val="0"/>
                <w:sz w:val="24"/>
              </w:rPr>
              <w:t>公司已启动研发创新体系的升级再造</w:t>
            </w:r>
            <w:r w:rsidR="0066704A" w:rsidRPr="0066704A">
              <w:rPr>
                <w:rFonts w:ascii="宋体" w:hAnsi="宋体" w:cs="宋体" w:hint="eastAsia"/>
                <w:kern w:val="0"/>
                <w:sz w:val="24"/>
              </w:rPr>
              <w:t>，并以“双聘”方式聘请上海交大药学院院长担任上海医药中央研究院院长，组建了科学委员会产业创新理事会，推进创新成果转化和产业化，从而进一步提升研发效率与研发水平。管线方面，新一代口服非肽类小分子肾素抑制剂I001、自主研发的全球创新型抗CD20抗体药物B001（静脉注射液</w:t>
            </w:r>
            <w:r w:rsidR="00013300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="0066704A" w:rsidRPr="0066704A">
              <w:rPr>
                <w:rFonts w:ascii="宋体" w:hAnsi="宋体" w:cs="宋体" w:hint="eastAsia"/>
                <w:kern w:val="0"/>
                <w:sz w:val="24"/>
              </w:rPr>
              <w:t>B007（皮下注射液）等重点管线均已在定期报告中进行披露，其余管线靶点及临床数据暂未公布。此外，I001</w:t>
            </w:r>
            <w:r w:rsidR="008812A3">
              <w:rPr>
                <w:rFonts w:ascii="宋体" w:hAnsi="宋体" w:cs="宋体" w:hint="eastAsia"/>
                <w:kern w:val="0"/>
                <w:sz w:val="24"/>
              </w:rPr>
              <w:t>高血压适应症</w:t>
            </w:r>
            <w:r w:rsidR="0066704A" w:rsidRPr="0066704A">
              <w:rPr>
                <w:rFonts w:ascii="宋体" w:hAnsi="宋体" w:cs="宋体" w:hint="eastAsia"/>
                <w:kern w:val="0"/>
                <w:sz w:val="24"/>
              </w:rPr>
              <w:t>和BCD-085上市申请已获得受理，公司将及时跟进申报情况。</w:t>
            </w:r>
          </w:p>
          <w:p w14:paraId="4C32A2B1" w14:textId="77777777" w:rsidR="00B961D5" w:rsidRDefault="00B961D5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6C8F2FBA" w14:textId="25095B7A" w:rsidR="00B961D5" w:rsidRPr="00B961D5" w:rsidRDefault="00B961D5">
            <w:pPr>
              <w:spacing w:line="276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961D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Q：公司</w:t>
            </w:r>
            <w:r w:rsidR="005A52E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是否有市值管理相关举措，</w:t>
            </w:r>
            <w:r w:rsidRPr="00B961D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分红率是否会继续提升？</w:t>
            </w:r>
          </w:p>
          <w:p w14:paraId="65898B82" w14:textId="226F8887" w:rsidR="00B961D5" w:rsidRDefault="00B961D5" w:rsidP="00650C64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A：</w:t>
            </w:r>
            <w:r w:rsidR="00650C64" w:rsidRPr="00650C64">
              <w:rPr>
                <w:rFonts w:ascii="宋体" w:hAnsi="宋体" w:cs="宋体" w:hint="eastAsia"/>
                <w:kern w:val="0"/>
                <w:sz w:val="24"/>
              </w:rPr>
              <w:t>公司始终将市值管理作为长期战略的重要组成部分，多措并举加强市场沟通，注重股东回报</w:t>
            </w:r>
            <w:r w:rsidR="005A52E5">
              <w:rPr>
                <w:rFonts w:ascii="宋体" w:hAnsi="宋体" w:cs="宋体" w:hint="eastAsia"/>
                <w:kern w:val="0"/>
                <w:sz w:val="24"/>
              </w:rPr>
              <w:t>。今年4月，</w:t>
            </w:r>
            <w:r w:rsidR="005A52E5" w:rsidRPr="005A52E5">
              <w:rPr>
                <w:rFonts w:ascii="宋体" w:hAnsi="宋体" w:cs="宋体" w:hint="eastAsia"/>
                <w:kern w:val="0"/>
                <w:sz w:val="24"/>
              </w:rPr>
              <w:t>上海市国资委印发了《关于加强国有控股上市公司市值管理工作的</w:t>
            </w:r>
            <w:r w:rsidR="005A52E5">
              <w:rPr>
                <w:rFonts w:ascii="宋体" w:hAnsi="宋体" w:cs="宋体" w:hint="eastAsia"/>
                <w:kern w:val="0"/>
                <w:sz w:val="24"/>
              </w:rPr>
              <w:t>若干</w:t>
            </w:r>
            <w:r w:rsidR="005A52E5" w:rsidRPr="005A52E5">
              <w:rPr>
                <w:rFonts w:ascii="宋体" w:hAnsi="宋体" w:cs="宋体" w:hint="eastAsia"/>
                <w:kern w:val="0"/>
                <w:sz w:val="24"/>
              </w:rPr>
              <w:t>意见》</w:t>
            </w:r>
            <w:r w:rsidR="000A04DC"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="000A04DC" w:rsidRPr="000A04DC">
              <w:rPr>
                <w:rFonts w:ascii="宋体" w:hAnsi="宋体" w:cs="宋体" w:hint="eastAsia"/>
                <w:kern w:val="0"/>
                <w:sz w:val="24"/>
              </w:rPr>
              <w:t>明确了不同市值管理主体的工作职责</w:t>
            </w:r>
            <w:r w:rsidR="00A2383D">
              <w:rPr>
                <w:rFonts w:ascii="宋体" w:hAnsi="宋体" w:cs="宋体" w:hint="eastAsia"/>
                <w:kern w:val="0"/>
                <w:sz w:val="24"/>
              </w:rPr>
              <w:t>，对上市公司提出了多个维度的明确要求</w:t>
            </w:r>
            <w:r w:rsidR="00944A7B">
              <w:rPr>
                <w:rFonts w:ascii="宋体" w:hAnsi="宋体" w:cs="宋体" w:hint="eastAsia"/>
                <w:kern w:val="0"/>
                <w:sz w:val="24"/>
              </w:rPr>
              <w:t>，公司也同步出台了相应的《市值管理制度》</w:t>
            </w:r>
            <w:r w:rsidR="005A52E5">
              <w:rPr>
                <w:rFonts w:ascii="宋体" w:hAnsi="宋体" w:cs="宋体" w:hint="eastAsia"/>
                <w:kern w:val="0"/>
                <w:sz w:val="24"/>
              </w:rPr>
              <w:t>。</w:t>
            </w:r>
            <w:r w:rsidR="005A52E5" w:rsidRPr="005A52E5">
              <w:rPr>
                <w:rFonts w:ascii="宋体" w:hAnsi="宋体" w:cs="宋体" w:hint="eastAsia"/>
                <w:kern w:val="0"/>
                <w:sz w:val="24"/>
              </w:rPr>
              <w:t>在分红方面，公司已按照公司章程的规定，连续十几年保持每年30%以上的分红比例，累计现金分红超过156亿元</w:t>
            </w:r>
            <w:r w:rsidR="00650C64" w:rsidRPr="00650C64">
              <w:rPr>
                <w:rFonts w:ascii="宋体" w:hAnsi="宋体" w:cs="宋体" w:hint="eastAsia"/>
                <w:kern w:val="0"/>
                <w:sz w:val="24"/>
              </w:rPr>
              <w:t>。未来，我们将持续通过优化资本运作机制、聚焦核心价值创造、构建良性互动机制等方式维护投资者利益与市场信心，为股东创造长期稳健回报</w:t>
            </w:r>
            <w:r w:rsidRPr="00B961D5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14:paraId="2B176AC0" w14:textId="68B9E8D2" w:rsidR="001E1996" w:rsidRPr="00E10ABA" w:rsidRDefault="001E1996" w:rsidP="00A75676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8351D" w14:paraId="5C1AF499" w14:textId="77777777" w:rsidTr="00444A64">
        <w:trPr>
          <w:trHeight w:val="754"/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57293" w14:textId="77777777" w:rsidR="00A8351D" w:rsidRDefault="00380974">
            <w:pPr>
              <w:spacing w:line="440" w:lineRule="exact"/>
              <w:ind w:firstLineChars="50" w:firstLine="120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lastRenderedPageBreak/>
              <w:t>附件清单（如有）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94F10" w14:textId="77777777" w:rsidR="00A8351D" w:rsidRDefault="00380974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>无</w:t>
            </w:r>
          </w:p>
        </w:tc>
      </w:tr>
      <w:tr w:rsidR="00A8351D" w14:paraId="59AB9622" w14:textId="77777777">
        <w:trPr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67EFB" w14:textId="77777777" w:rsidR="00A8351D" w:rsidRDefault="00380974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注意事项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21E28" w14:textId="77777777" w:rsidR="00A8351D" w:rsidRDefault="00380974">
            <w:pPr>
              <w:spacing w:line="276" w:lineRule="auto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Fonts w:hint="eastAsia"/>
                <w:sz w:val="24"/>
              </w:rPr>
              <w:t>公司严格遵守信披规则进行投资者交流，如涉及公司未来计划、发展战略等前瞻性描述，不构成公司对投资者的实质性承诺。</w:t>
            </w:r>
          </w:p>
        </w:tc>
      </w:tr>
    </w:tbl>
    <w:p w14:paraId="42B14725" w14:textId="77777777" w:rsidR="00873CF0" w:rsidRDefault="00873CF0" w:rsidP="00873CF0">
      <w:pPr>
        <w:spacing w:line="440" w:lineRule="exact"/>
        <w:rPr>
          <w:rStyle w:val="NormalCharacter"/>
          <w:rFonts w:ascii="宋体" w:hAnsi="宋体"/>
          <w:sz w:val="24"/>
        </w:rPr>
      </w:pPr>
    </w:p>
    <w:sectPr w:rsidR="00873CF0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46A1D" w14:textId="77777777" w:rsidR="00E54456" w:rsidRDefault="00E54456">
      <w:r>
        <w:separator/>
      </w:r>
    </w:p>
  </w:endnote>
  <w:endnote w:type="continuationSeparator" w:id="0">
    <w:p w14:paraId="21C39870" w14:textId="77777777" w:rsidR="00E54456" w:rsidRDefault="00E54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6E390" w14:textId="77777777" w:rsidR="00A8351D" w:rsidRDefault="00A8351D">
    <w:pPr>
      <w:pStyle w:val="a9"/>
      <w:framePr w:wrap="around" w:hAnchor="text" w:xAlign="center" w:y="1"/>
      <w:rPr>
        <w:rStyle w:val="PageNumber"/>
      </w:rPr>
    </w:pPr>
  </w:p>
  <w:p w14:paraId="7914E9DE" w14:textId="77777777" w:rsidR="00A8351D" w:rsidRDefault="00A8351D">
    <w:pPr>
      <w:pStyle w:val="a9"/>
      <w:rPr>
        <w:rStyle w:val="NormalCharacte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752AF" w14:textId="77777777" w:rsidR="00A8351D" w:rsidRDefault="00380974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  <w:lang w:val="zh-CN"/>
      </w:rPr>
      <w:t>3</w:t>
    </w:r>
    <w:r>
      <w:rPr>
        <w:lang w:val="zh-CN"/>
      </w:rPr>
      <w:fldChar w:fldCharType="end"/>
    </w:r>
  </w:p>
  <w:p w14:paraId="098BCA03" w14:textId="77777777" w:rsidR="00A8351D" w:rsidRDefault="00A8351D">
    <w:pPr>
      <w:pStyle w:val="a9"/>
      <w:rPr>
        <w:rStyle w:val="NormalCharact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C2DDD" w14:textId="77777777" w:rsidR="00E54456" w:rsidRDefault="00E54456">
      <w:r>
        <w:separator/>
      </w:r>
    </w:p>
  </w:footnote>
  <w:footnote w:type="continuationSeparator" w:id="0">
    <w:p w14:paraId="5CC17A42" w14:textId="77777777" w:rsidR="00E54456" w:rsidRDefault="00E54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BAFDF" w14:textId="77777777" w:rsidR="00A8351D" w:rsidRDefault="00A8351D">
    <w:pPr>
      <w:pStyle w:val="ab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defaultTabStop w:val="42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51D"/>
    <w:rsid w:val="00002948"/>
    <w:rsid w:val="00002AE9"/>
    <w:rsid w:val="000106BF"/>
    <w:rsid w:val="00013300"/>
    <w:rsid w:val="0001661F"/>
    <w:rsid w:val="00080BA0"/>
    <w:rsid w:val="00095809"/>
    <w:rsid w:val="000A04DC"/>
    <w:rsid w:val="000C281C"/>
    <w:rsid w:val="000F5020"/>
    <w:rsid w:val="00103072"/>
    <w:rsid w:val="00114041"/>
    <w:rsid w:val="001221D9"/>
    <w:rsid w:val="001C5440"/>
    <w:rsid w:val="001E1996"/>
    <w:rsid w:val="00226AAA"/>
    <w:rsid w:val="00270410"/>
    <w:rsid w:val="00292E82"/>
    <w:rsid w:val="002B01D8"/>
    <w:rsid w:val="002B1884"/>
    <w:rsid w:val="002B58AA"/>
    <w:rsid w:val="00301D24"/>
    <w:rsid w:val="00342020"/>
    <w:rsid w:val="0036497F"/>
    <w:rsid w:val="00380974"/>
    <w:rsid w:val="00390DD1"/>
    <w:rsid w:val="00395282"/>
    <w:rsid w:val="003D4770"/>
    <w:rsid w:val="003E6A30"/>
    <w:rsid w:val="00415117"/>
    <w:rsid w:val="00415BD0"/>
    <w:rsid w:val="00444A64"/>
    <w:rsid w:val="0046361B"/>
    <w:rsid w:val="004640E2"/>
    <w:rsid w:val="0049785A"/>
    <w:rsid w:val="004C2BF9"/>
    <w:rsid w:val="004C3851"/>
    <w:rsid w:val="004C7EFF"/>
    <w:rsid w:val="005039AE"/>
    <w:rsid w:val="00507760"/>
    <w:rsid w:val="00545187"/>
    <w:rsid w:val="005A52E5"/>
    <w:rsid w:val="005C3303"/>
    <w:rsid w:val="005D37C3"/>
    <w:rsid w:val="00603B34"/>
    <w:rsid w:val="00650C64"/>
    <w:rsid w:val="00656AF1"/>
    <w:rsid w:val="0066704A"/>
    <w:rsid w:val="00681F25"/>
    <w:rsid w:val="006A0538"/>
    <w:rsid w:val="006A40C0"/>
    <w:rsid w:val="006B0648"/>
    <w:rsid w:val="006C2357"/>
    <w:rsid w:val="00701239"/>
    <w:rsid w:val="007220FC"/>
    <w:rsid w:val="0073265E"/>
    <w:rsid w:val="00756FF9"/>
    <w:rsid w:val="007B636C"/>
    <w:rsid w:val="007E44E6"/>
    <w:rsid w:val="007F1898"/>
    <w:rsid w:val="00814479"/>
    <w:rsid w:val="008254B7"/>
    <w:rsid w:val="0086505D"/>
    <w:rsid w:val="00873CF0"/>
    <w:rsid w:val="008812A3"/>
    <w:rsid w:val="008C10F5"/>
    <w:rsid w:val="008D6D12"/>
    <w:rsid w:val="00932880"/>
    <w:rsid w:val="00944A7B"/>
    <w:rsid w:val="009454CC"/>
    <w:rsid w:val="00962505"/>
    <w:rsid w:val="00972248"/>
    <w:rsid w:val="00980644"/>
    <w:rsid w:val="00982269"/>
    <w:rsid w:val="009A7E6A"/>
    <w:rsid w:val="009B6B70"/>
    <w:rsid w:val="00A2383D"/>
    <w:rsid w:val="00A40C32"/>
    <w:rsid w:val="00A4306B"/>
    <w:rsid w:val="00A75676"/>
    <w:rsid w:val="00A8351D"/>
    <w:rsid w:val="00AB7776"/>
    <w:rsid w:val="00AF3F28"/>
    <w:rsid w:val="00B35268"/>
    <w:rsid w:val="00B46F47"/>
    <w:rsid w:val="00B52F84"/>
    <w:rsid w:val="00B961D5"/>
    <w:rsid w:val="00BA1E4C"/>
    <w:rsid w:val="00BD3F84"/>
    <w:rsid w:val="00BE6BA6"/>
    <w:rsid w:val="00C65775"/>
    <w:rsid w:val="00C85A56"/>
    <w:rsid w:val="00CC486C"/>
    <w:rsid w:val="00CF03B1"/>
    <w:rsid w:val="00D00FB6"/>
    <w:rsid w:val="00D142A2"/>
    <w:rsid w:val="00D458C2"/>
    <w:rsid w:val="00D61FE4"/>
    <w:rsid w:val="00D642F8"/>
    <w:rsid w:val="00D73FC5"/>
    <w:rsid w:val="00D92A51"/>
    <w:rsid w:val="00DF015E"/>
    <w:rsid w:val="00E10ABA"/>
    <w:rsid w:val="00E54456"/>
    <w:rsid w:val="00E8749A"/>
    <w:rsid w:val="00E905C1"/>
    <w:rsid w:val="00ED554D"/>
    <w:rsid w:val="00F04AE7"/>
    <w:rsid w:val="00F23045"/>
    <w:rsid w:val="00F32217"/>
    <w:rsid w:val="00FC1FA4"/>
    <w:rsid w:val="00FF19BD"/>
    <w:rsid w:val="00FF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1FD3AB"/>
  <w15:docId w15:val="{1F94E835-AE56-4DFD-BFB6-2E8D0FBE0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  <w:textAlignment w:val="baseline"/>
    </w:pPr>
    <w:rPr>
      <w:kern w:val="2"/>
      <w:sz w:val="21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Autospacing="1" w:afterAutospacing="1"/>
      <w:jc w:val="left"/>
      <w:outlineLvl w:val="3"/>
    </w:pPr>
    <w:rPr>
      <w:rFonts w:ascii="宋体" w:hAnsi="宋体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jc w:val="left"/>
    </w:pPr>
  </w:style>
  <w:style w:type="paragraph" w:styleId="a5">
    <w:name w:val="Date"/>
    <w:basedOn w:val="a"/>
    <w:next w:val="a"/>
    <w:link w:val="a6"/>
    <w:uiPriority w:val="99"/>
    <w:qFormat/>
    <w:pPr>
      <w:widowControl w:val="0"/>
      <w:ind w:leftChars="2500" w:left="100"/>
      <w:textAlignment w:val="auto"/>
    </w:pPr>
    <w:rPr>
      <w:rFonts w:ascii="等线" w:eastAsia="等线" w:hAnsi="等线" w:cs="宋体"/>
      <w:szCs w:val="22"/>
    </w:rPr>
  </w:style>
  <w:style w:type="paragraph" w:styleId="a7">
    <w:name w:val="Balloon Text"/>
    <w:basedOn w:val="a"/>
    <w:link w:val="a8"/>
    <w:uiPriority w:val="99"/>
    <w:qFormat/>
    <w:pPr>
      <w:widowControl w:val="0"/>
      <w:textAlignment w:val="auto"/>
    </w:pPr>
    <w:rPr>
      <w:rFonts w:ascii="等线" w:eastAsia="等线" w:hAnsi="等线" w:cs="宋体"/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qFormat/>
    <w:rPr>
      <w:b/>
      <w:bCs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Emphasis"/>
    <w:uiPriority w:val="20"/>
    <w:qFormat/>
    <w:rPr>
      <w:color w:val="CC0000"/>
    </w:rPr>
  </w:style>
  <w:style w:type="character" w:styleId="af1">
    <w:name w:val="Hyperlink"/>
    <w:basedOn w:val="a0"/>
    <w:uiPriority w:val="99"/>
    <w:qFormat/>
    <w:rPr>
      <w:color w:val="0000FF"/>
      <w:u w:val="single"/>
    </w:rPr>
  </w:style>
  <w:style w:type="character" w:styleId="af2">
    <w:name w:val="annotation reference"/>
    <w:basedOn w:val="a0"/>
    <w:uiPriority w:val="99"/>
    <w:qFormat/>
    <w:rPr>
      <w:sz w:val="21"/>
      <w:szCs w:val="21"/>
    </w:rPr>
  </w:style>
  <w:style w:type="character" w:customStyle="1" w:styleId="NormalCharacter">
    <w:name w:val="NormalCharacter"/>
    <w:qFormat/>
  </w:style>
  <w:style w:type="table" w:customStyle="1" w:styleId="TableNormal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geNumber">
    <w:name w:val="PageNumber"/>
    <w:basedOn w:val="NormalCharacter"/>
    <w:qFormat/>
  </w:style>
  <w:style w:type="character" w:customStyle="1" w:styleId="UserStyle0">
    <w:name w:val="UserStyle_0"/>
    <w:link w:val="Acetate"/>
    <w:qFormat/>
    <w:rPr>
      <w:kern w:val="2"/>
      <w:sz w:val="18"/>
      <w:szCs w:val="18"/>
    </w:rPr>
  </w:style>
  <w:style w:type="paragraph" w:customStyle="1" w:styleId="Acetate">
    <w:name w:val="Acetate"/>
    <w:basedOn w:val="a"/>
    <w:link w:val="UserStyle0"/>
    <w:qFormat/>
    <w:rPr>
      <w:sz w:val="18"/>
      <w:szCs w:val="18"/>
    </w:rPr>
  </w:style>
  <w:style w:type="character" w:customStyle="1" w:styleId="ac">
    <w:name w:val="页眉 字符"/>
    <w:link w:val="ab"/>
    <w:uiPriority w:val="99"/>
    <w:qFormat/>
    <w:rPr>
      <w:kern w:val="2"/>
      <w:sz w:val="18"/>
      <w:szCs w:val="18"/>
    </w:rPr>
  </w:style>
  <w:style w:type="paragraph" w:customStyle="1" w:styleId="BodyTextIndent">
    <w:name w:val="BodyTextIndent"/>
    <w:basedOn w:val="a"/>
    <w:qFormat/>
    <w:pPr>
      <w:spacing w:after="120"/>
      <w:ind w:leftChars="200" w:left="200"/>
    </w:pPr>
    <w:rPr>
      <w:szCs w:val="20"/>
    </w:rPr>
  </w:style>
  <w:style w:type="paragraph" w:customStyle="1" w:styleId="179">
    <w:name w:val="179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UserStyle2">
    <w:name w:val="UserStyle_2"/>
    <w:basedOn w:val="a"/>
    <w:qFormat/>
    <w:pPr>
      <w:tabs>
        <w:tab w:val="left" w:pos="720"/>
      </w:tabs>
      <w:ind w:left="720" w:hanging="720"/>
    </w:pPr>
    <w:rPr>
      <w:sz w:val="18"/>
      <w:szCs w:val="18"/>
    </w:rPr>
  </w:style>
  <w:style w:type="paragraph" w:customStyle="1" w:styleId="UserStyle3">
    <w:name w:val="UserStyle_3"/>
    <w:basedOn w:val="a"/>
    <w:qFormat/>
    <w:rPr>
      <w:rFonts w:ascii="仿宋_GB2312" w:eastAsia="仿宋_GB2312"/>
      <w:sz w:val="32"/>
      <w:szCs w:val="32"/>
    </w:rPr>
  </w:style>
  <w:style w:type="table" w:customStyle="1" w:styleId="TableGrid">
    <w:name w:val="TableGrid"/>
    <w:basedOn w:val="TableNormal"/>
    <w:qFormat/>
    <w:tblPr/>
  </w:style>
  <w:style w:type="character" w:customStyle="1" w:styleId="aa">
    <w:name w:val="页脚 字符"/>
    <w:basedOn w:val="a0"/>
    <w:link w:val="a9"/>
    <w:uiPriority w:val="99"/>
    <w:qFormat/>
    <w:rPr>
      <w:kern w:val="2"/>
      <w:sz w:val="18"/>
      <w:szCs w:val="18"/>
    </w:rPr>
  </w:style>
  <w:style w:type="paragraph" w:customStyle="1" w:styleId="1">
    <w:name w:val="列出段落1"/>
    <w:basedOn w:val="a"/>
    <w:link w:val="Char"/>
    <w:uiPriority w:val="34"/>
    <w:qFormat/>
    <w:pPr>
      <w:widowControl w:val="0"/>
      <w:ind w:firstLineChars="200" w:firstLine="420"/>
      <w:textAlignment w:val="auto"/>
    </w:pPr>
    <w:rPr>
      <w:rFonts w:ascii="等线" w:eastAsia="等线" w:hAnsi="等线" w:cs="宋体"/>
      <w:szCs w:val="22"/>
    </w:rPr>
  </w:style>
  <w:style w:type="character" w:customStyle="1" w:styleId="a6">
    <w:name w:val="日期 字符"/>
    <w:basedOn w:val="a0"/>
    <w:link w:val="a5"/>
    <w:uiPriority w:val="99"/>
    <w:qFormat/>
    <w:rPr>
      <w:rFonts w:ascii="等线" w:eastAsia="等线" w:hAnsi="等线" w:cs="宋体"/>
      <w:kern w:val="2"/>
      <w:sz w:val="21"/>
      <w:szCs w:val="22"/>
    </w:rPr>
  </w:style>
  <w:style w:type="character" w:customStyle="1" w:styleId="a8">
    <w:name w:val="批注框文本 字符"/>
    <w:basedOn w:val="a0"/>
    <w:link w:val="a7"/>
    <w:uiPriority w:val="99"/>
    <w:qFormat/>
    <w:rPr>
      <w:rFonts w:ascii="等线" w:eastAsia="等线" w:hAnsi="等线" w:cs="宋体"/>
      <w:kern w:val="2"/>
      <w:sz w:val="18"/>
      <w:szCs w:val="18"/>
    </w:rPr>
  </w:style>
  <w:style w:type="paragraph" w:customStyle="1" w:styleId="10">
    <w:name w:val="列表段落1"/>
    <w:basedOn w:val="a"/>
    <w:uiPriority w:val="34"/>
    <w:qFormat/>
    <w:pPr>
      <w:ind w:firstLineChars="200" w:firstLine="420"/>
    </w:pPr>
  </w:style>
  <w:style w:type="character" w:customStyle="1" w:styleId="bjh-p">
    <w:name w:val="bjh-p"/>
    <w:basedOn w:val="a0"/>
    <w:qFormat/>
  </w:style>
  <w:style w:type="paragraph" w:customStyle="1" w:styleId="11">
    <w:name w:val="修订1"/>
    <w:uiPriority w:val="99"/>
    <w:qFormat/>
    <w:rPr>
      <w:kern w:val="2"/>
      <w:sz w:val="21"/>
      <w:szCs w:val="24"/>
    </w:rPr>
  </w:style>
  <w:style w:type="character" w:customStyle="1" w:styleId="Char">
    <w:name w:val="列出段落 Char"/>
    <w:link w:val="1"/>
    <w:uiPriority w:val="34"/>
    <w:qFormat/>
    <w:rPr>
      <w:rFonts w:ascii="等线" w:eastAsia="等线" w:hAnsi="等线" w:cs="宋体"/>
      <w:kern w:val="2"/>
      <w:sz w:val="21"/>
      <w:szCs w:val="22"/>
    </w:rPr>
  </w:style>
  <w:style w:type="paragraph" w:customStyle="1" w:styleId="2">
    <w:name w:val="修订2"/>
    <w:uiPriority w:val="99"/>
    <w:qFormat/>
    <w:rPr>
      <w:kern w:val="2"/>
      <w:sz w:val="21"/>
      <w:szCs w:val="24"/>
    </w:rPr>
  </w:style>
  <w:style w:type="character" w:customStyle="1" w:styleId="a4">
    <w:name w:val="批注文字 字符"/>
    <w:basedOn w:val="a0"/>
    <w:link w:val="a3"/>
    <w:uiPriority w:val="99"/>
    <w:qFormat/>
    <w:rPr>
      <w:kern w:val="2"/>
      <w:sz w:val="21"/>
      <w:szCs w:val="24"/>
    </w:rPr>
  </w:style>
  <w:style w:type="character" w:customStyle="1" w:styleId="ae">
    <w:name w:val="批注主题 字符"/>
    <w:basedOn w:val="a4"/>
    <w:link w:val="ad"/>
    <w:uiPriority w:val="99"/>
    <w:qFormat/>
    <w:rPr>
      <w:b/>
      <w:bCs/>
      <w:kern w:val="2"/>
      <w:sz w:val="21"/>
      <w:szCs w:val="24"/>
    </w:rPr>
  </w:style>
  <w:style w:type="paragraph" w:customStyle="1" w:styleId="3">
    <w:name w:val="修订3"/>
    <w:uiPriority w:val="99"/>
    <w:qFormat/>
    <w:rPr>
      <w:kern w:val="2"/>
      <w:sz w:val="21"/>
      <w:szCs w:val="24"/>
    </w:rPr>
  </w:style>
  <w:style w:type="paragraph" w:styleId="af3">
    <w:name w:val="Revision"/>
    <w:uiPriority w:val="99"/>
    <w:rPr>
      <w:kern w:val="2"/>
      <w:sz w:val="21"/>
      <w:szCs w:val="24"/>
    </w:rPr>
  </w:style>
  <w:style w:type="paragraph" w:customStyle="1" w:styleId="paragraph">
    <w:name w:val="paragraph"/>
    <w:basedOn w:val="a"/>
    <w:pPr>
      <w:spacing w:before="100" w:beforeAutospacing="1" w:after="100" w:afterAutospacing="1"/>
      <w:jc w:val="left"/>
      <w:textAlignment w:val="auto"/>
    </w:pPr>
    <w:rPr>
      <w:rFonts w:ascii="等线" w:eastAsia="等线" w:hAnsi="等线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DC471-B316-432E-AE28-B268D7AC6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260</Words>
  <Characters>1487</Characters>
  <Application>Microsoft Office Word</Application>
  <DocSecurity>0</DocSecurity>
  <Lines>12</Lines>
  <Paragraphs>3</Paragraphs>
  <ScaleCrop>false</ScaleCrop>
  <Company>SPH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王梓安</cp:lastModifiedBy>
  <cp:revision>10</cp:revision>
  <cp:lastPrinted>2020-05-06T16:51:00Z</cp:lastPrinted>
  <dcterms:created xsi:type="dcterms:W3CDTF">2025-06-30T05:46:00Z</dcterms:created>
  <dcterms:modified xsi:type="dcterms:W3CDTF">2025-06-30T08:40:00Z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de453fe5526f468199e8e26f8f97153b_23</vt:lpwstr>
  </property>
</Properties>
</file>