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64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widowControl w:val="0"/>
        <w:pBdr>
          <w:bottom w:val="none" w:color="auto" w:sz="0" w:space="0"/>
        </w:pBdr>
        <w:tabs>
          <w:tab w:val="left" w:pos="420"/>
          <w:tab w:val="clear" w:pos="4153"/>
          <w:tab w:val="clear" w:pos="8306"/>
        </w:tabs>
        <w:overflowPunct w:val="0"/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bookmarkStart w:id="1" w:name="_GoBack"/>
      <w:bookmarkStart w:id="0" w:name="quanwen"/>
      <w:r>
        <w:rPr>
          <w:rFonts w:hint="eastAsia" w:ascii="方正小标宋简体" w:hAnsi="方正小标宋简体" w:eastAsia="方正小标宋简体"/>
          <w:kern w:val="0"/>
          <w:sz w:val="44"/>
        </w:rPr>
        <w:t>关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于</w:t>
      </w:r>
      <w:r>
        <w:rPr>
          <w:rFonts w:hint="eastAsia" w:ascii="方正小标宋简体" w:hAnsi="方正小标宋简体" w:eastAsia="方正小标宋简体"/>
          <w:kern w:val="0"/>
          <w:sz w:val="44"/>
        </w:rPr>
        <w:t>对</w:t>
      </w: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广东精艺金属股份有限公司</w:t>
      </w:r>
      <w:r>
        <w:rPr>
          <w:rFonts w:hint="eastAsia" w:ascii="方正小标宋简体" w:hAnsi="方正小标宋简体" w:eastAsia="方正小标宋简体"/>
          <w:kern w:val="0"/>
          <w:sz w:val="44"/>
        </w:rPr>
        <w:t>采取</w:t>
      </w:r>
    </w:p>
    <w:p>
      <w:pPr>
        <w:pStyle w:val="4"/>
        <w:widowControl w:val="0"/>
        <w:pBdr>
          <w:bottom w:val="none" w:color="auto" w:sz="0" w:space="0"/>
        </w:pBdr>
        <w:tabs>
          <w:tab w:val="left" w:pos="420"/>
          <w:tab w:val="clear" w:pos="4153"/>
          <w:tab w:val="clear" w:pos="8306"/>
        </w:tabs>
        <w:overflowPunct w:val="0"/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lang w:eastAsia="zh-CN"/>
        </w:rPr>
        <w:t>责令改正</w:t>
      </w:r>
      <w:r>
        <w:rPr>
          <w:rFonts w:hint="eastAsia" w:ascii="方正小标宋简体" w:hAnsi="方正小标宋简体" w:eastAsia="方正小标宋简体"/>
          <w:kern w:val="0"/>
          <w:sz w:val="44"/>
        </w:rPr>
        <w:t>措施并对黄裕辉等采取</w:t>
      </w:r>
    </w:p>
    <w:p>
      <w:pPr>
        <w:pStyle w:val="4"/>
        <w:widowControl w:val="0"/>
        <w:pBdr>
          <w:bottom w:val="none" w:color="auto" w:sz="0" w:space="0"/>
        </w:pBdr>
        <w:tabs>
          <w:tab w:val="left" w:pos="420"/>
          <w:tab w:val="clear" w:pos="4153"/>
          <w:tab w:val="clear" w:pos="8306"/>
        </w:tabs>
        <w:overflowPunct w:val="0"/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出具警示函措施的决定</w:t>
      </w:r>
    </w:p>
    <w:bookmarkEnd w:id="1"/>
    <w:p>
      <w:pPr>
        <w:widowControl w:val="0"/>
        <w:overflowPunct w:val="0"/>
        <w:adjustRightInd w:val="0"/>
        <w:snapToGrid w:val="0"/>
        <w:spacing w:beforeLines="0" w:afterLines="0" w:line="324" w:lineRule="auto"/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</w:pPr>
    </w:p>
    <w:p>
      <w:pPr>
        <w:widowControl w:val="0"/>
        <w:overflowPunct w:val="0"/>
        <w:adjustRightInd w:val="0"/>
        <w:snapToGrid w:val="0"/>
        <w:spacing w:beforeLines="0" w:afterLines="0" w:line="336" w:lineRule="auto"/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  <w:t>广东精艺金属股份有限公司、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黄裕辉、卫国、杨翔瑞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lang w:val="en-US" w:eastAsia="zh-CN"/>
        </w:rPr>
        <w:t>：</w:t>
      </w:r>
    </w:p>
    <w:p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经查，我局发现广东精艺金属股份有限公司（以下简称精艺股份或公司）存在以下违规行为：</w:t>
      </w:r>
    </w:p>
    <w:p>
      <w:pPr>
        <w:widowControl w:val="0"/>
        <w:numPr>
          <w:ilvl w:val="-1"/>
          <w:numId w:val="0"/>
        </w:numPr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一、未按规定披露公司实际控制人、董事长失信情况。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查，精艺股份实际控制人、董事长黄裕辉被多地人民法院纳入失信被执行人名单。精艺股份在《第八届董事会第一次会议决议公告》等临时报告及相关定期报告中，未如实披露黄裕辉上述失信情况，违反了《上市公司信息披露管理办法》（证监会令第182号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，下同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第三条第一款、《公开发行证券的公司信息披露内容与格式准则第2号——年度报告的内容与格式》（证监会公告〔2021〕15号）第五十三条、《公开发行证券的公司信息披露内容与格式准则第3号——半年度报告的内容与格式》（证监会公告〔2021〕16号）第三十八条的规定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二、公司董事长不具备任职资格。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精艺股份现任董事长黄裕辉被人民法院纳入失信被执行人名单，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构成《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公司法》第一百七十八条第一款第五项规定的不得担任公司董事、监事、高级管理人员情形，违反了《上市公司治理准则》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(证监会公告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〔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5号）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第二十六条的规定。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精艺股份董事长黄裕辉、总经理卫国、董事会秘书杨翔瑞，未能按照《上市公司信息披露管理办法》第三条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第一款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、第四条的规定履行勤勉尽责义务，对公司相关违规行为负有主要责任，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黄裕辉、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杨翔瑞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highlight w:val="none"/>
          <w:lang w:val="en-US" w:eastAsia="zh-CN"/>
        </w:rPr>
        <w:t>公司上述全部违规行为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负有主要责任，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卫国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对公司第一项违规行为负有主要责任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highlight w:val="none"/>
          <w:lang w:val="en-US" w:eastAsia="zh-CN"/>
        </w:rPr>
        <w:t>。</w:t>
      </w:r>
    </w:p>
    <w:p>
      <w:pPr>
        <w:widowControl w:val="0"/>
        <w:wordWrap/>
        <w:overflowPunct w:val="0"/>
        <w:adjustRightInd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default"/>
          <w:spacing w:val="6"/>
          <w:kern w:val="0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24"/>
          <w:highlight w:val="none"/>
          <w:shd w:val="clear"/>
          <w:lang w:val="en-US" w:eastAsia="zh-CN" w:bidi="ar-SA"/>
        </w:rPr>
        <w:t>《中华人民共和国证券法》第一百七十条第二款、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《上市公司信息披露管理办法》第五十一条</w:t>
      </w:r>
      <w:r>
        <w:rPr>
          <w:rFonts w:hint="default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第一款及第二款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、第五十二条</w:t>
      </w:r>
      <w:r>
        <w:rPr>
          <w:rFonts w:hint="default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第一项及第三项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lang w:val="en-US" w:eastAsia="zh-CN"/>
        </w:rPr>
        <w:t>规定，我局决定对精艺股份采取责令改正的监管措施，对黄裕辉、卫国、杨翔瑞采取出具警示函的行政监管措施。你们应在收到本决定书2个交易日内采取有效措施进行整改，更换董事长并如实披露相关信息，并在收到本决定书之日起30日内向我局报送整改报告，并抄报深圳证券交易所。同时，你们应认真吸取教训，切实加强对证券法律法规的学习，依法真实、准确、完整、及时、公平地履行信息披露义务，健全完善公司治理和内部控制制度机制，提高公司治理和规范运作水平。</w:t>
      </w:r>
    </w:p>
    <w:p>
      <w:pPr>
        <w:widowControl w:val="0"/>
        <w:wordWrap/>
        <w:overflowPunct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center"/>
        <w:outlineLvl w:val="9"/>
        <w:rPr>
          <w:rFonts w:hint="eastAsia" w:ascii="仿宋_GB2312" w:hAnsi="Times New Roman" w:eastAsia="仿宋_GB2312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24"/>
          <w:szCs w:val="21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eastAsia="长城仿宋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6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24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both"/>
        <w:outlineLvl w:val="9"/>
        <w:rPr>
          <w:rFonts w:hint="eastAsia" w:ascii="仿宋_GB2312" w:hAnsi="Times New Roman" w:eastAsia="仿宋_GB2312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7B832"/>
    <w:rsid w:val="3FBE6703"/>
    <w:rsid w:val="4FC35CFF"/>
    <w:rsid w:val="5FFD3D35"/>
    <w:rsid w:val="6777B832"/>
    <w:rsid w:val="6DFF7E99"/>
    <w:rsid w:val="6EEF901B"/>
    <w:rsid w:val="6FF7DE58"/>
    <w:rsid w:val="728E0982"/>
    <w:rsid w:val="7AE7E524"/>
    <w:rsid w:val="7E4D276D"/>
    <w:rsid w:val="7EFE9B17"/>
    <w:rsid w:val="7FADB093"/>
    <w:rsid w:val="D7FE29AF"/>
    <w:rsid w:val="DFBFA610"/>
    <w:rsid w:val="FBB49166"/>
    <w:rsid w:val="FB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2025-06-27T06:56:00Z</dcterms:created>
  <dc:creator>成臻</dc:creator>
  <cp:lastModifiedBy>成臻</cp:lastModifiedBy>
  <cp:lastPrinted>2025-06-26T02:37:00Z</cp:lastPrinted>
  <dcterms:modified xsi:type="dcterms:W3CDTF">2025-06-26T15:29:30Z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C6A8D2475DBDF886DAF65C686995C462</vt:lpwstr>
  </property>
</Properties>
</file>