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19" w:lineRule="auto"/>
        <w:ind w:left="23"/>
        <w:rPr>
          <w:rFonts w:hint="default" w:ascii="Arial Narrow" w:hAnsi="Arial Narrow" w:eastAsia="宋体" w:cs="宋体"/>
          <w:sz w:val="24"/>
          <w:szCs w:val="24"/>
          <w:lang w:val="en-US" w:eastAsia="zh-CN"/>
        </w:rPr>
      </w:pPr>
      <w:r>
        <w:rPr>
          <w:rFonts w:ascii="Arial Narrow" w:hAnsi="Arial Narrow" w:eastAsia="宋体" w:cs="宋体"/>
          <w:sz w:val="24"/>
          <w:szCs w:val="24"/>
          <w:lang w:eastAsia="zh-CN"/>
        </w:rPr>
        <w:t>证券代码：60</w:t>
      </w:r>
      <w:r>
        <w:rPr>
          <w:rFonts w:hint="eastAsia" w:ascii="Arial Narrow" w:hAnsi="Arial Narrow" w:eastAsia="宋体" w:cs="宋体"/>
          <w:sz w:val="24"/>
          <w:szCs w:val="24"/>
          <w:lang w:eastAsia="zh-CN"/>
        </w:rPr>
        <w:t>0438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   </w:t>
      </w:r>
      <w:r>
        <w:rPr>
          <w:rFonts w:hint="eastAsia" w:ascii="Arial Narrow" w:hAnsi="Arial Narrow" w:eastAsia="宋体" w:cs="宋体"/>
          <w:sz w:val="24"/>
          <w:szCs w:val="24"/>
          <w:lang w:val="en-US" w:eastAsia="zh-CN"/>
        </w:rPr>
        <w:t xml:space="preserve">       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Arial Narrow" w:hAnsi="Arial Narrow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  </w:t>
      </w:r>
      <w:r>
        <w:rPr>
          <w:rFonts w:ascii="Arial Narrow" w:hAnsi="Arial Narrow" w:eastAsia="宋体" w:cs="宋体"/>
          <w:spacing w:val="-1"/>
          <w:sz w:val="24"/>
          <w:szCs w:val="24"/>
          <w:lang w:eastAsia="zh-CN"/>
        </w:rPr>
        <w:t>证券简称：</w:t>
      </w:r>
      <w:r>
        <w:rPr>
          <w:rFonts w:hint="eastAsia" w:ascii="Arial Narrow" w:hAnsi="Arial Narrow" w:eastAsia="宋体" w:cs="宋体"/>
          <w:spacing w:val="-1"/>
          <w:sz w:val="24"/>
          <w:szCs w:val="24"/>
          <w:lang w:eastAsia="zh-CN"/>
        </w:rPr>
        <w:t>通威股份</w:t>
      </w:r>
      <w:r>
        <w:rPr>
          <w:rFonts w:hint="eastAsia" w:ascii="Arial Narrow" w:hAnsi="Arial Narrow" w:eastAsia="宋体" w:cs="宋体"/>
          <w:spacing w:val="-1"/>
          <w:sz w:val="24"/>
          <w:szCs w:val="24"/>
          <w:lang w:val="en-US" w:eastAsia="zh-CN"/>
        </w:rPr>
        <w:t xml:space="preserve">                          编号：2025-06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line="360" w:lineRule="auto"/>
        <w:ind w:left="0" w:right="0" w:firstLine="0"/>
        <w:jc w:val="center"/>
        <w:textAlignment w:val="baseline"/>
        <w:outlineLvl w:val="0"/>
        <w:rPr>
          <w:rFonts w:ascii="Arial Narrow" w:hAnsi="Arial Narrow" w:eastAsia="宋体" w:cs="宋体"/>
          <w:spacing w:val="3"/>
          <w:sz w:val="32"/>
          <w:szCs w:val="32"/>
          <w:lang w:eastAsia="zh-CN"/>
        </w:rPr>
      </w:pPr>
      <w:r>
        <w:rPr>
          <w:rFonts w:hint="eastAsia" w:ascii="Arial Narrow" w:hAnsi="Arial Narrow" w:eastAsia="宋体" w:cs="宋体"/>
          <w:b/>
          <w:bCs/>
          <w:spacing w:val="-4"/>
          <w:sz w:val="32"/>
          <w:szCs w:val="32"/>
          <w:lang w:eastAsia="zh-CN"/>
        </w:rPr>
        <w:t>通威股份</w:t>
      </w:r>
      <w:r>
        <w:rPr>
          <w:rFonts w:ascii="Arial Narrow" w:hAnsi="Arial Narrow" w:eastAsia="宋体" w:cs="宋体"/>
          <w:b/>
          <w:bCs/>
          <w:spacing w:val="-4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baseline"/>
        <w:outlineLvl w:val="0"/>
        <w:rPr>
          <w:rFonts w:ascii="Arial Narrow" w:hAnsi="Arial Narrow" w:eastAsia="宋体" w:cs="宋体"/>
          <w:sz w:val="32"/>
          <w:szCs w:val="32"/>
          <w:lang w:eastAsia="zh-CN"/>
        </w:rPr>
      </w:pPr>
      <w:r>
        <w:rPr>
          <w:rFonts w:ascii="Arial Narrow" w:hAnsi="Arial Narrow" w:eastAsia="宋体" w:cs="宋体"/>
          <w:b/>
          <w:bCs/>
          <w:spacing w:val="-3"/>
          <w:sz w:val="32"/>
          <w:szCs w:val="32"/>
          <w:lang w:eastAsia="zh-CN"/>
        </w:rPr>
        <w:t>投资者关系活动记录表</w:t>
      </w:r>
    </w:p>
    <w:p>
      <w:pPr>
        <w:spacing w:line="69" w:lineRule="exact"/>
        <w:rPr>
          <w:lang w:eastAsia="zh-CN"/>
        </w:rPr>
      </w:pP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2361"/>
        <w:gridCol w:w="4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8" w:right="109" w:firstLine="1"/>
              <w:jc w:val="left"/>
            </w:pPr>
            <w:r>
              <w:rPr>
                <w:spacing w:val="27"/>
              </w:rPr>
              <w:t>投资者关系活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动类别</w:t>
            </w:r>
          </w:p>
        </w:tc>
        <w:tc>
          <w:tcPr>
            <w:tcW w:w="1415" w:type="pct"/>
            <w:tcBorders>
              <w:right w:val="nil"/>
            </w:tcBorders>
          </w:tcPr>
          <w:p>
            <w:pPr>
              <w:pStyle w:val="7"/>
              <w:spacing w:before="117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☑</w:t>
            </w:r>
            <w:r>
              <w:rPr>
                <w:spacing w:val="-5"/>
                <w:lang w:eastAsia="zh-CN"/>
              </w:rPr>
              <w:t>特定对象调研</w:t>
            </w:r>
          </w:p>
          <w:p>
            <w:pPr>
              <w:pStyle w:val="7"/>
              <w:spacing w:before="182" w:line="219" w:lineRule="auto"/>
              <w:ind w:left="13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□媒体采访</w:t>
            </w:r>
          </w:p>
          <w:p>
            <w:pPr>
              <w:pStyle w:val="7"/>
              <w:spacing w:before="183" w:line="219" w:lineRule="auto"/>
              <w:ind w:left="13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□新闻发布会</w:t>
            </w:r>
          </w:p>
          <w:p>
            <w:pPr>
              <w:pStyle w:val="7"/>
              <w:spacing w:before="183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6"/>
                <w:lang w:eastAsia="zh-CN"/>
              </w:rPr>
              <w:t>现场参观</w:t>
            </w:r>
          </w:p>
          <w:p>
            <w:pPr>
              <w:pStyle w:val="7"/>
              <w:spacing w:before="182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12"/>
                <w:lang w:eastAsia="zh-CN"/>
              </w:rPr>
              <w:t>其他</w:t>
            </w:r>
            <w:r>
              <w:rPr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线上会议</w:t>
            </w:r>
            <w:r>
              <w:rPr>
                <w:u w:val="single"/>
                <w:lang w:eastAsia="zh-CN"/>
              </w:rPr>
              <w:t xml:space="preserve">          </w:t>
            </w:r>
          </w:p>
        </w:tc>
        <w:tc>
          <w:tcPr>
            <w:tcW w:w="2472" w:type="pct"/>
            <w:tcBorders>
              <w:left w:val="nil"/>
            </w:tcBorders>
          </w:tcPr>
          <w:p>
            <w:pPr>
              <w:pStyle w:val="7"/>
              <w:spacing w:before="117" w:line="219" w:lineRule="auto"/>
              <w:ind w:left="19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5"/>
                <w:lang w:eastAsia="zh-CN"/>
              </w:rPr>
              <w:t>分析师会议</w:t>
            </w:r>
          </w:p>
          <w:p>
            <w:pPr>
              <w:pStyle w:val="7"/>
              <w:spacing w:before="183" w:line="219" w:lineRule="auto"/>
              <w:ind w:left="19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业绩说明会</w:t>
            </w:r>
          </w:p>
          <w:p>
            <w:pPr>
              <w:pStyle w:val="7"/>
              <w:spacing w:before="182" w:line="220" w:lineRule="auto"/>
              <w:ind w:left="197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路演活动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6" w:right="109" w:firstLine="2"/>
              <w:jc w:val="left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参与单位名称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及人员姓名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numPr>
                <w:ilvl w:val="0"/>
                <w:numId w:val="1"/>
              </w:numPr>
              <w:spacing w:before="109" w:line="345" w:lineRule="auto"/>
              <w:ind w:right="23"/>
              <w:jc w:val="both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现场调研</w:t>
            </w:r>
          </w:p>
          <w:p>
            <w:pPr>
              <w:pStyle w:val="7"/>
              <w:spacing w:before="109" w:line="276" w:lineRule="auto"/>
              <w:ind w:left="136" w:right="23"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期</w:t>
            </w:r>
            <w:r>
              <w:rPr>
                <w:rFonts w:hint="eastAsia"/>
                <w:lang w:eastAsia="zh-CN"/>
              </w:rPr>
              <w:t>公司</w:t>
            </w:r>
            <w:r>
              <w:rPr>
                <w:rFonts w:hint="eastAsia"/>
                <w:lang w:val="en-US" w:eastAsia="zh-CN"/>
              </w:rPr>
              <w:t>在成都总部接待的机构有景顺长城基金、民生加银基金、嘉实基金、明溪资产、广发证券、华福证券等。</w:t>
            </w:r>
          </w:p>
          <w:p>
            <w:pPr>
              <w:pStyle w:val="7"/>
              <w:numPr>
                <w:ilvl w:val="0"/>
                <w:numId w:val="1"/>
              </w:numPr>
              <w:spacing w:before="109" w:line="345" w:lineRule="auto"/>
              <w:ind w:right="23"/>
              <w:jc w:val="both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线上会议</w:t>
            </w:r>
          </w:p>
          <w:p>
            <w:pPr>
              <w:pStyle w:val="7"/>
              <w:spacing w:before="109" w:line="276" w:lineRule="auto"/>
              <w:ind w:left="136" w:right="23" w:firstLine="240" w:firstLineChars="1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期</w:t>
            </w:r>
            <w:r>
              <w:rPr>
                <w:rFonts w:hint="eastAsia"/>
                <w:lang w:eastAsia="zh-CN"/>
              </w:rPr>
              <w:t>公司与</w:t>
            </w:r>
            <w:r>
              <w:rPr>
                <w:rFonts w:hint="eastAsia"/>
                <w:lang w:val="en-US" w:eastAsia="zh-CN"/>
              </w:rPr>
              <w:t>宁银理财、惠升基金、宝盈基金、兴全基金、博时基金、东证资管</w:t>
            </w:r>
            <w:r>
              <w:rPr>
                <w:rFonts w:hint="eastAsia"/>
                <w:lang w:eastAsia="zh-CN"/>
              </w:rPr>
              <w:t>等机构进行了线上交流。</w:t>
            </w:r>
          </w:p>
          <w:p>
            <w:pPr>
              <w:pStyle w:val="7"/>
              <w:numPr>
                <w:ilvl w:val="0"/>
                <w:numId w:val="1"/>
              </w:numPr>
              <w:spacing w:before="109" w:line="345" w:lineRule="auto"/>
              <w:ind w:right="23"/>
              <w:jc w:val="both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策略会</w:t>
            </w:r>
          </w:p>
          <w:p>
            <w:pPr>
              <w:pStyle w:val="7"/>
              <w:spacing w:before="109" w:line="276" w:lineRule="auto"/>
              <w:ind w:left="136" w:right="23"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  <w:lang w:val="en-US" w:eastAsia="zh-CN"/>
              </w:rPr>
              <w:t>期</w:t>
            </w:r>
            <w:r>
              <w:rPr>
                <w:rFonts w:hint="eastAsia"/>
                <w:lang w:eastAsia="zh-CN"/>
              </w:rPr>
              <w:t>公司</w:t>
            </w:r>
            <w:r>
              <w:rPr>
                <w:rFonts w:hint="eastAsia"/>
                <w:lang w:val="en-US" w:eastAsia="zh-CN"/>
              </w:rPr>
              <w:t>参加了长江证券、东吴证券、中泰证券等券商研究所组织的策略会，</w:t>
            </w:r>
            <w:r>
              <w:rPr>
                <w:rFonts w:hint="eastAsia"/>
                <w:lang w:eastAsia="zh-CN"/>
              </w:rPr>
              <w:t>参加策略会并与公司交流的投资机构有</w:t>
            </w:r>
            <w:r>
              <w:rPr>
                <w:rFonts w:hint="eastAsia"/>
                <w:lang w:val="en-US" w:eastAsia="zh-CN"/>
              </w:rPr>
              <w:t>华泰资产、平安养老、南方基金、交银施罗德基金、工银瑞信基金</w:t>
            </w:r>
            <w:r>
              <w:rPr>
                <w:rFonts w:hint="eastAsia"/>
                <w:lang w:eastAsia="zh-CN"/>
              </w:rPr>
              <w:t>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12" w:type="pct"/>
          </w:tcPr>
          <w:p>
            <w:pPr>
              <w:pStyle w:val="7"/>
              <w:spacing w:before="148" w:line="222" w:lineRule="auto"/>
              <w:ind w:left="128"/>
            </w:pPr>
            <w:r>
              <w:rPr>
                <w:spacing w:val="-6"/>
              </w:rPr>
              <w:t>时间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48" w:line="220" w:lineRule="auto"/>
              <w:ind w:left="116"/>
            </w:pPr>
            <w:r>
              <w:rPr>
                <w:rFonts w:hint="eastAsia"/>
                <w:spacing w:val="-7"/>
              </w:rPr>
              <w:t>202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rFonts w:hint="eastAsia"/>
                <w:spacing w:val="-7"/>
              </w:rPr>
              <w:t>月1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  <w:r>
              <w:rPr>
                <w:rFonts w:hint="eastAsia"/>
                <w:spacing w:val="-7"/>
              </w:rPr>
              <w:t>日</w:t>
            </w:r>
            <w:r>
              <w:rPr>
                <w:rFonts w:hint="eastAsia"/>
                <w:spacing w:val="-7"/>
                <w:lang w:eastAsia="zh-CN"/>
              </w:rPr>
              <w:t>—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  <w:r>
              <w:rPr>
                <w:rFonts w:hint="eastAsia"/>
                <w:spacing w:val="-7"/>
              </w:rPr>
              <w:t>月</w:t>
            </w:r>
            <w:r>
              <w:rPr>
                <w:rFonts w:hint="eastAsia"/>
                <w:spacing w:val="-7"/>
                <w:lang w:val="en-US" w:eastAsia="zh-CN"/>
              </w:rPr>
              <w:t>30</w:t>
            </w:r>
            <w:r>
              <w:rPr>
                <w:rFonts w:hint="eastAsia"/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2" w:type="pct"/>
          </w:tcPr>
          <w:p>
            <w:pPr>
              <w:pStyle w:val="7"/>
              <w:spacing w:before="166" w:line="224" w:lineRule="auto"/>
              <w:ind w:left="117"/>
            </w:pPr>
            <w:r>
              <w:rPr>
                <w:spacing w:val="-3"/>
              </w:rPr>
              <w:t>地点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66" w:line="220" w:lineRule="auto"/>
              <w:ind w:left="12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通威股份成都总部、上海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9" w:right="109"/>
              <w:jc w:val="left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上市公司接待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人员姓名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66" w:line="220" w:lineRule="auto"/>
              <w:ind w:left="12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董事会秘书 严轲</w:t>
            </w:r>
          </w:p>
          <w:p>
            <w:pPr>
              <w:pStyle w:val="7"/>
              <w:spacing w:before="166" w:line="220" w:lineRule="auto"/>
              <w:ind w:left="128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投资者关系经理 钟秋实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53" w:lineRule="auto"/>
              <w:ind w:left="118" w:right="109" w:firstLine="1"/>
              <w:jc w:val="both"/>
              <w:rPr>
                <w:lang w:eastAsia="zh-CN"/>
              </w:rPr>
            </w:pPr>
            <w:r>
              <w:rPr>
                <w:spacing w:val="27"/>
                <w:lang w:eastAsia="zh-CN"/>
              </w:rPr>
              <w:t>投资者关系活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动主要内容介</w:t>
            </w:r>
            <w:r>
              <w:rPr>
                <w:lang w:eastAsia="zh-CN"/>
              </w:rPr>
              <w:t xml:space="preserve"> 绍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公司TNC 2.0技术的提效空间有多少？下半年会改造</w:t>
            </w:r>
            <w:r>
              <w:rPr>
                <w:rFonts w:hint="eastAsia"/>
                <w:b/>
                <w:bCs/>
                <w:lang w:val="en-US" w:eastAsia="zh-CN"/>
              </w:rPr>
              <w:t>多少TNC 2.0产能？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答：公司不断革新TNC核心工艺，将通过TPE边缘钝化、钢网印刷、背面多晶硅栅、908 技术（通威自主研发的0BB 技术）、全面屏等电池、组件一体化提效方案，推动TNC 2.0产品的量产主流功率挡位提升25W以上。在产能改造方面，公司目前已正式发布TNC 2.0产品，下半年将结合自身产品策略及市场反馈等有序推进TNC产能改造工作。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如何看待BC技术与TOPCon及HJT技术的竞争，公司目前是否有BC技术的布局？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/>
                <w:lang w:val="en-US" w:eastAsia="zh-CN"/>
              </w:rPr>
              <w:t>关于BC技术与</w:t>
            </w:r>
            <w:r>
              <w:rPr>
                <w:rFonts w:hint="eastAsia"/>
                <w:lang w:val="en-US" w:eastAsia="zh-CN"/>
              </w:rPr>
              <w:t>其它</w:t>
            </w:r>
            <w:r>
              <w:rPr>
                <w:rFonts w:hint="default"/>
                <w:lang w:val="en-US" w:eastAsia="zh-CN"/>
              </w:rPr>
              <w:t>技术路线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竞争，公司认为</w:t>
            </w:r>
            <w:r>
              <w:rPr>
                <w:rFonts w:hint="eastAsia"/>
                <w:lang w:val="en-US" w:eastAsia="zh-CN"/>
              </w:rPr>
              <w:t>TOPCon、HJT和BC三者</w:t>
            </w:r>
            <w:r>
              <w:rPr>
                <w:rFonts w:hint="default"/>
                <w:lang w:val="en-US" w:eastAsia="zh-CN"/>
              </w:rPr>
              <w:t>并非</w:t>
            </w:r>
            <w:r>
              <w:rPr>
                <w:rFonts w:hint="eastAsia"/>
                <w:lang w:val="en-US" w:eastAsia="zh-CN"/>
              </w:rPr>
              <w:t>是完全</w:t>
            </w:r>
            <w:r>
              <w:rPr>
                <w:rFonts w:hint="default"/>
                <w:lang w:val="en-US" w:eastAsia="zh-CN"/>
              </w:rPr>
              <w:t>替代关系，而是面向不同应用场景的互补性解决方案。</w:t>
            </w:r>
            <w:r>
              <w:rPr>
                <w:rFonts w:hint="eastAsia"/>
                <w:lang w:val="en-US" w:eastAsia="zh-CN"/>
              </w:rPr>
              <w:t>目前来看，</w:t>
            </w:r>
            <w:r>
              <w:rPr>
                <w:rFonts w:hint="default"/>
                <w:lang w:val="en-US" w:eastAsia="zh-CN"/>
              </w:rPr>
              <w:t>TOPCon凭借成熟的</w:t>
            </w:r>
            <w:r>
              <w:rPr>
                <w:rFonts w:hint="eastAsia"/>
                <w:lang w:val="en-US" w:eastAsia="zh-CN"/>
              </w:rPr>
              <w:t>产业生态、</w:t>
            </w:r>
            <w:r>
              <w:rPr>
                <w:rFonts w:hint="default"/>
                <w:lang w:val="en-US" w:eastAsia="zh-CN"/>
              </w:rPr>
              <w:t>量产工艺和持续的降本潜力，在未来</w:t>
            </w:r>
            <w:r>
              <w:rPr>
                <w:rFonts w:hint="eastAsia"/>
                <w:lang w:val="en-US" w:eastAsia="zh-CN"/>
              </w:rPr>
              <w:t>至少2-3年内</w:t>
            </w:r>
            <w:r>
              <w:rPr>
                <w:rFonts w:hint="default"/>
                <w:lang w:val="en-US" w:eastAsia="zh-CN"/>
              </w:rPr>
              <w:t>仍将占据主流地位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而BC</w:t>
            </w:r>
            <w:r>
              <w:rPr>
                <w:rFonts w:hint="eastAsia"/>
                <w:lang w:val="en-US" w:eastAsia="zh-CN"/>
              </w:rPr>
              <w:t>产品当下则凭借其外观美观等特点，更</w:t>
            </w:r>
            <w:r>
              <w:rPr>
                <w:rFonts w:hint="default"/>
                <w:lang w:val="en-US" w:eastAsia="zh-CN"/>
              </w:rPr>
              <w:t>聚焦高端分布式市场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/>
                <w:lang w:val="en-US" w:eastAsia="zh-CN"/>
              </w:rPr>
              <w:t>公司在保持TOPCon技术领先的同时，</w:t>
            </w:r>
            <w:r>
              <w:rPr>
                <w:rFonts w:hint="eastAsia"/>
                <w:lang w:val="en-US" w:eastAsia="zh-CN"/>
              </w:rPr>
              <w:t>也将</w:t>
            </w:r>
            <w:r>
              <w:rPr>
                <w:rFonts w:hint="default"/>
                <w:lang w:val="en-US" w:eastAsia="zh-CN"/>
              </w:rPr>
              <w:t>持续</w:t>
            </w:r>
            <w:r>
              <w:rPr>
                <w:rFonts w:hint="eastAsia"/>
                <w:lang w:val="en-US" w:eastAsia="zh-CN"/>
              </w:rPr>
              <w:t>加大在HJT、BC等新</w:t>
            </w:r>
            <w:r>
              <w:rPr>
                <w:rFonts w:hint="default"/>
                <w:lang w:val="en-US" w:eastAsia="zh-CN"/>
              </w:rPr>
              <w:t>技术</w:t>
            </w:r>
            <w:r>
              <w:rPr>
                <w:rFonts w:hint="eastAsia"/>
                <w:lang w:val="en-US" w:eastAsia="zh-CN"/>
              </w:rPr>
              <w:t>上的</w:t>
            </w:r>
            <w:r>
              <w:rPr>
                <w:rFonts w:hint="default"/>
                <w:lang w:val="en-US" w:eastAsia="zh-CN"/>
              </w:rPr>
              <w:t>研发，通过</w:t>
            </w:r>
            <w:r>
              <w:rPr>
                <w:rFonts w:hint="eastAsia"/>
                <w:lang w:val="en-US" w:eastAsia="zh-CN"/>
              </w:rPr>
              <w:t>多</w:t>
            </w:r>
            <w:r>
              <w:rPr>
                <w:rFonts w:hint="default"/>
                <w:lang w:val="en-US" w:eastAsia="zh-CN"/>
              </w:rPr>
              <w:t>技术路线并行策略满足多元化市场需求，最大化提升产品综合竞争力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default"/>
                <w:lang w:val="en-US" w:eastAsia="zh-CN"/>
              </w:rPr>
              <w:t>在BC技术领域</w:t>
            </w:r>
            <w:r>
              <w:rPr>
                <w:rFonts w:hint="eastAsia"/>
                <w:lang w:val="en-US" w:eastAsia="zh-CN"/>
              </w:rPr>
              <w:t>的布局</w:t>
            </w:r>
            <w:r>
              <w:rPr>
                <w:rFonts w:hint="default"/>
                <w:lang w:val="en-US" w:eastAsia="zh-CN"/>
              </w:rPr>
              <w:t>已</w:t>
            </w:r>
            <w:r>
              <w:rPr>
                <w:rFonts w:hint="eastAsia"/>
                <w:lang w:val="en-US" w:eastAsia="zh-CN"/>
              </w:rPr>
              <w:t>有多年</w:t>
            </w:r>
            <w:r>
              <w:rPr>
                <w:rFonts w:hint="default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目前拥有300MW TBC中试线，并持续在推进该</w:t>
            </w:r>
            <w:r>
              <w:rPr>
                <w:rFonts w:hint="default"/>
                <w:lang w:val="en-US" w:eastAsia="zh-CN"/>
              </w:rPr>
              <w:t>技术路线的研发与中试验证</w:t>
            </w:r>
            <w:r>
              <w:rPr>
                <w:rFonts w:hint="eastAsia"/>
                <w:lang w:val="en-US" w:eastAsia="zh-CN"/>
              </w:rPr>
              <w:t>。目前，公司TBC产品取得了TUV莱茵认证，具备出货资质，中试线210R-66版型批次功率达成660W，处在行业第一梯队。此外，BC作为背交叉电池结构的统称，存在和多种技术结合的可行性，除了TOPCon和BC的结合外，公司也在积极探索其它BC技术路线的可行性，并储备了贱金属应用方案，为后续降本增效方案开辟路径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请问公司今年组件出货的目标以及营销策略？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2024年公司组件销量达45.71GW，出货量连续两年位居全球前五，截至今年6月，通威组件在不到三年的时间内已累计出货100GW，充分体现了市场对公司品牌的认可。但当前光伏产业仍处在深度调整阶段，市场价格相对低迷，公司2025年组件整体销售策略在巩固全球前五基本盘的同时，不会刻意追求市占率，而是进一步聚焦发展质量，通过下沉海外营销渠道，加强本土化客户服务能力，以及TNC 2.0新品带来的差异化竞争，持续提升海外出货占比。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7月公司组件排产趋势变化，如何看待下半年国内装机需求？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公司7月组件排产计划结合行业需求节奏进行阶段性调整，预计排产量将环比有所回落，这一变化与上半年国内抢装潮结束后的市场节奏相符。尽管短期需求波动，但上半年部分集中式项目招标延后，相关订单有望在下半年逐步释放，对国内装机需求形成托底。全年来看，在政策持续推动能源转型的背景下，国内光伏新增装机量仍有望保持同比增长趋势。公司后续也将结合市场需求、自身订单情况及产业链协同等多方面因素，</w:t>
            </w:r>
            <w:r>
              <w:rPr>
                <w:rFonts w:hint="eastAsia"/>
                <w:lang w:val="en-US" w:eastAsia="zh-CN"/>
              </w:rPr>
              <w:t>基于生产组态最优原则，灵活调整组件开工率。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请问公司乐山项目是否复工？另外截至6月底多晶硅环节开工情况及后续排产规划？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随着西南地区逐步进入丰水期，叠加四川能源科技项目（12万吨）技改检修工作已顺利完成，考虑各方面的资源条件，产能优势，经综合评估，公司在5月中旬有序推进能源科技公司复产工作，目前已全面达产达标。截至6月底，公司综合开工率约50%。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公司后期多晶硅生产组态安排将围绕成本要素、团队稳定性、市场环境等综合因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素科学调配各基地产能，动态调整开工情况，全年仍围绕有序控产的原则运行。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6、请问公司目前工业硅、多晶硅、太阳能电池和组件的产能分别有多少？今年是否会有新增产能？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答：截至2024年年底，公司工业硅产能达30万吨、多晶硅产能超90万吨、太阳能电池产能超150GW（TNC）、组件产能超90GW。根据公司业务发展规划，今年公司各环节暂无新增产能。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关注到部分光伏企业有港股上市的想法，请问公司有没有相关打算？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/>
                <w:lang w:val="en-US" w:eastAsia="zh-CN"/>
              </w:rPr>
              <w:t>通威股份始终以开放态度关注境内外资本市场动态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/>
                <w:lang w:val="en-US" w:eastAsia="zh-CN"/>
              </w:rPr>
              <w:t>在全球化战略推进过程中，公司将持续评估各类资本工具对国际化经营的协同价值，包括但不限于拓展海外融资渠道、优化投资者结构等可能性。未来若有需披露的重大资本运作计划，公司将严格按监管规定及时履行信息披露义务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9" w:lineRule="auto"/>
              <w:ind w:left="113" w:right="108" w:firstLine="505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请问公司一季度经营性现金流净额为负主要是什么原因？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公司2025年一季度经营性现金流净额为-14.57亿元，主要为应对二季度国内光伏抢装潮，公司主动增加原材料及成品库存储备，导致现金短期承压。公司资金储备充足，一季度末在手货币资金+可交易金融资产约400亿元，叠加各环节具备成本优势，流动性风险可控。</w:t>
            </w:r>
          </w:p>
        </w:tc>
      </w:tr>
    </w:tbl>
    <w:p>
      <w:pPr>
        <w:spacing w:line="91" w:lineRule="auto"/>
        <w:rPr>
          <w:sz w:val="2"/>
          <w:lang w:eastAsia="zh-CN"/>
        </w:rPr>
      </w:pPr>
    </w:p>
    <w:sectPr>
      <w:pgSz w:w="11907" w:h="16839"/>
      <w:pgMar w:top="1431" w:right="1785" w:bottom="1429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4541E"/>
    <w:multiLevelType w:val="singleLevel"/>
    <w:tmpl w:val="B184541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0EC01F0"/>
    <w:multiLevelType w:val="multilevel"/>
    <w:tmpl w:val="30EC01F0"/>
    <w:lvl w:ilvl="0" w:tentative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16" w:hanging="440"/>
      </w:pPr>
    </w:lvl>
    <w:lvl w:ilvl="2" w:tentative="0">
      <w:start w:val="1"/>
      <w:numFmt w:val="lowerRoman"/>
      <w:lvlText w:val="%3."/>
      <w:lvlJc w:val="right"/>
      <w:pPr>
        <w:ind w:left="1456" w:hanging="440"/>
      </w:pPr>
    </w:lvl>
    <w:lvl w:ilvl="3" w:tentative="0">
      <w:start w:val="1"/>
      <w:numFmt w:val="decimal"/>
      <w:lvlText w:val="%4."/>
      <w:lvlJc w:val="left"/>
      <w:pPr>
        <w:ind w:left="1896" w:hanging="440"/>
      </w:pPr>
    </w:lvl>
    <w:lvl w:ilvl="4" w:tentative="0">
      <w:start w:val="1"/>
      <w:numFmt w:val="lowerLetter"/>
      <w:lvlText w:val="%5)"/>
      <w:lvlJc w:val="left"/>
      <w:pPr>
        <w:ind w:left="2336" w:hanging="440"/>
      </w:pPr>
    </w:lvl>
    <w:lvl w:ilvl="5" w:tentative="0">
      <w:start w:val="1"/>
      <w:numFmt w:val="lowerRoman"/>
      <w:lvlText w:val="%6."/>
      <w:lvlJc w:val="right"/>
      <w:pPr>
        <w:ind w:left="2776" w:hanging="440"/>
      </w:pPr>
    </w:lvl>
    <w:lvl w:ilvl="6" w:tentative="0">
      <w:start w:val="1"/>
      <w:numFmt w:val="decimal"/>
      <w:lvlText w:val="%7."/>
      <w:lvlJc w:val="left"/>
      <w:pPr>
        <w:ind w:left="3216" w:hanging="440"/>
      </w:pPr>
    </w:lvl>
    <w:lvl w:ilvl="7" w:tentative="0">
      <w:start w:val="1"/>
      <w:numFmt w:val="lowerLetter"/>
      <w:lvlText w:val="%8)"/>
      <w:lvlJc w:val="left"/>
      <w:pPr>
        <w:ind w:left="3656" w:hanging="440"/>
      </w:pPr>
    </w:lvl>
    <w:lvl w:ilvl="8" w:tentative="0">
      <w:start w:val="1"/>
      <w:numFmt w:val="lowerRoman"/>
      <w:lvlText w:val="%9."/>
      <w:lvlJc w:val="right"/>
      <w:pPr>
        <w:ind w:left="4096" w:hanging="440"/>
      </w:pPr>
    </w:lvl>
  </w:abstractNum>
  <w:abstractNum w:abstractNumId="2">
    <w:nsid w:val="64133245"/>
    <w:multiLevelType w:val="singleLevel"/>
    <w:tmpl w:val="64133245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U0ZGJhNzlkMDMzZjE2ZWYzNjNkNTY0NGM4NDU5NTkifQ=="/>
  </w:docVars>
  <w:rsids>
    <w:rsidRoot w:val="00132B6D"/>
    <w:rsid w:val="00132B6D"/>
    <w:rsid w:val="00331F12"/>
    <w:rsid w:val="003A6CFD"/>
    <w:rsid w:val="00683645"/>
    <w:rsid w:val="007F42C5"/>
    <w:rsid w:val="0091362C"/>
    <w:rsid w:val="009F4741"/>
    <w:rsid w:val="00A9039C"/>
    <w:rsid w:val="00AB4538"/>
    <w:rsid w:val="00C317EF"/>
    <w:rsid w:val="00C429A0"/>
    <w:rsid w:val="00C508A0"/>
    <w:rsid w:val="00E051F7"/>
    <w:rsid w:val="00EE2C33"/>
    <w:rsid w:val="00F72996"/>
    <w:rsid w:val="00F979D6"/>
    <w:rsid w:val="0B225DFB"/>
    <w:rsid w:val="12C63575"/>
    <w:rsid w:val="180327A7"/>
    <w:rsid w:val="18B01199"/>
    <w:rsid w:val="25D063A7"/>
    <w:rsid w:val="294871F6"/>
    <w:rsid w:val="300F4032"/>
    <w:rsid w:val="32956289"/>
    <w:rsid w:val="37965BD5"/>
    <w:rsid w:val="38AE4472"/>
    <w:rsid w:val="39D52E80"/>
    <w:rsid w:val="3B507E5D"/>
    <w:rsid w:val="3B77553C"/>
    <w:rsid w:val="3DEE79DD"/>
    <w:rsid w:val="3F0142EA"/>
    <w:rsid w:val="41647664"/>
    <w:rsid w:val="47AE0123"/>
    <w:rsid w:val="4D960169"/>
    <w:rsid w:val="54CA6DEF"/>
    <w:rsid w:val="587E2868"/>
    <w:rsid w:val="657D7A00"/>
    <w:rsid w:val="65D75D9B"/>
    <w:rsid w:val="66522FDF"/>
    <w:rsid w:val="6B7878AD"/>
    <w:rsid w:val="6DD16EDF"/>
    <w:rsid w:val="72EA0D6F"/>
    <w:rsid w:val="79CB43E5"/>
    <w:rsid w:val="7CD05C51"/>
    <w:rsid w:val="7E80031E"/>
    <w:rsid w:val="7EA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976</Characters>
  <Lines>33</Lines>
  <Paragraphs>17</Paragraphs>
  <TotalTime>417</TotalTime>
  <ScaleCrop>false</ScaleCrop>
  <LinksUpToDate>false</LinksUpToDate>
  <CharactersWithSpaces>1914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2022-05-06T15:20:00Z</dcterms:created>
  <dc:creator>毋晓妮</dc:creator>
  <cp:lastModifiedBy>钟秋实</cp:lastModifiedBy>
  <cp:lastPrinted>2025-07-02T00:13:17Z</cp:lastPrinted>
  <dcterms:modified xsi:type="dcterms:W3CDTF">2025-07-02T08:10:47Z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2024-05-03T16:40:34Z</vt:filetime>
  </property>
  <property fmtid="{D5CDD505-2E9C-101B-9397-08002B2CF9AE}" pid="4" name="KSOProductBuildVer">
    <vt:lpwstr>2052-12.1.0.16729</vt:lpwstr>
  </property>
  <property fmtid="{D5CDD505-2E9C-101B-9397-08002B2CF9AE}" pid="5" name="ICV">
    <vt:lpwstr>ACF9FDB3F675479B83E8232BB1B90BAF_13</vt:lpwstr>
  </property>
</Properties>
</file>