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A3C13">
      <w:pPr>
        <w:spacing w:after="312" w:afterLines="100" w:line="400" w:lineRule="exact"/>
        <w:rPr>
          <w:b/>
          <w:bCs/>
          <w:iCs/>
          <w:color w:val="000000"/>
          <w:sz w:val="32"/>
          <w:szCs w:val="32"/>
        </w:rPr>
      </w:pPr>
      <w:bookmarkStart w:id="0" w:name="_GoBack"/>
      <w:bookmarkEnd w:id="0"/>
      <w:r>
        <w:rPr>
          <w:b/>
          <w:bCs/>
          <w:iCs/>
          <w:color w:val="000000"/>
          <w:sz w:val="24"/>
        </w:rPr>
        <w:t xml:space="preserve">证券代码：603169                               </w:t>
      </w:r>
      <w:r>
        <w:rPr>
          <w:rFonts w:hint="eastAsia"/>
          <w:b/>
          <w:bCs/>
          <w:iCs/>
          <w:color w:val="000000"/>
          <w:sz w:val="24"/>
        </w:rPr>
        <w:t xml:space="preserve">                                    </w:t>
      </w:r>
      <w:r>
        <w:rPr>
          <w:b/>
          <w:bCs/>
          <w:iCs/>
          <w:color w:val="000000"/>
          <w:sz w:val="24"/>
        </w:rPr>
        <w:t xml:space="preserve"> 证券简称：兰石重装</w:t>
      </w:r>
    </w:p>
    <w:p w14:paraId="5D2F2338">
      <w:pPr>
        <w:spacing w:after="156" w:afterLines="50" w:line="400" w:lineRule="exact"/>
        <w:jc w:val="center"/>
        <w:rPr>
          <w:b/>
          <w:bCs/>
          <w:iCs/>
          <w:color w:val="000000"/>
          <w:sz w:val="32"/>
          <w:szCs w:val="32"/>
        </w:rPr>
      </w:pPr>
      <w:r>
        <w:rPr>
          <w:b/>
          <w:bCs/>
          <w:iCs/>
          <w:color w:val="000000"/>
          <w:sz w:val="32"/>
          <w:szCs w:val="32"/>
        </w:rPr>
        <w:t>兰州兰石重型装备股份有限公司投资者关系活动记录表</w:t>
      </w:r>
    </w:p>
    <w:p w14:paraId="28D622A8">
      <w:pPr>
        <w:spacing w:line="400" w:lineRule="exact"/>
        <w:rPr>
          <w:bCs/>
          <w:iCs/>
          <w:color w:val="000000"/>
          <w:sz w:val="24"/>
        </w:rPr>
      </w:pPr>
      <w:r>
        <w:rPr>
          <w:bCs/>
          <w:iCs/>
          <w:color w:val="000000"/>
          <w:sz w:val="24"/>
        </w:rPr>
        <w:t xml:space="preserve">                                                         202</w:t>
      </w:r>
      <w:r>
        <w:rPr>
          <w:rFonts w:hint="eastAsia"/>
          <w:bCs/>
          <w:iCs/>
          <w:color w:val="000000"/>
          <w:sz w:val="24"/>
        </w:rPr>
        <w:t>5</w:t>
      </w:r>
      <w:r>
        <w:rPr>
          <w:bCs/>
          <w:iCs/>
          <w:color w:val="000000"/>
          <w:sz w:val="24"/>
        </w:rPr>
        <w:t>年</w:t>
      </w:r>
      <w:r>
        <w:rPr>
          <w:rFonts w:hint="eastAsia"/>
          <w:bCs/>
          <w:iCs/>
          <w:color w:val="000000"/>
          <w:sz w:val="24"/>
        </w:rPr>
        <w:t>7</w:t>
      </w:r>
      <w:r>
        <w:rPr>
          <w:bCs/>
          <w:iCs/>
          <w:color w:val="000000"/>
          <w:sz w:val="24"/>
        </w:rPr>
        <w:t>月</w:t>
      </w:r>
      <w:r>
        <w:rPr>
          <w:rFonts w:hint="eastAsia"/>
          <w:bCs/>
          <w:iCs/>
          <w:color w:val="000000"/>
          <w:sz w:val="24"/>
        </w:rPr>
        <w:t>3</w:t>
      </w:r>
      <w:r>
        <w:rPr>
          <w:bCs/>
          <w:iCs/>
          <w:color w:val="000000"/>
          <w:sz w:val="24"/>
        </w:rPr>
        <w:t>日</w:t>
      </w:r>
    </w:p>
    <w:tbl>
      <w:tblPr>
        <w:tblStyle w:val="7"/>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751"/>
      </w:tblGrid>
      <w:tr w14:paraId="3B82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48A321C">
            <w:pPr>
              <w:jc w:val="center"/>
              <w:rPr>
                <w:bCs/>
                <w:iCs/>
                <w:color w:val="000000"/>
                <w:sz w:val="24"/>
              </w:rPr>
            </w:pPr>
            <w:r>
              <w:rPr>
                <w:bCs/>
                <w:iCs/>
                <w:color w:val="000000"/>
                <w:sz w:val="24"/>
              </w:rPr>
              <w:t>投资者关系活动类别</w:t>
            </w:r>
          </w:p>
        </w:tc>
        <w:tc>
          <w:tcPr>
            <w:tcW w:w="6751" w:type="dxa"/>
          </w:tcPr>
          <w:p w14:paraId="0ED3BC9F">
            <w:pPr>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特定对象调研        </w:t>
            </w:r>
            <w:r>
              <w:rPr>
                <w:rFonts w:hint="eastAsia" w:ascii="宋体" w:hAnsi="宋体"/>
                <w:bCs/>
                <w:iCs/>
                <w:color w:val="000000"/>
                <w:sz w:val="22"/>
              </w:rPr>
              <w:t>□</w:t>
            </w:r>
            <w:r>
              <w:rPr>
                <w:rFonts w:hint="eastAsia" w:ascii="宋体" w:hAnsi="宋体"/>
                <w:sz w:val="22"/>
              </w:rPr>
              <w:t>分析师会议</w:t>
            </w:r>
          </w:p>
          <w:p w14:paraId="56183070">
            <w:pPr>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媒体采访            </w:t>
            </w:r>
            <w:r>
              <w:rPr>
                <w:rFonts w:hint="eastAsia" w:ascii="宋体" w:hAnsi="宋体"/>
                <w:bCs/>
                <w:iCs/>
                <w:color w:val="000000"/>
                <w:sz w:val="22"/>
              </w:rPr>
              <w:t>□</w:t>
            </w:r>
            <w:r>
              <w:rPr>
                <w:rFonts w:hint="eastAsia" w:ascii="宋体" w:hAnsi="宋体"/>
                <w:sz w:val="22"/>
              </w:rPr>
              <w:t>业绩说明会</w:t>
            </w:r>
          </w:p>
          <w:p w14:paraId="3D4BDA05">
            <w:pPr>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新闻发布会          </w:t>
            </w:r>
            <w:r>
              <w:rPr>
                <w:rFonts w:hint="eastAsia" w:ascii="宋体" w:hAnsi="宋体"/>
                <w:bCs/>
                <w:iCs/>
                <w:color w:val="000000"/>
                <w:sz w:val="22"/>
              </w:rPr>
              <w:t>□</w:t>
            </w:r>
            <w:r>
              <w:rPr>
                <w:rFonts w:hint="eastAsia" w:ascii="宋体" w:hAnsi="宋体"/>
                <w:sz w:val="22"/>
              </w:rPr>
              <w:t>路演活动</w:t>
            </w:r>
          </w:p>
          <w:p w14:paraId="4BC02920">
            <w:pPr>
              <w:tabs>
                <w:tab w:val="left" w:pos="2580"/>
                <w:tab w:val="center" w:pos="3199"/>
              </w:tabs>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现场参观            </w:t>
            </w:r>
            <w:r>
              <w:rPr>
                <w:rFonts w:hint="eastAsia" w:ascii="宋体" w:hAnsi="宋体"/>
                <w:bCs/>
                <w:iCs/>
                <w:color w:val="000000"/>
                <w:sz w:val="22"/>
              </w:rPr>
              <w:t>□</w:t>
            </w:r>
            <w:r>
              <w:rPr>
                <w:rFonts w:hint="eastAsia" w:ascii="宋体" w:hAnsi="宋体"/>
                <w:sz w:val="22"/>
              </w:rPr>
              <w:t>一对一沟通</w:t>
            </w:r>
          </w:p>
          <w:p w14:paraId="52FB6468">
            <w:pPr>
              <w:tabs>
                <w:tab w:val="center" w:pos="3199"/>
              </w:tabs>
              <w:rPr>
                <w:bCs/>
                <w:iCs/>
                <w:color w:val="000000"/>
                <w:sz w:val="24"/>
              </w:rPr>
            </w:pPr>
            <w:r>
              <w:rPr>
                <w:rFonts w:hint="eastAsia" w:ascii="宋体" w:hAnsi="宋体"/>
                <w:bCs/>
                <w:iCs/>
                <w:color w:val="000000"/>
                <w:sz w:val="22"/>
              </w:rPr>
              <w:t>□</w:t>
            </w:r>
            <w:r>
              <w:rPr>
                <w:rFonts w:hint="eastAsia" w:ascii="宋体" w:hAnsi="宋体"/>
                <w:sz w:val="22"/>
              </w:rPr>
              <w:t>其他（请文字说明其他活动内容）</w:t>
            </w:r>
          </w:p>
        </w:tc>
      </w:tr>
      <w:tr w14:paraId="0999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499D59C6">
            <w:pPr>
              <w:jc w:val="center"/>
              <w:rPr>
                <w:bCs/>
                <w:iCs/>
                <w:color w:val="000000"/>
                <w:sz w:val="24"/>
              </w:rPr>
            </w:pPr>
            <w:r>
              <w:rPr>
                <w:bCs/>
                <w:iCs/>
                <w:color w:val="000000"/>
                <w:sz w:val="24"/>
              </w:rPr>
              <w:t>参与单位名称及人员姓名</w:t>
            </w:r>
          </w:p>
        </w:tc>
        <w:tc>
          <w:tcPr>
            <w:tcW w:w="6751" w:type="dxa"/>
            <w:vAlign w:val="center"/>
          </w:tcPr>
          <w:p w14:paraId="01A390B8">
            <w:pPr>
              <w:jc w:val="left"/>
              <w:rPr>
                <w:rFonts w:eastAsia="楷体"/>
                <w:bCs/>
                <w:iCs/>
                <w:color w:val="000000"/>
                <w:sz w:val="24"/>
              </w:rPr>
            </w:pPr>
            <w:r>
              <w:rPr>
                <w:rFonts w:hint="eastAsia" w:asciiTheme="majorEastAsia" w:hAnsiTheme="majorEastAsia" w:eastAsiaTheme="majorEastAsia" w:cstheme="majorEastAsia"/>
                <w:bCs/>
                <w:iCs/>
                <w:color w:val="000000"/>
                <w:sz w:val="24"/>
              </w:rPr>
              <w:t>中银基金：</w:t>
            </w:r>
            <w:r>
              <w:rPr>
                <w:rFonts w:hint="eastAsia" w:eastAsia="楷体"/>
                <w:bCs/>
                <w:iCs/>
                <w:color w:val="000000"/>
                <w:sz w:val="24"/>
              </w:rPr>
              <w:t>刘腾；</w:t>
            </w:r>
            <w:r>
              <w:rPr>
                <w:rFonts w:hint="eastAsia" w:asciiTheme="majorEastAsia" w:hAnsiTheme="majorEastAsia" w:eastAsiaTheme="majorEastAsia" w:cstheme="majorEastAsia"/>
                <w:bCs/>
                <w:iCs/>
                <w:color w:val="000000"/>
                <w:sz w:val="24"/>
              </w:rPr>
              <w:t>华龙证券</w:t>
            </w:r>
            <w:r>
              <w:rPr>
                <w:rFonts w:hint="eastAsia" w:eastAsia="楷体"/>
                <w:bCs/>
                <w:iCs/>
                <w:color w:val="000000"/>
                <w:sz w:val="24"/>
              </w:rPr>
              <w:t>：杨阳</w:t>
            </w:r>
          </w:p>
        </w:tc>
      </w:tr>
      <w:tr w14:paraId="4D89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49E6BEB2">
            <w:pPr>
              <w:jc w:val="center"/>
              <w:rPr>
                <w:bCs/>
                <w:iCs/>
                <w:color w:val="000000"/>
                <w:sz w:val="24"/>
              </w:rPr>
            </w:pPr>
            <w:r>
              <w:rPr>
                <w:bCs/>
                <w:iCs/>
                <w:color w:val="000000"/>
                <w:sz w:val="24"/>
              </w:rPr>
              <w:t>时间</w:t>
            </w:r>
          </w:p>
        </w:tc>
        <w:tc>
          <w:tcPr>
            <w:tcW w:w="6751" w:type="dxa"/>
            <w:vAlign w:val="center"/>
          </w:tcPr>
          <w:p w14:paraId="4C724515">
            <w:pPr>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rPr>
              <w:t>7</w:t>
            </w:r>
            <w:r>
              <w:rPr>
                <w:bCs/>
                <w:iCs/>
                <w:color w:val="000000"/>
                <w:sz w:val="24"/>
              </w:rPr>
              <w:t>月</w:t>
            </w:r>
            <w:r>
              <w:rPr>
                <w:rFonts w:hint="eastAsia"/>
                <w:bCs/>
                <w:iCs/>
                <w:color w:val="000000"/>
                <w:sz w:val="24"/>
              </w:rPr>
              <w:t>3</w:t>
            </w:r>
            <w:r>
              <w:rPr>
                <w:bCs/>
                <w:iCs/>
                <w:color w:val="000000"/>
                <w:sz w:val="24"/>
              </w:rPr>
              <w:t>日</w:t>
            </w:r>
          </w:p>
        </w:tc>
      </w:tr>
      <w:tr w14:paraId="664A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5FCC938F">
            <w:pPr>
              <w:jc w:val="center"/>
              <w:rPr>
                <w:bCs/>
                <w:iCs/>
                <w:color w:val="000000"/>
                <w:sz w:val="24"/>
              </w:rPr>
            </w:pPr>
            <w:r>
              <w:rPr>
                <w:bCs/>
                <w:iCs/>
                <w:color w:val="000000"/>
                <w:sz w:val="24"/>
              </w:rPr>
              <w:t>地点</w:t>
            </w:r>
          </w:p>
        </w:tc>
        <w:tc>
          <w:tcPr>
            <w:tcW w:w="6751" w:type="dxa"/>
            <w:vAlign w:val="center"/>
          </w:tcPr>
          <w:p w14:paraId="3CA735A4">
            <w:pPr>
              <w:rPr>
                <w:bCs/>
                <w:iCs/>
                <w:color w:val="000000"/>
                <w:sz w:val="24"/>
              </w:rPr>
            </w:pPr>
            <w:r>
              <w:rPr>
                <w:rFonts w:hint="eastAsia"/>
                <w:bCs/>
                <w:iCs/>
                <w:color w:val="000000"/>
                <w:sz w:val="24"/>
              </w:rPr>
              <w:t>兰州兰石重型装备股份有限公司兰州总部</w:t>
            </w:r>
          </w:p>
        </w:tc>
      </w:tr>
      <w:tr w14:paraId="1078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1" w:type="dxa"/>
            <w:vAlign w:val="center"/>
          </w:tcPr>
          <w:p w14:paraId="1719D4EB">
            <w:pPr>
              <w:snapToGrid w:val="0"/>
              <w:jc w:val="center"/>
              <w:rPr>
                <w:bCs/>
                <w:iCs/>
                <w:color w:val="000000"/>
                <w:sz w:val="24"/>
              </w:rPr>
            </w:pPr>
            <w:r>
              <w:rPr>
                <w:bCs/>
                <w:iCs/>
                <w:color w:val="000000"/>
                <w:sz w:val="24"/>
              </w:rPr>
              <w:t>上市公司</w:t>
            </w:r>
          </w:p>
          <w:p w14:paraId="719FF081">
            <w:pPr>
              <w:snapToGrid w:val="0"/>
              <w:jc w:val="center"/>
              <w:rPr>
                <w:bCs/>
                <w:iCs/>
                <w:color w:val="000000"/>
                <w:sz w:val="24"/>
              </w:rPr>
            </w:pPr>
            <w:r>
              <w:rPr>
                <w:bCs/>
                <w:iCs/>
                <w:color w:val="000000"/>
                <w:sz w:val="24"/>
              </w:rPr>
              <w:t>接待人员</w:t>
            </w:r>
          </w:p>
        </w:tc>
        <w:tc>
          <w:tcPr>
            <w:tcW w:w="6751" w:type="dxa"/>
            <w:vAlign w:val="center"/>
          </w:tcPr>
          <w:p w14:paraId="725FF154">
            <w:pPr>
              <w:snapToGrid w:val="0"/>
              <w:rPr>
                <w:bCs/>
                <w:iCs/>
                <w:color w:val="000000"/>
                <w:sz w:val="24"/>
              </w:rPr>
            </w:pPr>
            <w:r>
              <w:rPr>
                <w:rFonts w:hint="eastAsia"/>
                <w:bCs/>
                <w:iCs/>
                <w:color w:val="000000"/>
                <w:sz w:val="24"/>
              </w:rPr>
              <w:t>董事会秘书武锐锐</w:t>
            </w:r>
          </w:p>
        </w:tc>
      </w:tr>
      <w:tr w14:paraId="5F4B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04B2D9DA">
            <w:pPr>
              <w:spacing w:line="360" w:lineRule="auto"/>
              <w:jc w:val="center"/>
              <w:rPr>
                <w:bCs/>
                <w:iCs/>
                <w:color w:val="000000"/>
                <w:sz w:val="24"/>
              </w:rPr>
            </w:pPr>
            <w:r>
              <w:rPr>
                <w:bCs/>
                <w:iCs/>
                <w:color w:val="000000"/>
                <w:sz w:val="24"/>
              </w:rPr>
              <w:t>投资者关系活动主要内容介绍</w:t>
            </w:r>
          </w:p>
        </w:tc>
        <w:tc>
          <w:tcPr>
            <w:tcW w:w="6751" w:type="dxa"/>
            <w:vAlign w:val="center"/>
          </w:tcPr>
          <w:p w14:paraId="4FF3B84E">
            <w:pPr>
              <w:spacing w:line="360" w:lineRule="auto"/>
              <w:ind w:firstLine="482" w:firstLineChars="200"/>
              <w:outlineLvl w:val="0"/>
              <w:rPr>
                <w:rFonts w:ascii="宋体" w:hAnsi="宋体"/>
                <w:b/>
                <w:sz w:val="24"/>
              </w:rPr>
            </w:pPr>
            <w:r>
              <w:rPr>
                <w:rFonts w:hint="eastAsia" w:ascii="宋体" w:hAnsi="宋体"/>
                <w:b/>
                <w:sz w:val="24"/>
              </w:rPr>
              <w:t>一、现场参观环节</w:t>
            </w:r>
          </w:p>
          <w:p w14:paraId="3B4AC352">
            <w:pPr>
              <w:spacing w:line="360" w:lineRule="auto"/>
              <w:ind w:firstLine="480" w:firstLineChars="200"/>
              <w:outlineLvl w:val="0"/>
              <w:rPr>
                <w:sz w:val="24"/>
              </w:rPr>
            </w:pPr>
            <w:r>
              <w:rPr>
                <w:rFonts w:hint="eastAsia"/>
                <w:sz w:val="24"/>
              </w:rPr>
              <w:t>现场依次参观了兰石展馆、重型装备制造车间、数字化指挥中心、高效换热设备车间、氢能应用示范加氢岛，以及万吨级智能化快锻压机超合金材料生产线。</w:t>
            </w:r>
          </w:p>
          <w:p w14:paraId="1F9D4A83">
            <w:pPr>
              <w:spacing w:line="360" w:lineRule="auto"/>
              <w:ind w:firstLine="482" w:firstLineChars="200"/>
              <w:outlineLvl w:val="0"/>
              <w:rPr>
                <w:rFonts w:ascii="宋体" w:hAnsi="宋体"/>
                <w:b/>
                <w:sz w:val="24"/>
              </w:rPr>
            </w:pPr>
            <w:r>
              <w:rPr>
                <w:rFonts w:hint="eastAsia" w:ascii="宋体" w:hAnsi="宋体"/>
                <w:b/>
                <w:sz w:val="24"/>
              </w:rPr>
              <w:t>二、座谈环节</w:t>
            </w:r>
          </w:p>
          <w:p w14:paraId="78E2113C">
            <w:pPr>
              <w:spacing w:line="360" w:lineRule="auto"/>
              <w:ind w:firstLine="482" w:firstLineChars="200"/>
              <w:outlineLvl w:val="0"/>
              <w:rPr>
                <w:rFonts w:ascii="宋体" w:hAnsi="宋体"/>
                <w:b/>
                <w:sz w:val="24"/>
              </w:rPr>
            </w:pPr>
            <w:r>
              <w:rPr>
                <w:rFonts w:hint="eastAsia" w:ascii="宋体" w:hAnsi="宋体"/>
                <w:b/>
                <w:sz w:val="24"/>
              </w:rPr>
              <w:t>（一）公司简介及经营情况介绍</w:t>
            </w:r>
          </w:p>
          <w:p w14:paraId="4D2B75E0">
            <w:pPr>
              <w:spacing w:line="360" w:lineRule="auto"/>
              <w:ind w:firstLine="480" w:firstLineChars="200"/>
              <w:outlineLvl w:val="0"/>
              <w:rPr>
                <w:sz w:val="24"/>
              </w:rPr>
            </w:pPr>
            <w:r>
              <w:rPr>
                <w:rFonts w:hint="eastAsia"/>
                <w:sz w:val="24"/>
              </w:rPr>
              <w:t>公司始建于1953年，是中国石化装备制造业的先行者。经过70余年的发展，公司业务涵盖传统能源装备（炼油化工、煤化工、化工新材料等领域）、新能源装备（核能、氢能、光伏、光热及储能等领域）、工业智能装备（快速锻造液压机组等）以及节能环保装备的研发、设计、制造、检测、检维修服务及工程总承包；金属新材料的研发、生产和销售。</w:t>
            </w:r>
          </w:p>
          <w:p w14:paraId="4625FAE4">
            <w:pPr>
              <w:spacing w:line="360" w:lineRule="auto"/>
              <w:ind w:firstLine="480" w:firstLineChars="200"/>
              <w:outlineLvl w:val="0"/>
              <w:rPr>
                <w:sz w:val="24"/>
              </w:rPr>
            </w:pPr>
            <w:r>
              <w:rPr>
                <w:rFonts w:hint="eastAsia"/>
                <w:sz w:val="24"/>
              </w:rPr>
              <w:t>2024年度，公司实现营业收入57.91亿元，同比增长12.18%；归属于上市公司股东的净利润1.56亿元，同比增长1.59%。2025年第一季度，公司实现营业收入14.12亿元，同比增长52.30%，归属于上市公司股东的净利润1,454.56万元，同比减少56.08%。</w:t>
            </w:r>
          </w:p>
          <w:p w14:paraId="03F5DF9C">
            <w:pPr>
              <w:spacing w:line="360" w:lineRule="auto"/>
              <w:ind w:firstLine="482" w:firstLineChars="200"/>
              <w:outlineLvl w:val="0"/>
              <w:rPr>
                <w:rFonts w:ascii="宋体" w:hAnsi="宋体"/>
                <w:b/>
                <w:sz w:val="24"/>
              </w:rPr>
            </w:pPr>
            <w:r>
              <w:rPr>
                <w:rFonts w:hint="eastAsia" w:ascii="宋体" w:hAnsi="宋体"/>
                <w:b/>
                <w:sz w:val="24"/>
              </w:rPr>
              <w:t>（二）提问交流</w:t>
            </w:r>
          </w:p>
          <w:p w14:paraId="4D36809E">
            <w:pPr>
              <w:spacing w:line="360" w:lineRule="auto"/>
              <w:ind w:firstLine="482" w:firstLineChars="200"/>
              <w:outlineLvl w:val="0"/>
              <w:rPr>
                <w:b/>
                <w:bCs/>
                <w:sz w:val="24"/>
              </w:rPr>
            </w:pPr>
            <w:r>
              <w:rPr>
                <w:b/>
                <w:bCs/>
                <w:sz w:val="24"/>
              </w:rPr>
              <w:t>问题1：</w:t>
            </w:r>
            <w:r>
              <w:rPr>
                <w:rFonts w:hint="eastAsia"/>
                <w:b/>
                <w:bCs/>
                <w:sz w:val="24"/>
              </w:rPr>
              <w:t>请介绍公司在核能装备有哪些优势及未来发展规划。</w:t>
            </w:r>
          </w:p>
          <w:p w14:paraId="5D7F2E5D">
            <w:pPr>
              <w:spacing w:line="360" w:lineRule="auto"/>
              <w:ind w:firstLine="480" w:firstLineChars="200"/>
              <w:outlineLvl w:val="0"/>
              <w:rPr>
                <w:sz w:val="24"/>
              </w:rPr>
            </w:pPr>
            <w:r>
              <w:rPr>
                <w:rFonts w:hint="eastAsia"/>
                <w:sz w:val="24"/>
              </w:rPr>
              <w:t>公司在核能领域拥有一类放射性物品运输容器制造许可证、民用核安全设备制造许可证等多个核领域资质证书并培育了一支近200名核级焊工及核级无损检测持证人员的专业队伍。业务覆盖从上游核燃料领域装备，中游核电站装备，到下游核乏燃料循环、核环保装备的核能装备全产业链。在核能市场相关政策利好推动下，公司将进一步巩固深化三代核电设备市场开发，借助公司在四代高温气冷堆设备制造、乏燃料后处理设备制造及服务的先发优势，加速四代核电装备及乏燃料后处理市场的开拓。</w:t>
            </w:r>
            <w:r>
              <w:rPr>
                <w:sz w:val="24"/>
              </w:rPr>
              <w:t>同时公司将加强与核工业西南物理研究院、中国科学院合肥物质科学研究院等离子体物理研究所等研究院的合作，将聚变堆装备作为公司核能装备产业发展的重要目标。</w:t>
            </w:r>
          </w:p>
          <w:p w14:paraId="5F5F379B">
            <w:pPr>
              <w:spacing w:line="360" w:lineRule="auto"/>
              <w:ind w:firstLine="482" w:firstLineChars="200"/>
              <w:outlineLvl w:val="0"/>
              <w:rPr>
                <w:sz w:val="24"/>
              </w:rPr>
            </w:pPr>
            <w:r>
              <w:rPr>
                <w:rFonts w:hint="eastAsia"/>
                <w:b/>
                <w:bCs/>
                <w:sz w:val="24"/>
              </w:rPr>
              <w:t>问题2：公司2023年收购超合金公司后拓展了金属新材料板块，请介绍下金属新材料板块的产品及订单情况</w:t>
            </w:r>
            <w:r>
              <w:rPr>
                <w:rFonts w:hint="eastAsia"/>
                <w:sz w:val="24"/>
              </w:rPr>
              <w:t>。</w:t>
            </w:r>
          </w:p>
          <w:p w14:paraId="26B298EF">
            <w:pPr>
              <w:spacing w:line="360" w:lineRule="auto"/>
              <w:ind w:firstLine="480" w:firstLineChars="200"/>
              <w:outlineLvl w:val="0"/>
              <w:rPr>
                <w:sz w:val="24"/>
              </w:rPr>
            </w:pPr>
            <w:r>
              <w:rPr>
                <w:rFonts w:hint="eastAsia"/>
                <w:sz w:val="24"/>
              </w:rPr>
              <w:t>为培育壮大新能源装备及新材料业务，加快转型升级步伐，公司2023年收购了超合金公司股权。目前，公司金属新材料板块产品主要覆盖高温耐蚀合金、钛合金、铜合金、特殊不锈钢和特种结构钢材料族群，广泛应用于清洁能源、石油化工、航空航天、海工舰船、节能环保等领域。2024年获得金属新材料订单9.18亿元，同比增长25.41%。</w:t>
            </w:r>
          </w:p>
          <w:p w14:paraId="1BFD4190">
            <w:pPr>
              <w:spacing w:line="360" w:lineRule="auto"/>
              <w:ind w:firstLine="482" w:firstLineChars="200"/>
              <w:outlineLvl w:val="0"/>
              <w:rPr>
                <w:b/>
                <w:bCs/>
                <w:sz w:val="24"/>
              </w:rPr>
            </w:pPr>
            <w:r>
              <w:rPr>
                <w:rFonts w:hint="eastAsia"/>
                <w:b/>
                <w:bCs/>
                <w:sz w:val="24"/>
              </w:rPr>
              <w:t>问题3：请介绍下公司万吨智能化快锻压机超合金生产线有什么优势？</w:t>
            </w:r>
          </w:p>
          <w:p w14:paraId="375C32D7">
            <w:pPr>
              <w:spacing w:line="360" w:lineRule="auto"/>
              <w:ind w:firstLine="480" w:firstLineChars="200"/>
              <w:outlineLvl w:val="0"/>
              <w:rPr>
                <w:sz w:val="24"/>
              </w:rPr>
            </w:pPr>
            <w:r>
              <w:rPr>
                <w:rFonts w:hint="eastAsia"/>
                <w:sz w:val="24"/>
              </w:rPr>
              <w:t>该生产线是国内首台套万吨智能化快锻压机超合金生产线，致力于在高温及有色合金材料领域，打造国内领先、行业一流，工艺布局科学、生产流程高效、设备智能高端的大型锻件研发制造基地。</w:t>
            </w:r>
            <w:r>
              <w:rPr>
                <w:sz w:val="24"/>
              </w:rPr>
              <w:t>项目核心设备125MN快锻液压机组由</w:t>
            </w:r>
            <w:r>
              <w:rPr>
                <w:rFonts w:hint="eastAsia"/>
                <w:sz w:val="24"/>
              </w:rPr>
              <w:t>公司</w:t>
            </w:r>
            <w:r>
              <w:rPr>
                <w:sz w:val="24"/>
              </w:rPr>
              <w:t>自主研制，具有生产效率高、产品质量稳定、节能环保等显著优势，全面实现生产过程全自动化、智能化控制，可锻造核电、航空、航天、船舶、石化、电力、新能源等领域用高温合金、钛合金、耐蚀合金、不锈钢、特钢等特种合金材料，锻造能力达到国际先进水平。</w:t>
            </w:r>
          </w:p>
          <w:p w14:paraId="38805D31">
            <w:pPr>
              <w:spacing w:line="336" w:lineRule="auto"/>
              <w:ind w:firstLine="482" w:firstLineChars="200"/>
              <w:outlineLvl w:val="0"/>
              <w:rPr>
                <w:b/>
                <w:bCs/>
                <w:sz w:val="24"/>
              </w:rPr>
            </w:pPr>
            <w:r>
              <w:rPr>
                <w:rFonts w:hint="eastAsia"/>
                <w:b/>
                <w:bCs/>
                <w:sz w:val="24"/>
              </w:rPr>
              <w:t>问题4：公司煤化工业务情况如何？</w:t>
            </w:r>
          </w:p>
          <w:p w14:paraId="2E7CB9C1">
            <w:pPr>
              <w:spacing w:line="336" w:lineRule="auto"/>
              <w:ind w:firstLine="480" w:firstLineChars="200"/>
              <w:outlineLvl w:val="0"/>
              <w:rPr>
                <w:b/>
                <w:bCs/>
                <w:sz w:val="24"/>
              </w:rPr>
            </w:pPr>
            <w:r>
              <w:rPr>
                <w:sz w:val="24"/>
              </w:rPr>
              <w:t>公司布局煤化工领域时间较早，2015年公司为进一步拓展新疆煤化工市场，在新疆哈密布局了生产基地，当前新疆基地已与兰州基地形成合力，辐射新疆、陕北、内蒙、宁夏煤化工市场。同时，公司深耕能源装备制造领域70余年，积累了丰富的技术及客户资源优势，同时拥有多种煤化工领域设备的制造能力，以及煤化工业务的EPC总承包能力。</w:t>
            </w:r>
          </w:p>
        </w:tc>
      </w:tr>
      <w:tr w14:paraId="2AF3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701" w:type="dxa"/>
            <w:vAlign w:val="center"/>
          </w:tcPr>
          <w:p w14:paraId="2F111554">
            <w:pPr>
              <w:spacing w:line="360" w:lineRule="auto"/>
              <w:jc w:val="center"/>
              <w:rPr>
                <w:bCs/>
                <w:iCs/>
                <w:color w:val="000000"/>
                <w:sz w:val="24"/>
              </w:rPr>
            </w:pPr>
            <w:r>
              <w:rPr>
                <w:bCs/>
                <w:iCs/>
                <w:color w:val="000000"/>
                <w:sz w:val="24"/>
              </w:rPr>
              <w:t>附件清单</w:t>
            </w:r>
          </w:p>
        </w:tc>
        <w:tc>
          <w:tcPr>
            <w:tcW w:w="6751" w:type="dxa"/>
            <w:vAlign w:val="center"/>
          </w:tcPr>
          <w:p w14:paraId="78EBC426">
            <w:pPr>
              <w:spacing w:line="360" w:lineRule="auto"/>
              <w:jc w:val="center"/>
              <w:rPr>
                <w:bCs/>
                <w:iCs/>
                <w:color w:val="000000"/>
                <w:sz w:val="24"/>
              </w:rPr>
            </w:pPr>
            <w:r>
              <w:rPr>
                <w:bCs/>
                <w:iCs/>
                <w:color w:val="000000"/>
                <w:sz w:val="24"/>
              </w:rPr>
              <w:t>无</w:t>
            </w:r>
          </w:p>
        </w:tc>
      </w:tr>
      <w:tr w14:paraId="3A65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01" w:type="dxa"/>
            <w:vAlign w:val="center"/>
          </w:tcPr>
          <w:p w14:paraId="21FE3653">
            <w:pPr>
              <w:spacing w:line="360" w:lineRule="auto"/>
              <w:jc w:val="center"/>
              <w:rPr>
                <w:bCs/>
                <w:iCs/>
                <w:color w:val="000000"/>
                <w:sz w:val="24"/>
              </w:rPr>
            </w:pPr>
            <w:r>
              <w:rPr>
                <w:bCs/>
                <w:iCs/>
                <w:color w:val="000000"/>
                <w:sz w:val="24"/>
              </w:rPr>
              <w:t>日期</w:t>
            </w:r>
          </w:p>
        </w:tc>
        <w:tc>
          <w:tcPr>
            <w:tcW w:w="6751" w:type="dxa"/>
            <w:vAlign w:val="center"/>
          </w:tcPr>
          <w:p w14:paraId="2C2DB8D6">
            <w:pPr>
              <w:spacing w:line="360" w:lineRule="auto"/>
              <w:jc w:val="center"/>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rPr>
              <w:t>7</w:t>
            </w:r>
            <w:r>
              <w:rPr>
                <w:bCs/>
                <w:iCs/>
                <w:color w:val="000000"/>
                <w:sz w:val="24"/>
              </w:rPr>
              <w:t>月</w:t>
            </w:r>
            <w:r>
              <w:rPr>
                <w:rFonts w:hint="eastAsia"/>
                <w:bCs/>
                <w:iCs/>
                <w:color w:val="000000"/>
                <w:sz w:val="24"/>
              </w:rPr>
              <w:t>3</w:t>
            </w:r>
            <w:r>
              <w:rPr>
                <w:bCs/>
                <w:iCs/>
                <w:color w:val="000000"/>
                <w:sz w:val="24"/>
              </w:rPr>
              <w:t>日</w:t>
            </w:r>
          </w:p>
        </w:tc>
      </w:tr>
    </w:tbl>
    <w:p w14:paraId="5C42C65B">
      <w:pPr>
        <w:spacing w:line="360" w:lineRule="auto"/>
        <w:jc w:val="left"/>
        <w:rPr>
          <w:bCs/>
          <w:iCs/>
          <w:color w:val="000000"/>
          <w:sz w:val="24"/>
        </w:rPr>
      </w:pPr>
    </w:p>
    <w:sectPr>
      <w:footerReference r:id="rId3" w:type="default"/>
      <w:pgSz w:w="11906" w:h="16838"/>
      <w:pgMar w:top="1134" w:right="1800" w:bottom="993" w:left="1800" w:header="851"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51118"/>
    </w:sdtPr>
    <w:sdtContent>
      <w:p w14:paraId="5B73F718">
        <w:pPr>
          <w:pStyle w:val="4"/>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p w14:paraId="063C09D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drawingGridHorizontalSpacing w:val="105"/>
  <w:drawingGridVerticalSpacing w:val="156"/>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F"/>
    <w:rsid w:val="000C660F"/>
    <w:rsid w:val="000F4966"/>
    <w:rsid w:val="001D5161"/>
    <w:rsid w:val="00237FD5"/>
    <w:rsid w:val="00353D43"/>
    <w:rsid w:val="00381F6C"/>
    <w:rsid w:val="004A41FC"/>
    <w:rsid w:val="004E39DE"/>
    <w:rsid w:val="005159AD"/>
    <w:rsid w:val="007A01BF"/>
    <w:rsid w:val="007B1C4B"/>
    <w:rsid w:val="007E4197"/>
    <w:rsid w:val="008061D7"/>
    <w:rsid w:val="00C067B8"/>
    <w:rsid w:val="00C42083"/>
    <w:rsid w:val="00D14063"/>
    <w:rsid w:val="00E30EA0"/>
    <w:rsid w:val="00F12F1E"/>
    <w:rsid w:val="056B20F3"/>
    <w:rsid w:val="10725EA8"/>
    <w:rsid w:val="360C1571"/>
    <w:rsid w:val="47316473"/>
    <w:rsid w:val="59D32470"/>
    <w:rsid w:val="62AE21E1"/>
    <w:rsid w:val="69937090"/>
    <w:rsid w:val="7C984E7D"/>
    <w:rsid w:val="7DBF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99"/>
    <w:rPr>
      <w:b/>
      <w:bCs/>
    </w:rPr>
  </w:style>
  <w:style w:type="character" w:styleId="9">
    <w:name w:val="Hyperlink"/>
    <w:basedOn w:val="8"/>
    <w:qFormat/>
    <w:uiPriority w:val="0"/>
    <w:rPr>
      <w:color w:val="0000FF"/>
      <w:u w:val="single"/>
    </w:rPr>
  </w:style>
  <w:style w:type="character" w:styleId="10">
    <w:name w:val="annotation reference"/>
    <w:basedOn w:val="8"/>
    <w:link w:val="11"/>
    <w:unhideWhenUsed/>
    <w:qFormat/>
    <w:uiPriority w:val="0"/>
    <w:rPr>
      <w:sz w:val="21"/>
      <w:szCs w:val="21"/>
    </w:rPr>
  </w:style>
  <w:style w:type="paragraph" w:customStyle="1" w:styleId="11">
    <w:name w:val="_Style 139"/>
    <w:basedOn w:val="1"/>
    <w:link w:val="10"/>
    <w:qFormat/>
    <w:uiPriority w:val="0"/>
    <w:pPr>
      <w:spacing w:after="120"/>
    </w:pPr>
    <w:rPr>
      <w:rFonts w:ascii="Calibri" w:hAnsi="Calibri" w:eastAsia="微软雅黑"/>
      <w:kern w:val="0"/>
      <w:szCs w:val="21"/>
    </w:rPr>
  </w:style>
  <w:style w:type="character" w:customStyle="1" w:styleId="12">
    <w:name w:val="页眉 Char"/>
    <w:basedOn w:val="8"/>
    <w:link w:val="5"/>
    <w:qFormat/>
    <w:uiPriority w:val="0"/>
    <w:rPr>
      <w:rFonts w:ascii="Times New Roman" w:hAnsi="Times New Roman" w:eastAsia="宋体"/>
      <w:kern w:val="2"/>
      <w:sz w:val="18"/>
      <w:szCs w:val="18"/>
    </w:rPr>
  </w:style>
  <w:style w:type="character" w:customStyle="1" w:styleId="13">
    <w:name w:val="页脚 Char"/>
    <w:basedOn w:val="8"/>
    <w:link w:val="4"/>
    <w:qFormat/>
    <w:uiPriority w:val="99"/>
    <w:rPr>
      <w:rFonts w:ascii="Times New Roman" w:hAnsi="Times New Roman" w:eastAsia="宋体"/>
      <w:kern w:val="2"/>
      <w:sz w:val="18"/>
      <w:szCs w:val="18"/>
    </w:rPr>
  </w:style>
  <w:style w:type="character" w:customStyle="1" w:styleId="14">
    <w:name w:val="批注框文本 Char"/>
    <w:basedOn w:val="8"/>
    <w:link w:val="3"/>
    <w:semiHidden/>
    <w:qFormat/>
    <w:uiPriority w:val="99"/>
    <w:rPr>
      <w:rFonts w:ascii="Times New Roman" w:hAnsi="Times New Roman" w:eastAsia="宋体"/>
      <w:kern w:val="2"/>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列出段落1"/>
    <w:basedOn w:val="1"/>
    <w:qFormat/>
    <w:uiPriority w:val="34"/>
    <w:pPr>
      <w:ind w:firstLine="420" w:firstLineChars="200"/>
    </w:pPr>
  </w:style>
  <w:style w:type="character" w:customStyle="1" w:styleId="17">
    <w:name w:val="批注文字 Char"/>
    <w:basedOn w:val="8"/>
    <w:link w:val="2"/>
    <w:semiHidden/>
    <w:qFormat/>
    <w:uiPriority w:val="99"/>
    <w:rPr>
      <w:rFonts w:ascii="Times New Roman" w:hAnsi="Times New Roman" w:eastAsia="宋体"/>
      <w:kern w:val="2"/>
      <w:sz w:val="21"/>
      <w:szCs w:val="24"/>
    </w:rPr>
  </w:style>
  <w:style w:type="character" w:customStyle="1" w:styleId="18">
    <w:name w:val="批注主题 Char"/>
    <w:basedOn w:val="17"/>
    <w:link w:val="6"/>
    <w:semiHidden/>
    <w:qFormat/>
    <w:uiPriority w:val="99"/>
    <w:rPr>
      <w:rFonts w:ascii="Times New Roman" w:hAnsi="Times New Roman" w:eastAsia="宋体"/>
      <w:b/>
      <w:bCs/>
      <w:kern w:val="2"/>
      <w:sz w:val="21"/>
      <w:szCs w:val="24"/>
    </w:rPr>
  </w:style>
  <w:style w:type="character" w:customStyle="1" w:styleId="19">
    <w:name w:val="批注文字 Char3"/>
    <w:basedOn w:val="8"/>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www.sdwmbbs.com</Company>
  <Pages>3</Pages>
  <Words>1491</Words>
  <Characters>1581</Characters>
  <Lines>12</Lines>
  <Paragraphs>3</Paragraphs>
  <TotalTime>6</TotalTime>
  <ScaleCrop>false</ScaleCrop>
  <LinksUpToDate>false</LinksUpToDate>
  <CharactersWithSpaces>1748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2025-07-03T08:05:00Z</dcterms:created>
  <dc:creator>深度完美技术论坛</dc:creator>
  <cp:lastModifiedBy>wxx</cp:lastModifiedBy>
  <cp:lastPrinted>2025-06-26T08:49:00Z</cp:lastPrinted>
  <dcterms:modified xsi:type="dcterms:W3CDTF">2025-07-03T09:09:09Z</dcterms:modified>
  <dc:title>证券代码： 300219                                  证券简称：鸿利光电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665F8D6930854DC39708A79F40F683C1_13</vt:lpwstr>
  </property>
  <property fmtid="{D5CDD505-2E9C-101B-9397-08002B2CF9AE}" pid="4" name="KSOTemplateDocerSaveRecord">
    <vt:lpwstr>eyJoZGlkIjoiNjQwMmUyMzE5NDRmMGM3YzY1YmNhZGJjMDRjOTBiODEiLCJ1c2VySWQiOiI2NjQ2OTg1NjEifQ==</vt:lpwstr>
  </property>
</Properties>
</file>