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A9677" w14:textId="77777777" w:rsidR="00FE2B22" w:rsidRDefault="00000000">
      <w:pPr>
        <w:keepNext/>
        <w:keepLines/>
        <w:spacing w:before="260" w:after="260" w:line="360" w:lineRule="auto"/>
        <w:jc w:val="center"/>
        <w:outlineLvl w:val="1"/>
        <w:rPr>
          <w:rFonts w:ascii="宋体" w:hAnsi="宋体"/>
          <w:b/>
          <w:bCs/>
          <w:iCs/>
          <w:sz w:val="24"/>
          <w:szCs w:val="24"/>
        </w:rPr>
      </w:pPr>
      <w:r>
        <w:rPr>
          <w:rFonts w:ascii="仿宋_GB2312" w:eastAsia="仿宋_GB2312" w:hAnsi="仿宋_GB2312" w:cs="仿宋_GB2312" w:hint="eastAsia"/>
          <w:iCs/>
          <w:sz w:val="24"/>
          <w:szCs w:val="24"/>
        </w:rPr>
        <w:t>证券代码：600415                                 证券简称：小商品城</w:t>
      </w:r>
      <w:r>
        <w:rPr>
          <w:rFonts w:ascii="宋体" w:hAnsi="宋体"/>
          <w:b/>
          <w:bCs/>
          <w:iCs/>
          <w:sz w:val="24"/>
          <w:szCs w:val="24"/>
        </w:rPr>
        <w:t xml:space="preserve"> </w:t>
      </w:r>
    </w:p>
    <w:p w14:paraId="6C5DD870" w14:textId="77777777" w:rsidR="00FE2B22" w:rsidRDefault="00000000">
      <w:pPr>
        <w:keepNext/>
        <w:keepLines/>
        <w:jc w:val="center"/>
        <w:outlineLvl w:val="1"/>
        <w:rPr>
          <w:rFonts w:ascii="黑体" w:eastAsia="黑体" w:hAnsi="黑体" w:cs="黑体"/>
          <w:sz w:val="32"/>
          <w:szCs w:val="32"/>
        </w:rPr>
      </w:pPr>
      <w:r>
        <w:rPr>
          <w:rFonts w:ascii="黑体" w:eastAsia="黑体" w:hAnsi="黑体" w:cs="黑体" w:hint="eastAsia"/>
          <w:sz w:val="32"/>
          <w:szCs w:val="32"/>
        </w:rPr>
        <w:t>浙江中国小商品城集团股份有限公司</w:t>
      </w:r>
    </w:p>
    <w:p w14:paraId="2C9AEFA2" w14:textId="77777777" w:rsidR="00FE2B22" w:rsidRDefault="00000000">
      <w:pPr>
        <w:keepNext/>
        <w:keepLines/>
        <w:jc w:val="center"/>
        <w:outlineLvl w:val="1"/>
        <w:rPr>
          <w:rFonts w:ascii="黑体" w:eastAsia="黑体" w:hAnsi="黑体" w:cs="黑体"/>
          <w:sz w:val="32"/>
          <w:szCs w:val="32"/>
        </w:rPr>
      </w:pPr>
      <w:r>
        <w:rPr>
          <w:rFonts w:ascii="黑体" w:eastAsia="黑体" w:hAnsi="黑体" w:cs="黑体" w:hint="eastAsia"/>
          <w:sz w:val="32"/>
          <w:szCs w:val="32"/>
        </w:rPr>
        <w:t>投资者关系活动记录表</w:t>
      </w:r>
    </w:p>
    <w:p w14:paraId="12A62BD2" w14:textId="77777777" w:rsidR="00FE2B22" w:rsidRDefault="00000000">
      <w:pPr>
        <w:keepNext/>
        <w:keepLines/>
        <w:spacing w:beforeLines="50" w:before="156" w:afterLines="50" w:after="156" w:line="360" w:lineRule="auto"/>
        <w:jc w:val="right"/>
        <w:outlineLvl w:val="1"/>
        <w:rPr>
          <w:rFonts w:ascii="仿宋_GB2312" w:eastAsia="仿宋_GB2312" w:hAnsi="仿宋_GB2312" w:cs="仿宋_GB2312"/>
          <w:sz w:val="24"/>
          <w:szCs w:val="24"/>
        </w:rPr>
      </w:pPr>
      <w:r>
        <w:rPr>
          <w:rFonts w:ascii="仿宋_GB2312" w:eastAsia="仿宋_GB2312" w:hAnsi="仿宋_GB2312" w:cs="仿宋_GB2312" w:hint="eastAsia"/>
          <w:sz w:val="24"/>
          <w:szCs w:val="24"/>
        </w:rPr>
        <w:t>编号：2025-008</w:t>
      </w: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6379"/>
      </w:tblGrid>
      <w:tr w:rsidR="00FE2B22" w14:paraId="57070E9C" w14:textId="77777777">
        <w:tc>
          <w:tcPr>
            <w:tcW w:w="2411" w:type="dxa"/>
            <w:vAlign w:val="center"/>
          </w:tcPr>
          <w:p w14:paraId="034080E7" w14:textId="77777777" w:rsidR="00FE2B22" w:rsidRDefault="00000000">
            <w:pPr>
              <w:spacing w:line="360" w:lineRule="auto"/>
              <w:jc w:val="center"/>
              <w:rPr>
                <w:rFonts w:ascii="宋体" w:hAnsi="宋体" w:cs="黑体"/>
                <w:iCs/>
                <w:sz w:val="24"/>
                <w:szCs w:val="24"/>
              </w:rPr>
            </w:pPr>
            <w:r>
              <w:rPr>
                <w:rFonts w:ascii="宋体" w:hAnsi="宋体" w:cs="黑体" w:hint="eastAsia"/>
                <w:iCs/>
                <w:sz w:val="24"/>
                <w:szCs w:val="24"/>
              </w:rPr>
              <w:t>投资者关系活动类别</w:t>
            </w:r>
          </w:p>
        </w:tc>
        <w:tc>
          <w:tcPr>
            <w:tcW w:w="6379" w:type="dxa"/>
          </w:tcPr>
          <w:p w14:paraId="4CB8528A" w14:textId="77777777" w:rsidR="00FE2B22" w:rsidRDefault="00000000">
            <w:pPr>
              <w:spacing w:line="360" w:lineRule="auto"/>
              <w:rPr>
                <w:rFonts w:ascii="宋体" w:hAnsi="宋体" w:cs="仿宋_GB2312"/>
                <w:bCs/>
                <w:iCs/>
                <w:sz w:val="24"/>
                <w:szCs w:val="24"/>
              </w:rPr>
            </w:pPr>
            <w:r>
              <w:rPr>
                <w:rFonts w:ascii="宋体" w:hAnsi="宋体" w:cs="仿宋_GB2312" w:hint="eastAsia"/>
                <w:bCs/>
                <w:iCs/>
                <w:sz w:val="24"/>
                <w:szCs w:val="24"/>
              </w:rPr>
              <w:t>□</w:t>
            </w:r>
            <w:r>
              <w:rPr>
                <w:rFonts w:ascii="宋体" w:hAnsi="宋体" w:cs="仿宋_GB2312" w:hint="eastAsia"/>
                <w:sz w:val="24"/>
                <w:szCs w:val="24"/>
              </w:rPr>
              <w:t xml:space="preserve">特定对象调研        </w:t>
            </w:r>
            <w:r>
              <w:rPr>
                <w:rFonts w:ascii="宋体" w:hAnsi="宋体" w:cs="仿宋_GB2312" w:hint="eastAsia"/>
                <w:bCs/>
                <w:iCs/>
                <w:sz w:val="24"/>
                <w:szCs w:val="24"/>
              </w:rPr>
              <w:t>□</w:t>
            </w:r>
            <w:r>
              <w:rPr>
                <w:rFonts w:ascii="宋体" w:hAnsi="宋体" w:cs="仿宋_GB2312" w:hint="eastAsia"/>
                <w:sz w:val="24"/>
                <w:szCs w:val="24"/>
              </w:rPr>
              <w:t>分析师会议</w:t>
            </w:r>
          </w:p>
          <w:p w14:paraId="771D4756" w14:textId="77777777" w:rsidR="00FE2B22" w:rsidRDefault="00000000">
            <w:pPr>
              <w:spacing w:line="360" w:lineRule="auto"/>
              <w:rPr>
                <w:rFonts w:ascii="宋体" w:hAnsi="宋体" w:cs="仿宋_GB2312"/>
                <w:bCs/>
                <w:iCs/>
                <w:sz w:val="24"/>
                <w:szCs w:val="24"/>
              </w:rPr>
            </w:pPr>
            <w:r>
              <w:rPr>
                <w:rFonts w:ascii="宋体" w:hAnsi="宋体" w:cs="仿宋_GB2312" w:hint="eastAsia"/>
                <w:bCs/>
                <w:iCs/>
                <w:sz w:val="24"/>
                <w:szCs w:val="24"/>
              </w:rPr>
              <w:t>□</w:t>
            </w:r>
            <w:r>
              <w:rPr>
                <w:rFonts w:ascii="宋体" w:hAnsi="宋体" w:cs="仿宋_GB2312" w:hint="eastAsia"/>
                <w:sz w:val="24"/>
                <w:szCs w:val="24"/>
              </w:rPr>
              <w:t xml:space="preserve">媒体采访            </w:t>
            </w:r>
            <w:r>
              <w:rPr>
                <w:rFonts w:ascii="宋体" w:hAnsi="宋体" w:cs="仿宋_GB2312" w:hint="eastAsia"/>
                <w:bCs/>
                <w:iCs/>
                <w:sz w:val="24"/>
                <w:szCs w:val="24"/>
              </w:rPr>
              <w:t>□</w:t>
            </w:r>
            <w:r>
              <w:rPr>
                <w:rFonts w:ascii="宋体" w:hAnsi="宋体" w:cs="仿宋_GB2312" w:hint="eastAsia"/>
                <w:sz w:val="24"/>
                <w:szCs w:val="24"/>
              </w:rPr>
              <w:t>业绩说明会</w:t>
            </w:r>
          </w:p>
          <w:p w14:paraId="6AA14D57" w14:textId="77777777" w:rsidR="00FE2B22" w:rsidRDefault="00000000">
            <w:pPr>
              <w:spacing w:line="360" w:lineRule="auto"/>
              <w:rPr>
                <w:rFonts w:ascii="宋体" w:hAnsi="宋体" w:cs="仿宋_GB2312"/>
                <w:bCs/>
                <w:iCs/>
                <w:sz w:val="24"/>
                <w:szCs w:val="24"/>
              </w:rPr>
            </w:pPr>
            <w:r>
              <w:rPr>
                <w:rFonts w:ascii="宋体" w:hAnsi="宋体" w:cs="仿宋_GB2312" w:hint="eastAsia"/>
                <w:bCs/>
                <w:iCs/>
                <w:sz w:val="24"/>
                <w:szCs w:val="24"/>
              </w:rPr>
              <w:t>□</w:t>
            </w:r>
            <w:r>
              <w:rPr>
                <w:rFonts w:ascii="宋体" w:hAnsi="宋体" w:cs="仿宋_GB2312" w:hint="eastAsia"/>
                <w:sz w:val="24"/>
                <w:szCs w:val="24"/>
              </w:rPr>
              <w:t xml:space="preserve">新闻发布会          </w:t>
            </w:r>
            <w:r>
              <w:rPr>
                <w:rFonts w:ascii="宋体" w:hAnsi="宋体" w:cs="仿宋_GB2312" w:hint="eastAsia"/>
                <w:bCs/>
                <w:iCs/>
                <w:sz w:val="24"/>
                <w:szCs w:val="24"/>
              </w:rPr>
              <w:t>☑</w:t>
            </w:r>
            <w:r>
              <w:rPr>
                <w:rFonts w:ascii="宋体" w:hAnsi="宋体" w:cs="仿宋_GB2312" w:hint="eastAsia"/>
                <w:sz w:val="24"/>
                <w:szCs w:val="24"/>
              </w:rPr>
              <w:t>路演活动</w:t>
            </w:r>
          </w:p>
          <w:p w14:paraId="610D54DB" w14:textId="77777777" w:rsidR="00FE2B22" w:rsidRDefault="00000000">
            <w:pPr>
              <w:tabs>
                <w:tab w:val="left" w:pos="2690"/>
                <w:tab w:val="center" w:pos="3199"/>
              </w:tabs>
              <w:spacing w:line="360" w:lineRule="auto"/>
              <w:rPr>
                <w:rFonts w:ascii="宋体" w:hAnsi="宋体" w:cs="仿宋_GB2312"/>
                <w:bCs/>
                <w:iCs/>
                <w:sz w:val="24"/>
                <w:szCs w:val="24"/>
              </w:rPr>
            </w:pPr>
            <w:r>
              <w:rPr>
                <w:rFonts w:ascii="宋体" w:hAnsi="宋体" w:cs="仿宋_GB2312" w:hint="eastAsia"/>
                <w:bCs/>
                <w:iCs/>
                <w:sz w:val="24"/>
                <w:szCs w:val="24"/>
              </w:rPr>
              <w:t>☑</w:t>
            </w:r>
            <w:r>
              <w:rPr>
                <w:rFonts w:ascii="宋体" w:hAnsi="宋体" w:cs="仿宋_GB2312" w:hint="eastAsia"/>
                <w:sz w:val="24"/>
                <w:szCs w:val="24"/>
              </w:rPr>
              <w:t xml:space="preserve">现场参观            </w:t>
            </w:r>
            <w:r>
              <w:rPr>
                <w:rFonts w:ascii="宋体" w:hAnsi="宋体" w:cs="仿宋_GB2312" w:hint="eastAsia"/>
                <w:bCs/>
                <w:iCs/>
                <w:sz w:val="24"/>
                <w:szCs w:val="24"/>
              </w:rPr>
              <w:t>☑</w:t>
            </w:r>
            <w:r>
              <w:rPr>
                <w:rFonts w:ascii="宋体" w:hAnsi="宋体" w:cs="仿宋_GB2312" w:hint="eastAsia"/>
                <w:sz w:val="24"/>
                <w:szCs w:val="24"/>
              </w:rPr>
              <w:t>电话会议</w:t>
            </w:r>
          </w:p>
          <w:p w14:paraId="156C2FE1" w14:textId="77777777" w:rsidR="00FE2B22" w:rsidRDefault="00000000">
            <w:pPr>
              <w:tabs>
                <w:tab w:val="center" w:pos="3199"/>
              </w:tabs>
              <w:spacing w:line="360" w:lineRule="auto"/>
              <w:rPr>
                <w:rFonts w:ascii="宋体" w:hAnsi="宋体" w:cs="仿宋_GB2312"/>
                <w:bCs/>
                <w:iCs/>
                <w:sz w:val="24"/>
                <w:szCs w:val="24"/>
              </w:rPr>
            </w:pPr>
            <w:r>
              <w:rPr>
                <w:rFonts w:ascii="宋体" w:hAnsi="宋体" w:cs="仿宋_GB2312" w:hint="eastAsia"/>
                <w:bCs/>
                <w:iCs/>
                <w:sz w:val="24"/>
                <w:szCs w:val="24"/>
              </w:rPr>
              <w:t>□</w:t>
            </w:r>
            <w:r>
              <w:rPr>
                <w:rFonts w:ascii="宋体" w:hAnsi="宋体" w:cs="仿宋_GB2312" w:hint="eastAsia"/>
                <w:sz w:val="24"/>
                <w:szCs w:val="24"/>
              </w:rPr>
              <w:t>其他 （</w:t>
            </w:r>
            <w:r>
              <w:rPr>
                <w:rFonts w:ascii="宋体" w:hAnsi="宋体" w:cs="仿宋_GB2312" w:hint="eastAsia"/>
                <w:sz w:val="24"/>
                <w:szCs w:val="24"/>
                <w:u w:val="single"/>
              </w:rPr>
              <w:t>请文字说明其他活动内容）</w:t>
            </w:r>
          </w:p>
        </w:tc>
      </w:tr>
      <w:tr w:rsidR="00FE2B22" w14:paraId="7C51E963" w14:textId="77777777">
        <w:tc>
          <w:tcPr>
            <w:tcW w:w="2411" w:type="dxa"/>
            <w:vAlign w:val="center"/>
          </w:tcPr>
          <w:p w14:paraId="70FAC1EB" w14:textId="77777777" w:rsidR="00FE2B22" w:rsidRDefault="00000000">
            <w:pPr>
              <w:spacing w:line="360" w:lineRule="auto"/>
              <w:jc w:val="center"/>
              <w:rPr>
                <w:rFonts w:ascii="宋体" w:hAnsi="宋体" w:cs="黑体"/>
                <w:iCs/>
                <w:sz w:val="24"/>
                <w:szCs w:val="24"/>
              </w:rPr>
            </w:pPr>
            <w:r>
              <w:rPr>
                <w:rFonts w:ascii="宋体" w:hAnsi="宋体" w:cs="黑体" w:hint="eastAsia"/>
                <w:iCs/>
                <w:sz w:val="24"/>
                <w:szCs w:val="24"/>
              </w:rPr>
              <w:t>参与单位名称</w:t>
            </w:r>
          </w:p>
        </w:tc>
        <w:tc>
          <w:tcPr>
            <w:tcW w:w="6379" w:type="dxa"/>
            <w:vAlign w:val="center"/>
          </w:tcPr>
          <w:p w14:paraId="5B9AEA38" w14:textId="01555A46" w:rsidR="00FE2B22" w:rsidRDefault="00000000">
            <w:pPr>
              <w:tabs>
                <w:tab w:val="center" w:pos="2798"/>
              </w:tabs>
              <w:spacing w:line="360" w:lineRule="auto"/>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国金基金、天风证券、景顺长城、东方财富、博时基金、华宝基金、易方达基金、长江证券、广发基金、天弘基金、银华基金、永赢基金、泰达宏利、南方基金、民生加银基金、博道基金、大成基金、中融基金、汇添富基金、安信证券、融通基金、国海证券、大家资产、山证资管、国海富兰克林、华商基金、华西自营、兴业证券、同犇投资、中邮基金、海富通基金、长城基金、鹏华基金、交银基金、申万宏源、平安基金、高毅资产、天风证券、国盛证券、花旗私行、人寿资产、财通证券、华福证券、混沌投资、重阳投资、华创基金、东吴证券、恒立私募、法巴资管、安联投资、西部利得、瑞银证券、宏利基金、中欧基金、诺德基金、银河基金、友邦保险、敦和资管、伟星资本、开域资本、瀚亚投资、North Rock、Pickers Capital、Polymer、Pinpoint、Black Rock、Point 72、Dymon Asi</w:t>
            </w:r>
            <w:r w:rsidR="00112D40">
              <w:rPr>
                <w:rFonts w:ascii="仿宋_GB2312" w:eastAsia="仿宋_GB2312" w:hAnsi="仿宋_GB2312" w:cs="仿宋_GB2312" w:hint="eastAsia"/>
                <w:bCs/>
                <w:iCs/>
                <w:sz w:val="24"/>
                <w:szCs w:val="24"/>
              </w:rPr>
              <w:t>a</w:t>
            </w:r>
            <w:r>
              <w:rPr>
                <w:rFonts w:ascii="仿宋_GB2312" w:eastAsia="仿宋_GB2312" w:hAnsi="仿宋_GB2312" w:cs="仿宋_GB2312" w:hint="eastAsia"/>
                <w:bCs/>
                <w:iCs/>
                <w:sz w:val="24"/>
                <w:szCs w:val="24"/>
              </w:rPr>
              <w:t>、Brilliance等200余家机构。</w:t>
            </w:r>
          </w:p>
        </w:tc>
      </w:tr>
      <w:tr w:rsidR="00FE2B22" w14:paraId="12C96176" w14:textId="77777777">
        <w:tc>
          <w:tcPr>
            <w:tcW w:w="2411" w:type="dxa"/>
            <w:vAlign w:val="center"/>
          </w:tcPr>
          <w:p w14:paraId="7E9BE2D3" w14:textId="77777777" w:rsidR="00FE2B22" w:rsidRDefault="00000000">
            <w:pPr>
              <w:spacing w:line="360" w:lineRule="auto"/>
              <w:jc w:val="center"/>
              <w:rPr>
                <w:rFonts w:ascii="宋体" w:hAnsi="宋体" w:cs="黑体"/>
                <w:iCs/>
                <w:sz w:val="24"/>
                <w:szCs w:val="24"/>
              </w:rPr>
            </w:pPr>
            <w:r>
              <w:rPr>
                <w:rFonts w:ascii="宋体" w:hAnsi="宋体" w:cs="黑体" w:hint="eastAsia"/>
                <w:iCs/>
                <w:sz w:val="24"/>
                <w:szCs w:val="24"/>
              </w:rPr>
              <w:t>会议时间</w:t>
            </w:r>
          </w:p>
        </w:tc>
        <w:tc>
          <w:tcPr>
            <w:tcW w:w="6379" w:type="dxa"/>
            <w:vAlign w:val="center"/>
          </w:tcPr>
          <w:p w14:paraId="6239FCCD" w14:textId="77777777" w:rsidR="00FE2B22" w:rsidRDefault="00000000">
            <w:pPr>
              <w:spacing w:line="360" w:lineRule="auto"/>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2025年6月23日-7月4日</w:t>
            </w:r>
          </w:p>
        </w:tc>
      </w:tr>
      <w:tr w:rsidR="00FE2B22" w14:paraId="58AC16BB" w14:textId="77777777">
        <w:tc>
          <w:tcPr>
            <w:tcW w:w="2411" w:type="dxa"/>
            <w:vAlign w:val="center"/>
          </w:tcPr>
          <w:p w14:paraId="760B77AE" w14:textId="77777777" w:rsidR="00FE2B22" w:rsidRDefault="00000000">
            <w:pPr>
              <w:spacing w:line="360" w:lineRule="auto"/>
              <w:jc w:val="center"/>
              <w:rPr>
                <w:rFonts w:ascii="宋体" w:hAnsi="宋体" w:cs="黑体"/>
                <w:iCs/>
                <w:sz w:val="24"/>
                <w:szCs w:val="24"/>
              </w:rPr>
            </w:pPr>
            <w:r>
              <w:rPr>
                <w:rFonts w:ascii="宋体" w:hAnsi="宋体" w:cs="黑体" w:hint="eastAsia"/>
                <w:iCs/>
                <w:sz w:val="24"/>
                <w:szCs w:val="24"/>
              </w:rPr>
              <w:t>会议地点</w:t>
            </w:r>
          </w:p>
        </w:tc>
        <w:tc>
          <w:tcPr>
            <w:tcW w:w="6379" w:type="dxa"/>
            <w:vAlign w:val="center"/>
          </w:tcPr>
          <w:p w14:paraId="5B3D10F3" w14:textId="77777777" w:rsidR="00FE2B22" w:rsidRDefault="00000000">
            <w:pPr>
              <w:spacing w:line="360" w:lineRule="auto"/>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商城集团大厦会议室等</w:t>
            </w:r>
          </w:p>
        </w:tc>
      </w:tr>
      <w:tr w:rsidR="00FE2B22" w14:paraId="7EEB0211" w14:textId="77777777">
        <w:tc>
          <w:tcPr>
            <w:tcW w:w="2411" w:type="dxa"/>
            <w:vAlign w:val="center"/>
          </w:tcPr>
          <w:p w14:paraId="64C1F394" w14:textId="77777777" w:rsidR="00FE2B22" w:rsidRDefault="00000000">
            <w:pPr>
              <w:spacing w:line="360" w:lineRule="auto"/>
              <w:jc w:val="center"/>
              <w:rPr>
                <w:rFonts w:ascii="宋体" w:hAnsi="宋体" w:cs="黑体"/>
                <w:iCs/>
                <w:sz w:val="24"/>
                <w:szCs w:val="24"/>
              </w:rPr>
            </w:pPr>
            <w:r>
              <w:rPr>
                <w:rFonts w:ascii="宋体" w:hAnsi="宋体" w:cs="黑体" w:hint="eastAsia"/>
                <w:iCs/>
                <w:sz w:val="24"/>
                <w:szCs w:val="24"/>
              </w:rPr>
              <w:t>上市公司接待人员</w:t>
            </w:r>
          </w:p>
        </w:tc>
        <w:tc>
          <w:tcPr>
            <w:tcW w:w="6379" w:type="dxa"/>
            <w:vAlign w:val="center"/>
          </w:tcPr>
          <w:p w14:paraId="53E2336E" w14:textId="77777777" w:rsidR="00FE2B22" w:rsidRDefault="00000000">
            <w:pPr>
              <w:spacing w:line="360" w:lineRule="auto"/>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董事会秘书：许杭</w:t>
            </w:r>
          </w:p>
          <w:p w14:paraId="6F59FBB6" w14:textId="77777777" w:rsidR="00FE2B22" w:rsidRDefault="00000000">
            <w:pPr>
              <w:spacing w:line="360" w:lineRule="auto"/>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lastRenderedPageBreak/>
              <w:t>证券事务代表：何志超</w:t>
            </w:r>
          </w:p>
          <w:p w14:paraId="5F88B3E4" w14:textId="77777777" w:rsidR="00FE2B22" w:rsidRDefault="00000000">
            <w:pPr>
              <w:spacing w:line="360" w:lineRule="auto"/>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公司证券部</w:t>
            </w:r>
          </w:p>
        </w:tc>
      </w:tr>
      <w:tr w:rsidR="00FE2B22" w14:paraId="533FEED3" w14:textId="77777777">
        <w:trPr>
          <w:trHeight w:val="490"/>
        </w:trPr>
        <w:tc>
          <w:tcPr>
            <w:tcW w:w="2411" w:type="dxa"/>
            <w:vAlign w:val="center"/>
          </w:tcPr>
          <w:p w14:paraId="19770D12" w14:textId="77777777" w:rsidR="00FE2B22" w:rsidRDefault="00000000">
            <w:pPr>
              <w:spacing w:line="360" w:lineRule="auto"/>
              <w:jc w:val="center"/>
              <w:rPr>
                <w:rFonts w:ascii="宋体" w:hAnsi="宋体" w:cs="黑体"/>
                <w:iCs/>
                <w:sz w:val="24"/>
                <w:szCs w:val="24"/>
              </w:rPr>
            </w:pPr>
            <w:r>
              <w:rPr>
                <w:rFonts w:ascii="宋体" w:hAnsi="宋体" w:cs="黑体" w:hint="eastAsia"/>
                <w:iCs/>
                <w:sz w:val="24"/>
                <w:szCs w:val="24"/>
              </w:rPr>
              <w:lastRenderedPageBreak/>
              <w:t>投资者关系活动主要内容介绍</w:t>
            </w:r>
          </w:p>
        </w:tc>
        <w:tc>
          <w:tcPr>
            <w:tcW w:w="6379" w:type="dxa"/>
          </w:tcPr>
          <w:p w14:paraId="68E822E5" w14:textId="77777777" w:rsidR="00FE2B22" w:rsidRDefault="00000000">
            <w:pPr>
              <w:numPr>
                <w:ilvl w:val="0"/>
                <w:numId w:val="1"/>
              </w:numPr>
              <w:spacing w:line="360" w:lineRule="auto"/>
              <w:rPr>
                <w:rFonts w:ascii="仿宋_GB2312" w:eastAsia="仿宋_GB2312" w:hAnsi="仿宋_GB2312" w:cs="仿宋_GB2312"/>
                <w:b/>
                <w:iCs/>
                <w:sz w:val="24"/>
                <w:szCs w:val="24"/>
              </w:rPr>
            </w:pPr>
            <w:r>
              <w:rPr>
                <w:rFonts w:ascii="仿宋_GB2312" w:eastAsia="仿宋_GB2312" w:hAnsi="仿宋_GB2312" w:cs="仿宋_GB2312" w:hint="eastAsia"/>
                <w:b/>
                <w:iCs/>
                <w:sz w:val="24"/>
                <w:szCs w:val="24"/>
              </w:rPr>
              <w:t>公司董事长辞职有何考量？对公司有什么影响吗？</w:t>
            </w:r>
          </w:p>
          <w:p w14:paraId="1B3D9A72" w14:textId="657FF212" w:rsidR="00FE2B22" w:rsidRDefault="00000000">
            <w:pPr>
              <w:tabs>
                <w:tab w:val="center" w:pos="4153"/>
              </w:tabs>
              <w:spacing w:line="360" w:lineRule="auto"/>
              <w:ind w:firstLineChars="200" w:firstLine="480"/>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答：公司于近日收到王栋先生的辞职报告，因组织上工作调动，王栋先生拟调任至义乌市商务局任党委书记</w:t>
            </w:r>
            <w:r w:rsidR="00622E0E">
              <w:rPr>
                <w:rFonts w:ascii="仿宋_GB2312" w:eastAsia="仿宋_GB2312" w:hAnsi="仿宋_GB2312" w:cs="仿宋_GB2312" w:hint="eastAsia"/>
                <w:bCs/>
                <w:iCs/>
                <w:sz w:val="24"/>
                <w:szCs w:val="24"/>
              </w:rPr>
              <w:t>、</w:t>
            </w:r>
            <w:r>
              <w:rPr>
                <w:rFonts w:ascii="仿宋_GB2312" w:eastAsia="仿宋_GB2312" w:hAnsi="仿宋_GB2312" w:cs="仿宋_GB2312" w:hint="eastAsia"/>
                <w:bCs/>
                <w:iCs/>
                <w:sz w:val="24"/>
                <w:szCs w:val="24"/>
              </w:rPr>
              <w:t>局长一职，亦属于关键重要岗位，将在全市层面统筹研究数贸模式及国贸综合改革，从更大层面抓好全市的商贸。</w:t>
            </w:r>
          </w:p>
          <w:p w14:paraId="170A641C" w14:textId="77777777" w:rsidR="00FE2B22" w:rsidRDefault="00000000">
            <w:pPr>
              <w:tabs>
                <w:tab w:val="center" w:pos="4153"/>
              </w:tabs>
              <w:spacing w:line="360" w:lineRule="auto"/>
              <w:ind w:firstLineChars="200" w:firstLine="480"/>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王栋先生的调任体现了“以市场经验赋能行政决策”的改革思路，从企业到政府，由点到面。未来公司的发展和战略不会因为董事长人事的变动而改变，王栋先生在商务局任职也有望推动政府政策与市场需求更精准对接，在更高的平台更好地推动义乌国际贸易高质量发展。</w:t>
            </w:r>
          </w:p>
          <w:p w14:paraId="45BEDC5A" w14:textId="77777777" w:rsidR="00FE2B22" w:rsidRDefault="00000000">
            <w:pPr>
              <w:spacing w:line="360" w:lineRule="auto"/>
              <w:ind w:firstLineChars="200" w:firstLine="482"/>
              <w:rPr>
                <w:rFonts w:ascii="仿宋_GB2312" w:eastAsia="仿宋_GB2312" w:hAnsi="仿宋_GB2312" w:cs="仿宋_GB2312"/>
                <w:b/>
                <w:iCs/>
                <w:sz w:val="24"/>
                <w:szCs w:val="24"/>
              </w:rPr>
            </w:pPr>
            <w:r>
              <w:rPr>
                <w:rFonts w:ascii="仿宋_GB2312" w:eastAsia="仿宋_GB2312" w:hAnsi="仿宋_GB2312" w:cs="仿宋_GB2312" w:hint="eastAsia"/>
                <w:b/>
                <w:iCs/>
                <w:sz w:val="24"/>
                <w:szCs w:val="24"/>
              </w:rPr>
              <w:t>2.拟任董事长的情况能介绍一下吗？</w:t>
            </w:r>
          </w:p>
          <w:p w14:paraId="5364F226" w14:textId="77777777" w:rsidR="00FE2B22" w:rsidRDefault="00000000">
            <w:pPr>
              <w:tabs>
                <w:tab w:val="center" w:pos="4153"/>
              </w:tabs>
              <w:spacing w:line="360" w:lineRule="auto"/>
              <w:ind w:firstLineChars="200" w:firstLine="480"/>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答：根据义乌市人民政府推荐，拟提名陈德占先生任公司第九届董事会董事长。陈德占先生于2019年6月至2020年12月任义乌市水务建设集团有限公司党委书记、董事长，2020年12月至2022年5月，任上市公司义乌华鼎锦纶股份有限公司总经理，2022年5月至2025年6月任义乌市国有资本运营有限公司党委书记、董事长。</w:t>
            </w:r>
          </w:p>
          <w:p w14:paraId="5D5D20AF" w14:textId="1E5853F0" w:rsidR="00FE2B22" w:rsidRDefault="00000000">
            <w:pPr>
              <w:tabs>
                <w:tab w:val="center" w:pos="4153"/>
              </w:tabs>
              <w:spacing w:line="360" w:lineRule="auto"/>
              <w:ind w:firstLineChars="200" w:firstLine="480"/>
              <w:rPr>
                <w:rFonts w:ascii="仿宋_GB2312" w:eastAsia="仿宋_GB2312" w:hAnsi="仿宋_GB2312" w:cs="仿宋_GB2312"/>
                <w:b/>
                <w:iCs/>
                <w:sz w:val="24"/>
                <w:szCs w:val="24"/>
              </w:rPr>
            </w:pPr>
            <w:r>
              <w:rPr>
                <w:rFonts w:ascii="仿宋_GB2312" w:eastAsia="仿宋_GB2312" w:hAnsi="仿宋_GB2312" w:cs="仿宋_GB2312" w:hint="eastAsia"/>
                <w:bCs/>
                <w:iCs/>
                <w:sz w:val="24"/>
                <w:szCs w:val="24"/>
              </w:rPr>
              <w:t>陈德占先生曾在小商品城工作十年，在任职义乌国资运营公司董事长期间，充分发挥国企逆周期调节作用，推动国企优质资源向优质公司集聚，具备丰富的资本运作与风险管控经验。</w:t>
            </w:r>
          </w:p>
          <w:p w14:paraId="3A3090A1" w14:textId="35DEC48D" w:rsidR="00FE2B22" w:rsidRDefault="00000000">
            <w:pPr>
              <w:spacing w:line="360" w:lineRule="auto"/>
              <w:ind w:firstLineChars="200" w:firstLine="482"/>
              <w:rPr>
                <w:rFonts w:ascii="仿宋_GB2312" w:eastAsia="仿宋_GB2312" w:hAnsi="仿宋_GB2312" w:cs="仿宋_GB2312"/>
                <w:b/>
                <w:iCs/>
                <w:sz w:val="24"/>
                <w:szCs w:val="24"/>
              </w:rPr>
            </w:pPr>
            <w:r>
              <w:rPr>
                <w:rFonts w:ascii="仿宋_GB2312" w:eastAsia="仿宋_GB2312" w:hAnsi="仿宋_GB2312" w:cs="仿宋_GB2312" w:hint="eastAsia"/>
                <w:b/>
                <w:iCs/>
                <w:sz w:val="24"/>
                <w:szCs w:val="24"/>
              </w:rPr>
              <w:t>3.全球数贸中</w:t>
            </w:r>
            <w:r w:rsidR="00112D40">
              <w:rPr>
                <w:rFonts w:ascii="仿宋_GB2312" w:eastAsia="仿宋_GB2312" w:hAnsi="仿宋_GB2312" w:cs="仿宋_GB2312" w:hint="eastAsia"/>
                <w:b/>
                <w:iCs/>
                <w:sz w:val="24"/>
                <w:szCs w:val="24"/>
              </w:rPr>
              <w:t>心</w:t>
            </w:r>
            <w:r>
              <w:rPr>
                <w:rFonts w:ascii="仿宋_GB2312" w:eastAsia="仿宋_GB2312" w:hAnsi="仿宋_GB2312" w:cs="仿宋_GB2312" w:hint="eastAsia"/>
                <w:b/>
                <w:iCs/>
                <w:sz w:val="24"/>
                <w:szCs w:val="24"/>
              </w:rPr>
              <w:t>第二批招商的情况怎么样？</w:t>
            </w:r>
          </w:p>
          <w:p w14:paraId="691C1718" w14:textId="4869EF74" w:rsidR="00FE2B22" w:rsidRDefault="00000000">
            <w:pPr>
              <w:tabs>
                <w:tab w:val="center" w:pos="4153"/>
              </w:tabs>
              <w:spacing w:line="360" w:lineRule="auto"/>
              <w:ind w:firstLineChars="200" w:firstLine="480"/>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答：全球数贸中心第二批婴幼童成长用品、护肤及医美用品两大核心行业于6月29日正式启动招商，不仅线上报名通道瞬间挤爆，线下咨询点更是排起“长龙”，首日即有超过3</w:t>
            </w:r>
            <w:r w:rsidR="00675608">
              <w:rPr>
                <w:rFonts w:ascii="仿宋_GB2312" w:eastAsia="仿宋_GB2312" w:hAnsi="仿宋_GB2312" w:cs="仿宋_GB2312" w:hint="eastAsia"/>
                <w:bCs/>
                <w:iCs/>
                <w:sz w:val="24"/>
                <w:szCs w:val="24"/>
              </w:rPr>
              <w:t>,</w:t>
            </w:r>
            <w:r>
              <w:rPr>
                <w:rFonts w:ascii="仿宋_GB2312" w:eastAsia="仿宋_GB2312" w:hAnsi="仿宋_GB2312" w:cs="仿宋_GB2312" w:hint="eastAsia"/>
                <w:bCs/>
                <w:iCs/>
                <w:sz w:val="24"/>
                <w:szCs w:val="24"/>
              </w:rPr>
              <w:t>200户企业报名成功，氛围火爆。义乌全球数贸中心作为新一代全球贸易枢纽的虹吸效应正在全方位释放。从义</w:t>
            </w:r>
            <w:r>
              <w:rPr>
                <w:rFonts w:ascii="仿宋_GB2312" w:eastAsia="仿宋_GB2312" w:hAnsi="仿宋_GB2312" w:cs="仿宋_GB2312" w:hint="eastAsia"/>
                <w:bCs/>
                <w:iCs/>
                <w:sz w:val="24"/>
                <w:szCs w:val="24"/>
              </w:rPr>
              <w:lastRenderedPageBreak/>
              <w:t>乌本土商户的代际传承与品牌雄心，到周边产业带的跨域奔赴，无数企业正将这里视为撬动全球市场、实现数字化转型升级的战略支点。</w:t>
            </w:r>
          </w:p>
        </w:tc>
      </w:tr>
      <w:tr w:rsidR="00FE2B22" w14:paraId="3A534501" w14:textId="77777777">
        <w:trPr>
          <w:trHeight w:val="90"/>
        </w:trPr>
        <w:tc>
          <w:tcPr>
            <w:tcW w:w="2411" w:type="dxa"/>
            <w:vAlign w:val="center"/>
          </w:tcPr>
          <w:p w14:paraId="524BB622" w14:textId="77777777" w:rsidR="00FE2B22" w:rsidRDefault="00000000">
            <w:pPr>
              <w:spacing w:line="360" w:lineRule="auto"/>
              <w:jc w:val="center"/>
              <w:rPr>
                <w:rFonts w:ascii="宋体" w:hAnsi="宋体" w:cs="黑体"/>
                <w:iCs/>
                <w:sz w:val="24"/>
                <w:szCs w:val="24"/>
              </w:rPr>
            </w:pPr>
            <w:r>
              <w:rPr>
                <w:rFonts w:ascii="宋体" w:hAnsi="宋体" w:cs="黑体" w:hint="eastAsia"/>
                <w:iCs/>
                <w:sz w:val="24"/>
                <w:szCs w:val="24"/>
              </w:rPr>
              <w:lastRenderedPageBreak/>
              <w:t>关于本次活动是否涉及应披露重大信息的说明</w:t>
            </w:r>
          </w:p>
        </w:tc>
        <w:tc>
          <w:tcPr>
            <w:tcW w:w="6379" w:type="dxa"/>
            <w:vAlign w:val="center"/>
          </w:tcPr>
          <w:p w14:paraId="1302A170" w14:textId="77777777" w:rsidR="00FE2B22" w:rsidRDefault="00000000">
            <w:pPr>
              <w:spacing w:line="360" w:lineRule="auto"/>
              <w:jc w:val="center"/>
              <w:rPr>
                <w:rFonts w:ascii="宋体" w:hAnsi="宋体" w:cs="仿宋_GB2312"/>
                <w:bCs/>
                <w:iCs/>
                <w:sz w:val="24"/>
                <w:szCs w:val="24"/>
              </w:rPr>
            </w:pPr>
            <w:r>
              <w:rPr>
                <w:rFonts w:ascii="仿宋_GB2312" w:eastAsia="仿宋_GB2312" w:hAnsi="仿宋_GB2312" w:cs="仿宋_GB2312" w:hint="eastAsia"/>
                <w:bCs/>
                <w:iCs/>
                <w:sz w:val="24"/>
                <w:szCs w:val="24"/>
              </w:rPr>
              <w:t>否</w:t>
            </w:r>
          </w:p>
        </w:tc>
      </w:tr>
      <w:tr w:rsidR="00FE2B22" w14:paraId="3103E0D8" w14:textId="77777777">
        <w:trPr>
          <w:trHeight w:val="1130"/>
        </w:trPr>
        <w:tc>
          <w:tcPr>
            <w:tcW w:w="2411" w:type="dxa"/>
            <w:vAlign w:val="center"/>
          </w:tcPr>
          <w:p w14:paraId="30FF3F7C" w14:textId="77777777" w:rsidR="00FE2B22" w:rsidRDefault="00000000">
            <w:pPr>
              <w:spacing w:line="360" w:lineRule="auto"/>
              <w:jc w:val="center"/>
              <w:rPr>
                <w:rFonts w:ascii="宋体" w:hAnsi="宋体" w:cs="黑体"/>
                <w:iCs/>
                <w:sz w:val="24"/>
                <w:szCs w:val="24"/>
              </w:rPr>
            </w:pPr>
            <w:r>
              <w:rPr>
                <w:rFonts w:ascii="宋体" w:hAnsi="宋体" w:cs="黑体" w:hint="eastAsia"/>
                <w:iCs/>
                <w:sz w:val="24"/>
                <w:szCs w:val="24"/>
              </w:rPr>
              <w:t>附件清单（如</w:t>
            </w:r>
          </w:p>
          <w:p w14:paraId="304202EB" w14:textId="77777777" w:rsidR="00FE2B22" w:rsidRDefault="00000000">
            <w:pPr>
              <w:spacing w:line="360" w:lineRule="auto"/>
              <w:jc w:val="center"/>
              <w:rPr>
                <w:rFonts w:ascii="宋体" w:hAnsi="宋体" w:cs="黑体"/>
                <w:iCs/>
                <w:sz w:val="24"/>
                <w:szCs w:val="24"/>
              </w:rPr>
            </w:pPr>
            <w:r>
              <w:rPr>
                <w:rFonts w:ascii="宋体" w:hAnsi="宋体" w:cs="黑体" w:hint="eastAsia"/>
                <w:iCs/>
                <w:sz w:val="24"/>
                <w:szCs w:val="24"/>
              </w:rPr>
              <w:t>有）</w:t>
            </w:r>
          </w:p>
        </w:tc>
        <w:tc>
          <w:tcPr>
            <w:tcW w:w="6379" w:type="dxa"/>
            <w:vAlign w:val="center"/>
          </w:tcPr>
          <w:p w14:paraId="378B2756" w14:textId="77777777" w:rsidR="00FE2B22" w:rsidRDefault="00000000">
            <w:pPr>
              <w:spacing w:line="360" w:lineRule="auto"/>
              <w:jc w:val="center"/>
              <w:rPr>
                <w:rFonts w:ascii="宋体" w:hAnsi="宋体" w:cs="仿宋_GB2312"/>
                <w:bCs/>
                <w:iCs/>
                <w:sz w:val="24"/>
                <w:szCs w:val="24"/>
              </w:rPr>
            </w:pPr>
            <w:r>
              <w:rPr>
                <w:rFonts w:ascii="仿宋_GB2312" w:eastAsia="仿宋_GB2312" w:hAnsi="仿宋_GB2312" w:cs="仿宋_GB2312" w:hint="eastAsia"/>
                <w:bCs/>
                <w:iCs/>
                <w:sz w:val="24"/>
                <w:szCs w:val="24"/>
              </w:rPr>
              <w:t>无</w:t>
            </w:r>
          </w:p>
        </w:tc>
      </w:tr>
    </w:tbl>
    <w:p w14:paraId="4FF77972" w14:textId="77777777" w:rsidR="00FE2B22" w:rsidRDefault="00FE2B22">
      <w:pPr>
        <w:spacing w:line="360" w:lineRule="auto"/>
      </w:pPr>
    </w:p>
    <w:sectPr w:rsidR="00FE2B2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64D8C" w14:textId="77777777" w:rsidR="00C37EDC" w:rsidRDefault="00C37EDC" w:rsidP="00112D40">
      <w:r>
        <w:separator/>
      </w:r>
    </w:p>
  </w:endnote>
  <w:endnote w:type="continuationSeparator" w:id="0">
    <w:p w14:paraId="41F5F119" w14:textId="77777777" w:rsidR="00C37EDC" w:rsidRDefault="00C37EDC" w:rsidP="00112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12A96" w14:textId="77777777" w:rsidR="00C37EDC" w:rsidRDefault="00C37EDC" w:rsidP="00112D40">
      <w:r>
        <w:separator/>
      </w:r>
    </w:p>
  </w:footnote>
  <w:footnote w:type="continuationSeparator" w:id="0">
    <w:p w14:paraId="547C649B" w14:textId="77777777" w:rsidR="00C37EDC" w:rsidRDefault="00C37EDC" w:rsidP="00112D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E93C4D9"/>
    <w:multiLevelType w:val="singleLevel"/>
    <w:tmpl w:val="FE93C4D9"/>
    <w:lvl w:ilvl="0">
      <w:start w:val="1"/>
      <w:numFmt w:val="decimal"/>
      <w:lvlText w:val="%1."/>
      <w:lvlJc w:val="left"/>
      <w:pPr>
        <w:tabs>
          <w:tab w:val="left" w:pos="312"/>
        </w:tabs>
        <w:ind w:left="481" w:firstLine="0"/>
      </w:pPr>
    </w:lvl>
  </w:abstractNum>
  <w:num w:numId="1" w16cid:durableId="263654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B22"/>
    <w:rsid w:val="000D088C"/>
    <w:rsid w:val="00112D40"/>
    <w:rsid w:val="005235B8"/>
    <w:rsid w:val="00622E0E"/>
    <w:rsid w:val="00675608"/>
    <w:rsid w:val="00733A75"/>
    <w:rsid w:val="00897A3F"/>
    <w:rsid w:val="00C37EDC"/>
    <w:rsid w:val="00FE2B22"/>
    <w:rsid w:val="0C172490"/>
    <w:rsid w:val="22765384"/>
    <w:rsid w:val="31D90E48"/>
    <w:rsid w:val="331C1F78"/>
    <w:rsid w:val="477A2C98"/>
    <w:rsid w:val="61E62405"/>
    <w:rsid w:val="63FB399E"/>
    <w:rsid w:val="67E4235D"/>
    <w:rsid w:val="78525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2D0D17"/>
  <w15:docId w15:val="{1E384B08-7E35-429E-B5FA-6153D1A6E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6">
    <w:lsdException w:name="Normal" w:uiPriority="0" w:qFormat="1"/>
    <w:lsdException w:name="heading 1" w:uiPriority="0" w:qFormat="1"/>
    <w:lsdException w:name="heading 2"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next w:val="a"/>
    <w:qFormat/>
    <w:pPr>
      <w:widowControl w:val="0"/>
      <w:adjustRightInd w:val="0"/>
      <w:spacing w:before="320" w:line="300" w:lineRule="auto"/>
      <w:jc w:val="both"/>
      <w:outlineLvl w:val="0"/>
    </w:pPr>
    <w:rPr>
      <w:rFonts w:eastAsia="黑体"/>
      <w:color w:val="000000"/>
      <w:kern w:val="44"/>
      <w:sz w:val="32"/>
      <w:szCs w:val="44"/>
    </w:rPr>
  </w:style>
  <w:style w:type="paragraph" w:styleId="2">
    <w:name w:val="heading 2"/>
    <w:next w:val="a"/>
    <w:unhideWhenUsed/>
    <w:qFormat/>
    <w:pPr>
      <w:widowControl w:val="0"/>
      <w:adjustRightInd w:val="0"/>
      <w:spacing w:before="280" w:line="300" w:lineRule="auto"/>
      <w:jc w:val="both"/>
      <w:outlineLvl w:val="1"/>
    </w:pPr>
    <w:rPr>
      <w:rFonts w:eastAsia="黑体"/>
      <w:kern w:val="2"/>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qFormat/>
    <w:pPr>
      <w:widowControl w:val="0"/>
      <w:adjustRightInd w:val="0"/>
      <w:spacing w:before="100" w:after="100" w:line="300" w:lineRule="auto"/>
      <w:ind w:firstLineChars="200" w:firstLine="1044"/>
      <w:jc w:val="both"/>
    </w:pPr>
    <w:rPr>
      <w:kern w:val="2"/>
      <w:sz w:val="24"/>
      <w:szCs w:val="24"/>
    </w:rPr>
  </w:style>
  <w:style w:type="paragraph" w:styleId="a6">
    <w:name w:val="Balloon Text"/>
    <w:basedOn w:val="a"/>
    <w:link w:val="a7"/>
    <w:uiPriority w:val="99"/>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1"/>
    <w:unhideWhenUsed/>
    <w:qFormat/>
    <w:pPr>
      <w:spacing w:beforeAutospacing="1" w:afterAutospacing="1"/>
      <w:jc w:val="left"/>
    </w:pPr>
    <w:rPr>
      <w:kern w:val="0"/>
      <w:sz w:val="24"/>
    </w:rPr>
  </w:style>
  <w:style w:type="paragraph" w:styleId="ad">
    <w:name w:val="annotation subject"/>
    <w:basedOn w:val="a3"/>
    <w:next w:val="a3"/>
    <w:link w:val="ae"/>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Strong"/>
    <w:basedOn w:val="a0"/>
    <w:uiPriority w:val="1"/>
    <w:qFormat/>
    <w:rPr>
      <w:b/>
    </w:rPr>
  </w:style>
  <w:style w:type="character" w:styleId="af1">
    <w:name w:val="Hyperlink"/>
    <w:uiPriority w:val="99"/>
    <w:unhideWhenUsed/>
    <w:qFormat/>
    <w:rPr>
      <w:color w:val="467886"/>
      <w:u w:val="single"/>
    </w:rPr>
  </w:style>
  <w:style w:type="character" w:styleId="af2">
    <w:name w:val="annotation reference"/>
    <w:uiPriority w:val="99"/>
    <w:unhideWhenUsed/>
    <w:qFormat/>
    <w:rPr>
      <w:sz w:val="21"/>
      <w:szCs w:val="21"/>
    </w:rPr>
  </w:style>
  <w:style w:type="character" w:customStyle="1" w:styleId="a9">
    <w:name w:val="页脚 字符"/>
    <w:link w:val="a8"/>
    <w:uiPriority w:val="99"/>
    <w:qFormat/>
    <w:rPr>
      <w:kern w:val="2"/>
      <w:sz w:val="18"/>
      <w:szCs w:val="18"/>
    </w:rPr>
  </w:style>
  <w:style w:type="character" w:customStyle="1" w:styleId="a4">
    <w:name w:val="批注文字 字符"/>
    <w:link w:val="a3"/>
    <w:uiPriority w:val="99"/>
    <w:semiHidden/>
    <w:qFormat/>
    <w:rPr>
      <w:kern w:val="2"/>
      <w:sz w:val="21"/>
      <w:szCs w:val="22"/>
    </w:rPr>
  </w:style>
  <w:style w:type="character" w:customStyle="1" w:styleId="10">
    <w:name w:val="未处理的提及1"/>
    <w:uiPriority w:val="99"/>
    <w:unhideWhenUsed/>
    <w:qFormat/>
    <w:rPr>
      <w:color w:val="605E5C"/>
      <w:shd w:val="clear" w:color="auto" w:fill="E1DFDD"/>
    </w:rPr>
  </w:style>
  <w:style w:type="character" w:customStyle="1" w:styleId="ab">
    <w:name w:val="页眉 字符"/>
    <w:link w:val="aa"/>
    <w:uiPriority w:val="99"/>
    <w:qFormat/>
    <w:rPr>
      <w:kern w:val="2"/>
      <w:sz w:val="18"/>
      <w:szCs w:val="18"/>
    </w:rPr>
  </w:style>
  <w:style w:type="character" w:customStyle="1" w:styleId="ae">
    <w:name w:val="批注主题 字符"/>
    <w:link w:val="ad"/>
    <w:uiPriority w:val="99"/>
    <w:semiHidden/>
    <w:qFormat/>
    <w:rPr>
      <w:b/>
      <w:bCs/>
      <w:kern w:val="2"/>
      <w:sz w:val="21"/>
      <w:szCs w:val="22"/>
    </w:rPr>
  </w:style>
  <w:style w:type="character" w:customStyle="1" w:styleId="a7">
    <w:name w:val="批注框文本 字符"/>
    <w:link w:val="a6"/>
    <w:uiPriority w:val="99"/>
    <w:semiHidden/>
    <w:qFormat/>
    <w:rPr>
      <w:kern w:val="2"/>
      <w:sz w:val="18"/>
      <w:szCs w:val="18"/>
    </w:rPr>
  </w:style>
  <w:style w:type="paragraph" w:customStyle="1" w:styleId="11">
    <w:name w:val="修订1"/>
    <w:uiPriority w:val="99"/>
    <w:unhideWhenUsed/>
    <w:qFormat/>
    <w:rPr>
      <w:kern w:val="2"/>
      <w:sz w:val="21"/>
      <w:szCs w:val="22"/>
    </w:rPr>
  </w:style>
  <w:style w:type="paragraph" w:customStyle="1" w:styleId="12">
    <w:name w:val="列表段落1"/>
    <w:basedOn w:val="a"/>
    <w:uiPriority w:val="99"/>
    <w:qFormat/>
    <w:pPr>
      <w:ind w:firstLineChars="200" w:firstLine="420"/>
    </w:pPr>
  </w:style>
  <w:style w:type="paragraph" w:customStyle="1" w:styleId="Style6">
    <w:name w:val="_Style 6"/>
    <w:basedOn w:val="a"/>
    <w:uiPriority w:val="34"/>
    <w:qFormat/>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219</Words>
  <Characters>1250</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Nail He</cp:lastModifiedBy>
  <cp:revision>13</cp:revision>
  <dcterms:created xsi:type="dcterms:W3CDTF">2025-04-14T05:24:00Z</dcterms:created>
  <dcterms:modified xsi:type="dcterms:W3CDTF">2025-07-04T07:42:00Z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B6DBAA3E6B284F069C4789D27A75F8F9_13</vt:lpwstr>
  </property>
  <property fmtid="{D5CDD505-2E9C-101B-9397-08002B2CF9AE}" pid="4" name="KSOTemplateDocerSaveRecord">
    <vt:lpwstr>eyJoZGlkIjoiOTE2NmY0YTllNDc1MjY1ZDE1YjE2MTkyYmI5MjFiNzUiLCJ1c2VySWQiOiI1MDQwOTk1OTEifQ==</vt:lpwstr>
  </property>
</Properties>
</file>