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81A32">
      <w:pPr>
        <w:spacing w:line="360" w:lineRule="atLeast"/>
        <w:jc w:val="center"/>
        <w:rPr>
          <w:rFonts w:ascii="黑体" w:hAnsi="黑体" w:eastAsia="黑体"/>
          <w:b/>
          <w:sz w:val="32"/>
          <w:szCs w:val="32"/>
        </w:rPr>
      </w:pPr>
      <w:r>
        <w:rPr>
          <w:rFonts w:hint="eastAsia" w:ascii="黑体" w:hAnsi="黑体" w:eastAsia="黑体"/>
          <w:b/>
          <w:sz w:val="32"/>
          <w:szCs w:val="32"/>
        </w:rPr>
        <w:t>中信重工机械股份有限公司</w:t>
      </w:r>
    </w:p>
    <w:p w14:paraId="7821C714">
      <w:pPr>
        <w:jc w:val="center"/>
        <w:rPr>
          <w:rFonts w:ascii="黑体" w:hAnsi="黑体" w:eastAsia="黑体"/>
          <w:b/>
          <w:sz w:val="32"/>
          <w:szCs w:val="32"/>
        </w:rPr>
      </w:pPr>
      <w:r>
        <w:rPr>
          <w:rFonts w:ascii="黑体" w:hAnsi="黑体" w:eastAsia="黑体"/>
          <w:b/>
          <w:sz w:val="32"/>
          <w:szCs w:val="32"/>
        </w:rPr>
        <w:t>6</w:t>
      </w:r>
      <w:r>
        <w:rPr>
          <w:rFonts w:hint="eastAsia" w:ascii="黑体" w:hAnsi="黑体" w:eastAsia="黑体"/>
          <w:b/>
          <w:sz w:val="32"/>
          <w:szCs w:val="32"/>
        </w:rPr>
        <w:t>月投资者关系活动记录表</w:t>
      </w:r>
    </w:p>
    <w:tbl>
      <w:tblPr>
        <w:tblStyle w:val="8"/>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35"/>
      </w:tblGrid>
      <w:tr w14:paraId="248E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42DF3F14">
            <w:pPr>
              <w:jc w:val="center"/>
              <w:rPr>
                <w:rFonts w:asciiTheme="minorEastAsia" w:hAnsiTheme="minorEastAsia"/>
                <w:b/>
                <w:sz w:val="24"/>
                <w:szCs w:val="24"/>
              </w:rPr>
            </w:pPr>
            <w:r>
              <w:rPr>
                <w:rFonts w:hint="eastAsia" w:asciiTheme="minorEastAsia" w:hAnsiTheme="minorEastAsia"/>
                <w:b/>
                <w:sz w:val="24"/>
                <w:szCs w:val="24"/>
              </w:rPr>
              <w:t>投资者关系</w:t>
            </w:r>
          </w:p>
          <w:p w14:paraId="0983C300">
            <w:pPr>
              <w:jc w:val="center"/>
              <w:rPr>
                <w:rFonts w:asciiTheme="minorEastAsia" w:hAnsiTheme="minorEastAsia"/>
                <w:b/>
                <w:sz w:val="24"/>
                <w:szCs w:val="24"/>
              </w:rPr>
            </w:pPr>
            <w:r>
              <w:rPr>
                <w:rFonts w:hint="eastAsia" w:asciiTheme="minorEastAsia" w:hAnsiTheme="minorEastAsia"/>
                <w:b/>
                <w:sz w:val="24"/>
                <w:szCs w:val="24"/>
              </w:rPr>
              <w:t>活动类别</w:t>
            </w:r>
          </w:p>
        </w:tc>
        <w:tc>
          <w:tcPr>
            <w:tcW w:w="6835" w:type="dxa"/>
            <w:vAlign w:val="center"/>
          </w:tcPr>
          <w:p w14:paraId="1EDC9D96">
            <w:pPr>
              <w:snapToGrid w:val="0"/>
              <w:rPr>
                <w:rFonts w:cs="Arial" w:asciiTheme="minorEastAsia" w:hAnsiTheme="minorEastAsia"/>
                <w:sz w:val="24"/>
                <w:szCs w:val="24"/>
                <w:shd w:val="clear" w:color="auto" w:fill="FFFFFF"/>
              </w:rPr>
            </w:pPr>
            <w:r>
              <w:rPr>
                <w:rFonts w:ascii="Segoe UI Symbol" w:hAnsi="Segoe UI Symbol" w:eastAsia="仿宋_GB2312" w:cs="Segoe UI Symbol"/>
                <w:sz w:val="28"/>
                <w:szCs w:val="28"/>
              </w:rPr>
              <w:t>☑</w:t>
            </w: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 xml:space="preserve"> □分析师会议</w:t>
            </w:r>
          </w:p>
          <w:p w14:paraId="10963B04">
            <w:pPr>
              <w:snapToGrid w:val="0"/>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6E62D2C8">
            <w:pPr>
              <w:snapToGrid w:val="0"/>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603D23B0">
            <w:pPr>
              <w:snapToGrid w:val="0"/>
              <w:rPr>
                <w:rFonts w:cs="Arial" w:asciiTheme="minorEastAsia" w:hAnsiTheme="minorEastAsia"/>
                <w:sz w:val="24"/>
                <w:szCs w:val="24"/>
                <w:shd w:val="clear" w:color="auto" w:fill="FFFFFF"/>
              </w:rPr>
            </w:pPr>
            <w:r>
              <w:rPr>
                <w:rFonts w:ascii="Segoe UI Symbol" w:hAnsi="Segoe UI Symbol" w:eastAsia="仿宋_GB2312" w:cs="Segoe UI Symbol"/>
                <w:sz w:val="28"/>
                <w:szCs w:val="28"/>
              </w:rPr>
              <w:t>☑</w:t>
            </w: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bookmarkStart w:id="0" w:name="_GoBack"/>
            <w:bookmarkEnd w:id="0"/>
          </w:p>
        </w:tc>
      </w:tr>
      <w:tr w14:paraId="7FAC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668" w:type="dxa"/>
            <w:vAlign w:val="center"/>
          </w:tcPr>
          <w:p w14:paraId="1C0544F7">
            <w:pPr>
              <w:jc w:val="center"/>
              <w:rPr>
                <w:rFonts w:asciiTheme="minorEastAsia" w:hAnsiTheme="minorEastAsia"/>
                <w:b/>
                <w:sz w:val="24"/>
                <w:szCs w:val="24"/>
              </w:rPr>
            </w:pPr>
            <w:r>
              <w:rPr>
                <w:rFonts w:hint="eastAsia" w:asciiTheme="minorEastAsia" w:hAnsiTheme="minorEastAsia"/>
                <w:b/>
                <w:sz w:val="24"/>
                <w:szCs w:val="24"/>
              </w:rPr>
              <w:t>参与单位名称</w:t>
            </w:r>
          </w:p>
        </w:tc>
        <w:tc>
          <w:tcPr>
            <w:tcW w:w="6835" w:type="dxa"/>
            <w:vAlign w:val="center"/>
          </w:tcPr>
          <w:p w14:paraId="11337F71">
            <w:pPr>
              <w:rPr>
                <w:rFonts w:asciiTheme="minorEastAsia" w:hAnsiTheme="minorEastAsia"/>
                <w:sz w:val="24"/>
                <w:szCs w:val="24"/>
              </w:rPr>
            </w:pPr>
            <w:r>
              <w:rPr>
                <w:rFonts w:hint="eastAsia" w:asciiTheme="minorEastAsia" w:hAnsiTheme="minorEastAsia"/>
                <w:sz w:val="24"/>
                <w:szCs w:val="24"/>
              </w:rPr>
              <w:t>保宁资本、万家基金、信达证券（排名不分先后）</w:t>
            </w:r>
          </w:p>
        </w:tc>
      </w:tr>
      <w:tr w14:paraId="5237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68" w:type="dxa"/>
            <w:vAlign w:val="center"/>
          </w:tcPr>
          <w:p w14:paraId="212888F8">
            <w:pPr>
              <w:jc w:val="center"/>
              <w:rPr>
                <w:rFonts w:asciiTheme="minorEastAsia" w:hAnsiTheme="minorEastAsia"/>
                <w:b/>
                <w:sz w:val="24"/>
                <w:szCs w:val="24"/>
              </w:rPr>
            </w:pPr>
            <w:r>
              <w:rPr>
                <w:rFonts w:hint="eastAsia" w:asciiTheme="minorEastAsia" w:hAnsiTheme="minorEastAsia"/>
                <w:b/>
                <w:sz w:val="24"/>
                <w:szCs w:val="24"/>
              </w:rPr>
              <w:t>时间</w:t>
            </w:r>
          </w:p>
        </w:tc>
        <w:tc>
          <w:tcPr>
            <w:tcW w:w="6835" w:type="dxa"/>
            <w:vAlign w:val="center"/>
          </w:tcPr>
          <w:p w14:paraId="2B1B5275">
            <w:pPr>
              <w:rPr>
                <w:rFonts w:asciiTheme="minorEastAsia" w:hAnsiTheme="minorEastAsia"/>
                <w:sz w:val="24"/>
                <w:szCs w:val="24"/>
              </w:rPr>
            </w:pPr>
            <w:r>
              <w:rPr>
                <w:rFonts w:hint="eastAsia" w:asciiTheme="minorEastAsia" w:hAnsiTheme="minorEastAsia"/>
                <w:sz w:val="24"/>
                <w:szCs w:val="24"/>
              </w:rPr>
              <w:t>202</w:t>
            </w:r>
            <w:r>
              <w:rPr>
                <w:rFonts w:asciiTheme="minorEastAsia" w:hAnsiTheme="minorEastAsia"/>
                <w:sz w:val="24"/>
                <w:szCs w:val="24"/>
              </w:rPr>
              <w:t>5</w:t>
            </w:r>
            <w:r>
              <w:rPr>
                <w:rFonts w:hint="eastAsia" w:asciiTheme="minorEastAsia" w:hAnsiTheme="minorEastAsia"/>
                <w:sz w:val="24"/>
                <w:szCs w:val="24"/>
              </w:rPr>
              <w:t>年</w:t>
            </w:r>
            <w:r>
              <w:rPr>
                <w:rFonts w:asciiTheme="minorEastAsia" w:hAnsiTheme="minorEastAsia"/>
                <w:sz w:val="24"/>
                <w:szCs w:val="24"/>
              </w:rPr>
              <w:t>6</w:t>
            </w:r>
            <w:r>
              <w:rPr>
                <w:rFonts w:hint="eastAsia" w:asciiTheme="minorEastAsia" w:hAnsiTheme="minorEastAsia"/>
                <w:sz w:val="24"/>
                <w:szCs w:val="24"/>
              </w:rPr>
              <w:t>月</w:t>
            </w:r>
            <w:r>
              <w:rPr>
                <w:rFonts w:asciiTheme="minorEastAsia" w:hAnsiTheme="minorEastAsia"/>
                <w:sz w:val="24"/>
                <w:szCs w:val="24"/>
              </w:rPr>
              <w:t>4</w:t>
            </w:r>
            <w:r>
              <w:rPr>
                <w:rFonts w:hint="eastAsia" w:asciiTheme="minorEastAsia" w:hAnsiTheme="minorEastAsia"/>
                <w:sz w:val="24"/>
                <w:szCs w:val="24"/>
              </w:rPr>
              <w:t>日、</w:t>
            </w:r>
            <w:r>
              <w:rPr>
                <w:rFonts w:asciiTheme="minorEastAsia" w:hAnsiTheme="minorEastAsia"/>
                <w:sz w:val="24"/>
                <w:szCs w:val="24"/>
              </w:rPr>
              <w:t>6</w:t>
            </w:r>
            <w:r>
              <w:rPr>
                <w:rFonts w:hint="eastAsia" w:asciiTheme="minorEastAsia" w:hAnsiTheme="minorEastAsia"/>
                <w:sz w:val="24"/>
                <w:szCs w:val="24"/>
              </w:rPr>
              <w:t>月1</w:t>
            </w:r>
            <w:r>
              <w:rPr>
                <w:rFonts w:asciiTheme="minorEastAsia" w:hAnsiTheme="minorEastAsia"/>
                <w:sz w:val="24"/>
                <w:szCs w:val="24"/>
              </w:rPr>
              <w:t>9</w:t>
            </w:r>
            <w:r>
              <w:rPr>
                <w:rFonts w:hint="eastAsia" w:asciiTheme="minorEastAsia" w:hAnsiTheme="minorEastAsia"/>
                <w:sz w:val="24"/>
                <w:szCs w:val="24"/>
              </w:rPr>
              <w:t>日</w:t>
            </w:r>
          </w:p>
        </w:tc>
      </w:tr>
      <w:tr w14:paraId="69E6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8" w:type="dxa"/>
            <w:vAlign w:val="center"/>
          </w:tcPr>
          <w:p w14:paraId="29D81BB4">
            <w:pPr>
              <w:jc w:val="center"/>
              <w:rPr>
                <w:rFonts w:asciiTheme="minorEastAsia" w:hAnsiTheme="minorEastAsia"/>
                <w:b/>
                <w:sz w:val="24"/>
                <w:szCs w:val="24"/>
              </w:rPr>
            </w:pPr>
            <w:r>
              <w:rPr>
                <w:rFonts w:cs="Arial" w:asciiTheme="minorEastAsia" w:hAnsiTheme="minorEastAsia"/>
                <w:b/>
                <w:sz w:val="24"/>
                <w:szCs w:val="24"/>
                <w:shd w:val="clear" w:color="auto" w:fill="FFFFFF"/>
              </w:rPr>
              <w:t>地点</w:t>
            </w:r>
          </w:p>
        </w:tc>
        <w:tc>
          <w:tcPr>
            <w:tcW w:w="6835" w:type="dxa"/>
            <w:vAlign w:val="center"/>
          </w:tcPr>
          <w:p w14:paraId="62AB8A53">
            <w:pPr>
              <w:rPr>
                <w:rFonts w:asciiTheme="minorEastAsia" w:hAnsiTheme="minorEastAsia"/>
                <w:sz w:val="24"/>
                <w:szCs w:val="24"/>
              </w:rPr>
            </w:pPr>
            <w:r>
              <w:rPr>
                <w:rFonts w:hint="eastAsia" w:asciiTheme="minorEastAsia" w:hAnsiTheme="minorEastAsia"/>
                <w:sz w:val="24"/>
                <w:szCs w:val="24"/>
              </w:rPr>
              <w:t>公司会议室</w:t>
            </w:r>
          </w:p>
        </w:tc>
      </w:tr>
      <w:tr w14:paraId="672D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0208416F">
            <w:pPr>
              <w:jc w:val="center"/>
              <w:rPr>
                <w:rFonts w:asciiTheme="minorEastAsia" w:hAnsiTheme="minorEastAsia"/>
                <w:b/>
                <w:sz w:val="24"/>
                <w:szCs w:val="24"/>
              </w:rPr>
            </w:pPr>
            <w:r>
              <w:rPr>
                <w:rFonts w:hint="eastAsia" w:asciiTheme="minorEastAsia" w:hAnsiTheme="minorEastAsia"/>
                <w:b/>
                <w:sz w:val="24"/>
                <w:szCs w:val="24"/>
              </w:rPr>
              <w:t>上市公司</w:t>
            </w:r>
          </w:p>
          <w:p w14:paraId="4CA38913">
            <w:pPr>
              <w:jc w:val="center"/>
              <w:rPr>
                <w:rFonts w:asciiTheme="minorEastAsia" w:hAnsiTheme="minorEastAsia"/>
                <w:b/>
                <w:sz w:val="24"/>
                <w:szCs w:val="24"/>
              </w:rPr>
            </w:pPr>
            <w:r>
              <w:rPr>
                <w:rFonts w:hint="eastAsia" w:asciiTheme="minorEastAsia" w:hAnsiTheme="minorEastAsia"/>
                <w:b/>
                <w:sz w:val="24"/>
                <w:szCs w:val="24"/>
              </w:rPr>
              <w:t>接待人员</w:t>
            </w:r>
          </w:p>
        </w:tc>
        <w:tc>
          <w:tcPr>
            <w:tcW w:w="6835" w:type="dxa"/>
            <w:vAlign w:val="center"/>
          </w:tcPr>
          <w:p w14:paraId="38CE8E12">
            <w:pPr>
              <w:spacing w:line="360" w:lineRule="atLeast"/>
              <w:rPr>
                <w:rFonts w:asciiTheme="minorEastAsia" w:hAnsiTheme="minorEastAsia"/>
                <w:sz w:val="24"/>
                <w:szCs w:val="24"/>
              </w:rPr>
            </w:pPr>
            <w:r>
              <w:rPr>
                <w:rFonts w:hint="eastAsia" w:asciiTheme="minorEastAsia" w:hAnsiTheme="minorEastAsia"/>
                <w:sz w:val="24"/>
                <w:szCs w:val="24"/>
              </w:rPr>
              <w:t>公司董事会秘书、董事会办公室主任等。</w:t>
            </w:r>
          </w:p>
        </w:tc>
      </w:tr>
      <w:tr w14:paraId="6500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9111A79">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6835" w:type="dxa"/>
            <w:shd w:val="clear" w:color="auto" w:fill="auto"/>
          </w:tcPr>
          <w:p w14:paraId="30315EBD">
            <w:pPr>
              <w:spacing w:line="360" w:lineRule="atLeast"/>
              <w:ind w:firstLine="482" w:firstLineChars="200"/>
              <w:rPr>
                <w:rFonts w:asciiTheme="minorEastAsia" w:hAnsiTheme="minorEastAsia"/>
                <w:b/>
                <w:bCs/>
                <w:sz w:val="24"/>
                <w:szCs w:val="24"/>
              </w:rPr>
            </w:pPr>
            <w:r>
              <w:rPr>
                <w:rFonts w:hint="eastAsia" w:asciiTheme="minorEastAsia" w:hAnsiTheme="minorEastAsia"/>
                <w:b/>
                <w:bCs/>
                <w:sz w:val="24"/>
                <w:szCs w:val="24"/>
              </w:rPr>
              <w:t>一、参观公司生产车间</w:t>
            </w:r>
          </w:p>
          <w:p w14:paraId="5D24C7D4">
            <w:pPr>
              <w:spacing w:line="360" w:lineRule="atLeast"/>
              <w:ind w:firstLine="482" w:firstLineChars="200"/>
              <w:rPr>
                <w:rFonts w:asciiTheme="minorEastAsia" w:hAnsiTheme="minorEastAsia"/>
                <w:b/>
                <w:bCs/>
                <w:sz w:val="24"/>
                <w:szCs w:val="24"/>
              </w:rPr>
            </w:pPr>
            <w:r>
              <w:rPr>
                <w:rFonts w:asciiTheme="minorEastAsia" w:hAnsiTheme="minorEastAsia"/>
                <w:b/>
                <w:bCs/>
                <w:sz w:val="24"/>
                <w:szCs w:val="24"/>
              </w:rPr>
              <w:t>二、互动交流主要内容</w:t>
            </w:r>
          </w:p>
          <w:p w14:paraId="7AD8CFCD">
            <w:pPr>
              <w:spacing w:line="360" w:lineRule="atLeast"/>
              <w:ind w:firstLine="482" w:firstLineChars="200"/>
              <w:rPr>
                <w:rFonts w:asciiTheme="minorEastAsia" w:hAnsiTheme="minorEastAsia"/>
                <w:sz w:val="24"/>
                <w:szCs w:val="24"/>
              </w:rPr>
            </w:pPr>
            <w:r>
              <w:rPr>
                <w:rFonts w:hint="eastAsia" w:asciiTheme="minorEastAsia" w:hAnsiTheme="minorEastAsia"/>
                <w:b/>
                <w:sz w:val="24"/>
                <w:szCs w:val="24"/>
              </w:rPr>
              <w:t>（一）请概述公司在</w:t>
            </w:r>
            <w:r>
              <w:rPr>
                <w:rFonts w:ascii="宋体" w:hAnsi="宋体"/>
                <w:b/>
                <w:sz w:val="24"/>
                <w:szCs w:val="24"/>
              </w:rPr>
              <w:t>高端装备制造领域</w:t>
            </w:r>
            <w:r>
              <w:rPr>
                <w:rFonts w:hint="eastAsia" w:ascii="宋体" w:hAnsi="宋体"/>
                <w:b/>
                <w:sz w:val="24"/>
                <w:szCs w:val="24"/>
              </w:rPr>
              <w:t>的</w:t>
            </w:r>
            <w:r>
              <w:rPr>
                <w:rFonts w:hint="eastAsia" w:asciiTheme="minorEastAsia" w:hAnsiTheme="minorEastAsia"/>
                <w:b/>
                <w:sz w:val="24"/>
                <w:szCs w:val="24"/>
              </w:rPr>
              <w:t>核心竞争优势？</w:t>
            </w:r>
          </w:p>
          <w:p w14:paraId="6372E497">
            <w:pPr>
              <w:spacing w:line="360" w:lineRule="atLeast"/>
              <w:ind w:firstLine="480" w:firstLineChars="200"/>
              <w:rPr>
                <w:rFonts w:asciiTheme="minorEastAsia" w:hAnsiTheme="minorEastAsia"/>
                <w:sz w:val="24"/>
                <w:szCs w:val="24"/>
              </w:rPr>
            </w:pPr>
            <w:r>
              <w:rPr>
                <w:rFonts w:hint="eastAsia" w:asciiTheme="minorEastAsia" w:hAnsiTheme="minorEastAsia"/>
                <w:sz w:val="24"/>
                <w:szCs w:val="24"/>
              </w:rPr>
              <w:t>公司构建了以18500吨自由锻造油压机为核心的高端重型装备制造体系，在极大、极重、极微、极精方面，形成了体系化的核心零部件装备制造能力。依托“五院一中心”研发体系和全产业链自主制造能力，构建了涵盖基础材料研发、核心部件制造到智能系统集成的完整产业生态。核心优势体现在：全球领先的矿山装备整体解决方案能力、特种场景机器人研发先发优势、深厚的大型铸锻件工艺积累，以及覆盖“设计-制造-工程服务”的全生命周期服务能力，在高端装备领域形成显著的技术壁垒与品牌护城河。</w:t>
            </w:r>
          </w:p>
          <w:p w14:paraId="1F01C826">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rPr>
              <w:t>（二）矿山重型装备板块订单情况及盈利水平？</w:t>
            </w:r>
          </w:p>
          <w:p w14:paraId="5553F978">
            <w:pPr>
              <w:spacing w:line="360" w:lineRule="atLeast"/>
              <w:ind w:firstLine="480" w:firstLineChars="200"/>
              <w:rPr>
                <w:rFonts w:asciiTheme="minorEastAsia" w:hAnsiTheme="minorEastAsia"/>
                <w:sz w:val="24"/>
                <w:szCs w:val="24"/>
              </w:rPr>
            </w:pPr>
            <w:r>
              <w:rPr>
                <w:rFonts w:hint="eastAsia" w:asciiTheme="minorEastAsia" w:hAnsiTheme="minorEastAsia"/>
                <w:sz w:val="24"/>
                <w:szCs w:val="24"/>
              </w:rPr>
              <w:t>矿山重型装备业务作为公司“稳定器”“压舱石”，是公司订货、利润的重要支撑，特别是随着中国矿企海外投资加速，以及铜、金等金属价格的高位运行进一步拉动全球矿山资本开支需求，公司矿山装备出口稳中有升、升中提质，今年上半年矿山重型装备板块新增订货完成预定目标，生产经营情况稳健有序。公司将积极把握行业、市场发展机遇，不断夯实和提高企业核心竞争力，努力为全体股东持续创造价值。</w:t>
            </w:r>
          </w:p>
          <w:p w14:paraId="1047AD00">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rPr>
              <w:t>（三）海外市场拓展进展情况如何？</w:t>
            </w:r>
          </w:p>
          <w:p w14:paraId="5A92CDA9">
            <w:pPr>
              <w:spacing w:line="360" w:lineRule="atLeast"/>
              <w:ind w:firstLine="480" w:firstLineChars="200"/>
              <w:rPr>
                <w:rFonts w:asciiTheme="minorEastAsia" w:hAnsiTheme="minorEastAsia"/>
                <w:sz w:val="24"/>
                <w:szCs w:val="24"/>
              </w:rPr>
            </w:pPr>
            <w:r>
              <w:rPr>
                <w:rFonts w:hint="eastAsia" w:asciiTheme="minorEastAsia" w:hAnsiTheme="minorEastAsia"/>
                <w:sz w:val="24"/>
                <w:szCs w:val="24"/>
              </w:rPr>
              <w:t>公司通过战略布局、深耕细作，构建了全球化研发、营销、生产、服务四大功能的国际化布局，形成了成套、主机、备件、服务四大全球化服务领域。公司依托西班牙生产基地、巴西公司、澳大利亚公司、秘鲁分公司、欧洲代表处、马来西亚代表处、越南代表处等多家海外机构，支撑国际业务拓展至欧洲、澳洲、南美、北美、非洲、中亚、东南亚等区域，覆盖68个国家和地区，已成为全球领先的矿山装备供应商和服务商。2025年，公司将持续落实“强化海外市场开拓”战略部署，积极推动国内产能和装备制造“走出去”，全力推动公司国际化进程，致力于向国际化企业的战略转型，与各方合作伙伴携手并肩、合作共赢，开创高质量发展新征程。</w:t>
            </w:r>
          </w:p>
          <w:p w14:paraId="6E2603D9">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rPr>
              <w:t>（四）公司在特种材料板块产品都可应用于哪些领域？</w:t>
            </w:r>
          </w:p>
          <w:p w14:paraId="4511A945">
            <w:pPr>
              <w:spacing w:line="360" w:lineRule="atLeast"/>
              <w:ind w:firstLine="480" w:firstLineChars="200"/>
              <w:rPr>
                <w:rFonts w:asciiTheme="minorEastAsia" w:hAnsiTheme="minorEastAsia"/>
                <w:sz w:val="24"/>
                <w:szCs w:val="24"/>
              </w:rPr>
            </w:pPr>
            <w:r>
              <w:rPr>
                <w:rFonts w:hint="eastAsia" w:asciiTheme="minorEastAsia" w:hAnsiTheme="minorEastAsia"/>
                <w:sz w:val="24"/>
                <w:szCs w:val="24"/>
              </w:rPr>
              <w:t>公司特种材料业务的战略价值集中体现于支撑国家重大战略与引领高端制造升级。依托全链条自主可控能力，在核电、航天、海工等领域实现突破——自主研制的百万千瓦级核电护环锻件采用独创减压法液压涨形技术，性能指标国际领先，打破国外垄断；连续20次为神舟飞船提供专用高强钢铸锻件，护航航天工程；成功锻造世界最大φ7.5米打桩锤砧铁锻件，突破特大型锥形件极限制造瓶颈。业务覆盖矿用设备备件、模具钢、水电核心铸锻件、石化加氢反应器等多元领域，通过材料-工艺-装备协同创新持续提升产业链自主化水平，构筑起“技术攻关-高端替代-标准输出”的战略支点。</w:t>
            </w:r>
          </w:p>
          <w:p w14:paraId="77599341">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rPr>
              <w:t>（五）机器人领域布局思路？</w:t>
            </w:r>
          </w:p>
          <w:p w14:paraId="1AC53299">
            <w:pPr>
              <w:spacing w:line="360" w:lineRule="atLeast"/>
              <w:ind w:firstLine="480" w:firstLineChars="200"/>
              <w:rPr>
                <w:rFonts w:asciiTheme="minorEastAsia" w:hAnsiTheme="minorEastAsia"/>
                <w:sz w:val="24"/>
                <w:szCs w:val="24"/>
              </w:rPr>
            </w:pPr>
            <w:r>
              <w:rPr>
                <w:rFonts w:hint="eastAsia" w:asciiTheme="minorEastAsia" w:hAnsiTheme="minorEastAsia"/>
                <w:sz w:val="24"/>
                <w:szCs w:val="24"/>
              </w:rPr>
              <w:t>公司始终聚焦高端装备与智能化技术创新，积极推动行业场景应用落地。在煤矿领域，打造煤矿无人化解决方案。在非煤矿山领域，开发非防爆、高性价比的非煤矿山井下采矿机器人系列产品。在安全应急领域，构建“空地-内外-人机”多终端协同的互联互通、多维信息融合应急通讯和统一指挥“中枢平台”，形成立体多元化的安全应急消防产品体系。在石化领域，基于防爆巡检机器人，融合多模态感知与自主导航技术，覆盖巡检、高危作业等场景。</w:t>
            </w:r>
          </w:p>
          <w:p w14:paraId="1CB19DD1">
            <w:pPr>
              <w:spacing w:line="360" w:lineRule="atLeast"/>
              <w:ind w:firstLine="480" w:firstLineChars="200"/>
              <w:rPr>
                <w:rFonts w:asciiTheme="minorEastAsia" w:hAnsiTheme="minorEastAsia"/>
                <w:sz w:val="24"/>
                <w:szCs w:val="24"/>
              </w:rPr>
            </w:pPr>
            <w:r>
              <w:rPr>
                <w:rFonts w:hint="eastAsia" w:asciiTheme="minorEastAsia" w:hAnsiTheme="minorEastAsia"/>
                <w:sz w:val="24"/>
                <w:szCs w:val="24"/>
              </w:rPr>
              <w:t>基于机器人领域的技术积淀与场景应用经验，围绕国家智能制造战略方向，公司将持续打造机器人国产操作系统、机器人国产控制器、机器人高能量密度电池等核心零部件，策划培育人形机器人、防爆四足机器人、履带式底盘、轮式底盘等机器人通用平台，并积极在安全应急、矿山、工业服务等行业推广应用，持续巩固提升产品核心竞争力，培育“第二增长曲线”。</w:t>
            </w:r>
          </w:p>
        </w:tc>
      </w:tr>
      <w:tr w14:paraId="21F6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D803F3D">
            <w:pPr>
              <w:jc w:val="center"/>
              <w:rPr>
                <w:rFonts w:asciiTheme="minorEastAsia" w:hAnsiTheme="minorEastAsia"/>
                <w:b/>
                <w:sz w:val="24"/>
                <w:szCs w:val="24"/>
              </w:rPr>
            </w:pPr>
            <w:r>
              <w:rPr>
                <w:rFonts w:hint="eastAsia" w:asciiTheme="minorEastAsia" w:hAnsiTheme="minorEastAsia"/>
                <w:b/>
                <w:sz w:val="24"/>
                <w:szCs w:val="24"/>
              </w:rPr>
              <w:t>附件清单</w:t>
            </w:r>
          </w:p>
          <w:p w14:paraId="4C06D7A2">
            <w:pPr>
              <w:jc w:val="center"/>
              <w:rPr>
                <w:rFonts w:asciiTheme="minorEastAsia" w:hAnsiTheme="minorEastAsia"/>
                <w:b/>
                <w:sz w:val="24"/>
                <w:szCs w:val="24"/>
              </w:rPr>
            </w:pPr>
            <w:r>
              <w:rPr>
                <w:rFonts w:hint="eastAsia" w:asciiTheme="minorEastAsia" w:hAnsiTheme="minorEastAsia"/>
                <w:b/>
                <w:sz w:val="24"/>
                <w:szCs w:val="24"/>
              </w:rPr>
              <w:t>（如有）</w:t>
            </w:r>
          </w:p>
        </w:tc>
        <w:tc>
          <w:tcPr>
            <w:tcW w:w="6835" w:type="dxa"/>
            <w:vAlign w:val="center"/>
          </w:tcPr>
          <w:p w14:paraId="3D8B3ED7">
            <w:pPr>
              <w:pStyle w:val="13"/>
              <w:spacing w:line="360" w:lineRule="exact"/>
              <w:ind w:firstLine="0" w:firstLineChars="0"/>
              <w:jc w:val="center"/>
              <w:rPr>
                <w:rFonts w:asciiTheme="minorEastAsia" w:hAnsiTheme="minorEastAsia"/>
                <w:bCs/>
                <w:sz w:val="24"/>
                <w:szCs w:val="21"/>
              </w:rPr>
            </w:pPr>
            <w:r>
              <w:rPr>
                <w:rFonts w:hint="eastAsia" w:asciiTheme="minorEastAsia" w:hAnsiTheme="minorEastAsia"/>
                <w:bCs/>
                <w:sz w:val="24"/>
                <w:szCs w:val="21"/>
              </w:rPr>
              <w:t>无</w:t>
            </w:r>
          </w:p>
        </w:tc>
      </w:tr>
    </w:tbl>
    <w:p w14:paraId="08D47742"/>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285F">
    <w:pPr>
      <w:pStyle w:val="5"/>
      <w:jc w:val="left"/>
    </w:pPr>
    <w:r>
      <w:rPr>
        <w:rFonts w:hint="eastAsia"/>
      </w:rPr>
      <w:t>证券代码：</w:t>
    </w:r>
    <w:r>
      <w:rPr>
        <w:rFonts w:hint="eastAsia" w:asciiTheme="minorEastAsia" w:hAnsiTheme="minorEastAsia"/>
      </w:rPr>
      <w:t>6</w:t>
    </w:r>
    <w:r>
      <w:rPr>
        <w:rFonts w:asciiTheme="minorEastAsia" w:hAnsiTheme="minorEastAsia"/>
      </w:rPr>
      <w:t>01608</w:t>
    </w:r>
    <w:r>
      <w:rPr>
        <w:rFonts w:hint="eastAsia"/>
      </w:rPr>
      <w:t xml:space="preserve"> </w:t>
    </w:r>
    <w:r>
      <w:t xml:space="preserve">                                                         </w:t>
    </w:r>
    <w:r>
      <w:rPr>
        <w:rFonts w:hint="eastAsia"/>
      </w:rPr>
      <w:t>证券简称：中信重工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OTdjMzg1OTk2YmMyMTE0ZmNkMmYzMmI4M2NiZTAifQ=="/>
  </w:docVars>
  <w:rsids>
    <w:rsidRoot w:val="00847310"/>
    <w:rsid w:val="000000FC"/>
    <w:rsid w:val="00002FE6"/>
    <w:rsid w:val="00003937"/>
    <w:rsid w:val="00004A2F"/>
    <w:rsid w:val="000101BC"/>
    <w:rsid w:val="00011FEB"/>
    <w:rsid w:val="000132DE"/>
    <w:rsid w:val="000149BD"/>
    <w:rsid w:val="00016FA6"/>
    <w:rsid w:val="0001798C"/>
    <w:rsid w:val="000221F3"/>
    <w:rsid w:val="00030B2D"/>
    <w:rsid w:val="000356A4"/>
    <w:rsid w:val="0004093A"/>
    <w:rsid w:val="00044D4D"/>
    <w:rsid w:val="00045494"/>
    <w:rsid w:val="000476B6"/>
    <w:rsid w:val="00051055"/>
    <w:rsid w:val="00053718"/>
    <w:rsid w:val="00054114"/>
    <w:rsid w:val="000571B6"/>
    <w:rsid w:val="000631D4"/>
    <w:rsid w:val="00063582"/>
    <w:rsid w:val="000635BF"/>
    <w:rsid w:val="00063773"/>
    <w:rsid w:val="00064433"/>
    <w:rsid w:val="0006483A"/>
    <w:rsid w:val="000668CC"/>
    <w:rsid w:val="00066B2D"/>
    <w:rsid w:val="00070636"/>
    <w:rsid w:val="00071E83"/>
    <w:rsid w:val="0007490D"/>
    <w:rsid w:val="000866E5"/>
    <w:rsid w:val="00092159"/>
    <w:rsid w:val="00095C41"/>
    <w:rsid w:val="00095FF1"/>
    <w:rsid w:val="00097CA6"/>
    <w:rsid w:val="000A3A43"/>
    <w:rsid w:val="000A3C5D"/>
    <w:rsid w:val="000A6019"/>
    <w:rsid w:val="000A6A03"/>
    <w:rsid w:val="000B15AD"/>
    <w:rsid w:val="000B2511"/>
    <w:rsid w:val="000B3253"/>
    <w:rsid w:val="000B558B"/>
    <w:rsid w:val="000C6087"/>
    <w:rsid w:val="000C7159"/>
    <w:rsid w:val="000D6D0D"/>
    <w:rsid w:val="000D7225"/>
    <w:rsid w:val="000E0D78"/>
    <w:rsid w:val="000E1894"/>
    <w:rsid w:val="000E3EC2"/>
    <w:rsid w:val="000E47AB"/>
    <w:rsid w:val="000E6050"/>
    <w:rsid w:val="000E634C"/>
    <w:rsid w:val="000F0C8F"/>
    <w:rsid w:val="000F375A"/>
    <w:rsid w:val="000F461F"/>
    <w:rsid w:val="000F5ACB"/>
    <w:rsid w:val="000F7C2D"/>
    <w:rsid w:val="00100F44"/>
    <w:rsid w:val="00111236"/>
    <w:rsid w:val="00111B1A"/>
    <w:rsid w:val="00114DE5"/>
    <w:rsid w:val="00115D45"/>
    <w:rsid w:val="00116DD7"/>
    <w:rsid w:val="001209C7"/>
    <w:rsid w:val="00120CC5"/>
    <w:rsid w:val="00123673"/>
    <w:rsid w:val="00126F56"/>
    <w:rsid w:val="00126FBE"/>
    <w:rsid w:val="00141B09"/>
    <w:rsid w:val="0014753D"/>
    <w:rsid w:val="00147C4F"/>
    <w:rsid w:val="001530C2"/>
    <w:rsid w:val="001534BD"/>
    <w:rsid w:val="001547BF"/>
    <w:rsid w:val="00156A39"/>
    <w:rsid w:val="001603CD"/>
    <w:rsid w:val="00160DBC"/>
    <w:rsid w:val="001618BA"/>
    <w:rsid w:val="0016348D"/>
    <w:rsid w:val="00166BB3"/>
    <w:rsid w:val="001711C5"/>
    <w:rsid w:val="00171788"/>
    <w:rsid w:val="001745BA"/>
    <w:rsid w:val="00175BCF"/>
    <w:rsid w:val="00175F5C"/>
    <w:rsid w:val="0017752B"/>
    <w:rsid w:val="00177D6C"/>
    <w:rsid w:val="00180C23"/>
    <w:rsid w:val="001833BA"/>
    <w:rsid w:val="00183C7C"/>
    <w:rsid w:val="00184166"/>
    <w:rsid w:val="001862B0"/>
    <w:rsid w:val="00186E00"/>
    <w:rsid w:val="00187FC6"/>
    <w:rsid w:val="00194600"/>
    <w:rsid w:val="00196CEC"/>
    <w:rsid w:val="0019768C"/>
    <w:rsid w:val="001A03A2"/>
    <w:rsid w:val="001A03E5"/>
    <w:rsid w:val="001A04B9"/>
    <w:rsid w:val="001A0B70"/>
    <w:rsid w:val="001A18BF"/>
    <w:rsid w:val="001A31AE"/>
    <w:rsid w:val="001A487A"/>
    <w:rsid w:val="001A5535"/>
    <w:rsid w:val="001A592F"/>
    <w:rsid w:val="001A6893"/>
    <w:rsid w:val="001A6ADE"/>
    <w:rsid w:val="001A732F"/>
    <w:rsid w:val="001B21A5"/>
    <w:rsid w:val="001B4016"/>
    <w:rsid w:val="001B75D4"/>
    <w:rsid w:val="001B7CAF"/>
    <w:rsid w:val="001C024F"/>
    <w:rsid w:val="001C05D7"/>
    <w:rsid w:val="001C1FFA"/>
    <w:rsid w:val="001C631C"/>
    <w:rsid w:val="001C6FE8"/>
    <w:rsid w:val="001C70B8"/>
    <w:rsid w:val="001D2780"/>
    <w:rsid w:val="001D7E7F"/>
    <w:rsid w:val="001E33BA"/>
    <w:rsid w:val="001E511A"/>
    <w:rsid w:val="001E6DF1"/>
    <w:rsid w:val="001F03E9"/>
    <w:rsid w:val="001F6870"/>
    <w:rsid w:val="001F6A7A"/>
    <w:rsid w:val="001F6E80"/>
    <w:rsid w:val="00200CA5"/>
    <w:rsid w:val="00201192"/>
    <w:rsid w:val="00201459"/>
    <w:rsid w:val="0020473A"/>
    <w:rsid w:val="00205E7B"/>
    <w:rsid w:val="0020796F"/>
    <w:rsid w:val="0021001D"/>
    <w:rsid w:val="00210C2D"/>
    <w:rsid w:val="00213698"/>
    <w:rsid w:val="00213C23"/>
    <w:rsid w:val="00213E69"/>
    <w:rsid w:val="002152E1"/>
    <w:rsid w:val="00216C5F"/>
    <w:rsid w:val="00216D18"/>
    <w:rsid w:val="00223D4F"/>
    <w:rsid w:val="00224836"/>
    <w:rsid w:val="00225E22"/>
    <w:rsid w:val="00230488"/>
    <w:rsid w:val="00231929"/>
    <w:rsid w:val="00235D54"/>
    <w:rsid w:val="00235FDD"/>
    <w:rsid w:val="00236C32"/>
    <w:rsid w:val="00245A3A"/>
    <w:rsid w:val="00245E78"/>
    <w:rsid w:val="0024648D"/>
    <w:rsid w:val="0024685C"/>
    <w:rsid w:val="002468E6"/>
    <w:rsid w:val="00246FB3"/>
    <w:rsid w:val="00252377"/>
    <w:rsid w:val="0025254F"/>
    <w:rsid w:val="0025420E"/>
    <w:rsid w:val="00254CB5"/>
    <w:rsid w:val="00257651"/>
    <w:rsid w:val="002624B3"/>
    <w:rsid w:val="00262E41"/>
    <w:rsid w:val="00262F37"/>
    <w:rsid w:val="00264A6D"/>
    <w:rsid w:val="00265C9E"/>
    <w:rsid w:val="00266139"/>
    <w:rsid w:val="00267005"/>
    <w:rsid w:val="0027082F"/>
    <w:rsid w:val="00271384"/>
    <w:rsid w:val="00273E64"/>
    <w:rsid w:val="00274CAB"/>
    <w:rsid w:val="00284E80"/>
    <w:rsid w:val="00285231"/>
    <w:rsid w:val="002879DD"/>
    <w:rsid w:val="00293491"/>
    <w:rsid w:val="002940FE"/>
    <w:rsid w:val="0029679B"/>
    <w:rsid w:val="002A74C7"/>
    <w:rsid w:val="002C2C42"/>
    <w:rsid w:val="002C31C5"/>
    <w:rsid w:val="002C3BAA"/>
    <w:rsid w:val="002C64F3"/>
    <w:rsid w:val="002D08AF"/>
    <w:rsid w:val="002D28A0"/>
    <w:rsid w:val="002D6BEC"/>
    <w:rsid w:val="002E2B8F"/>
    <w:rsid w:val="002F109C"/>
    <w:rsid w:val="002F20A9"/>
    <w:rsid w:val="002F240A"/>
    <w:rsid w:val="002F4B64"/>
    <w:rsid w:val="002F6EF9"/>
    <w:rsid w:val="00302430"/>
    <w:rsid w:val="003045AC"/>
    <w:rsid w:val="00304F8F"/>
    <w:rsid w:val="00305B7F"/>
    <w:rsid w:val="00305CD6"/>
    <w:rsid w:val="0030702E"/>
    <w:rsid w:val="00317955"/>
    <w:rsid w:val="00320F9A"/>
    <w:rsid w:val="00321574"/>
    <w:rsid w:val="0032487F"/>
    <w:rsid w:val="003258C7"/>
    <w:rsid w:val="0032671C"/>
    <w:rsid w:val="00327DF8"/>
    <w:rsid w:val="003321FF"/>
    <w:rsid w:val="00332430"/>
    <w:rsid w:val="0033370F"/>
    <w:rsid w:val="003402CF"/>
    <w:rsid w:val="0034235C"/>
    <w:rsid w:val="003504F0"/>
    <w:rsid w:val="00351E4C"/>
    <w:rsid w:val="00354ED6"/>
    <w:rsid w:val="00360C9B"/>
    <w:rsid w:val="003621E1"/>
    <w:rsid w:val="003642EA"/>
    <w:rsid w:val="003642EB"/>
    <w:rsid w:val="003645C8"/>
    <w:rsid w:val="003645E3"/>
    <w:rsid w:val="0036531F"/>
    <w:rsid w:val="00365F0B"/>
    <w:rsid w:val="00371A49"/>
    <w:rsid w:val="0037333E"/>
    <w:rsid w:val="00373C1A"/>
    <w:rsid w:val="00373F26"/>
    <w:rsid w:val="003763A7"/>
    <w:rsid w:val="003764BC"/>
    <w:rsid w:val="00380B6D"/>
    <w:rsid w:val="00384D24"/>
    <w:rsid w:val="00387244"/>
    <w:rsid w:val="0039433D"/>
    <w:rsid w:val="003965F3"/>
    <w:rsid w:val="00397164"/>
    <w:rsid w:val="003A1577"/>
    <w:rsid w:val="003A160B"/>
    <w:rsid w:val="003A202A"/>
    <w:rsid w:val="003A4821"/>
    <w:rsid w:val="003A4C4B"/>
    <w:rsid w:val="003A792A"/>
    <w:rsid w:val="003B20B9"/>
    <w:rsid w:val="003B63C0"/>
    <w:rsid w:val="003B69E7"/>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3F7EF2"/>
    <w:rsid w:val="00400238"/>
    <w:rsid w:val="0040088E"/>
    <w:rsid w:val="004033FC"/>
    <w:rsid w:val="004066BC"/>
    <w:rsid w:val="00407202"/>
    <w:rsid w:val="00407CBC"/>
    <w:rsid w:val="00407F35"/>
    <w:rsid w:val="004101BE"/>
    <w:rsid w:val="0041101C"/>
    <w:rsid w:val="004110EB"/>
    <w:rsid w:val="0041249B"/>
    <w:rsid w:val="00414080"/>
    <w:rsid w:val="00416679"/>
    <w:rsid w:val="004171D5"/>
    <w:rsid w:val="00423717"/>
    <w:rsid w:val="004244CC"/>
    <w:rsid w:val="004252E9"/>
    <w:rsid w:val="00425C5A"/>
    <w:rsid w:val="00427FD9"/>
    <w:rsid w:val="00430012"/>
    <w:rsid w:val="004301BF"/>
    <w:rsid w:val="00434FE4"/>
    <w:rsid w:val="00435ED3"/>
    <w:rsid w:val="004376D1"/>
    <w:rsid w:val="004416F4"/>
    <w:rsid w:val="00450184"/>
    <w:rsid w:val="0045020E"/>
    <w:rsid w:val="00450E07"/>
    <w:rsid w:val="0045567E"/>
    <w:rsid w:val="0045775E"/>
    <w:rsid w:val="004578D3"/>
    <w:rsid w:val="00460345"/>
    <w:rsid w:val="00463BBD"/>
    <w:rsid w:val="00463F25"/>
    <w:rsid w:val="00464513"/>
    <w:rsid w:val="00465E51"/>
    <w:rsid w:val="00465EFA"/>
    <w:rsid w:val="0046668B"/>
    <w:rsid w:val="00466CA7"/>
    <w:rsid w:val="00467C31"/>
    <w:rsid w:val="00470EA6"/>
    <w:rsid w:val="00471195"/>
    <w:rsid w:val="0047482F"/>
    <w:rsid w:val="00475350"/>
    <w:rsid w:val="0047700A"/>
    <w:rsid w:val="004778AD"/>
    <w:rsid w:val="00485778"/>
    <w:rsid w:val="0049008C"/>
    <w:rsid w:val="0049110F"/>
    <w:rsid w:val="00491E10"/>
    <w:rsid w:val="00491FB3"/>
    <w:rsid w:val="00493B3F"/>
    <w:rsid w:val="00494476"/>
    <w:rsid w:val="004967DB"/>
    <w:rsid w:val="00496937"/>
    <w:rsid w:val="00497C3E"/>
    <w:rsid w:val="004A0C59"/>
    <w:rsid w:val="004A4F02"/>
    <w:rsid w:val="004A5378"/>
    <w:rsid w:val="004A5A35"/>
    <w:rsid w:val="004A60BE"/>
    <w:rsid w:val="004A748E"/>
    <w:rsid w:val="004B0BC3"/>
    <w:rsid w:val="004B4737"/>
    <w:rsid w:val="004B5BB0"/>
    <w:rsid w:val="004C03B8"/>
    <w:rsid w:val="004D1021"/>
    <w:rsid w:val="004D2A45"/>
    <w:rsid w:val="004D3ED9"/>
    <w:rsid w:val="004D4AB3"/>
    <w:rsid w:val="004D7DA5"/>
    <w:rsid w:val="004E09D2"/>
    <w:rsid w:val="004E2911"/>
    <w:rsid w:val="004E54FC"/>
    <w:rsid w:val="004E637A"/>
    <w:rsid w:val="004E694D"/>
    <w:rsid w:val="004E70D8"/>
    <w:rsid w:val="004E7496"/>
    <w:rsid w:val="004F0375"/>
    <w:rsid w:val="004F09D5"/>
    <w:rsid w:val="004F1A10"/>
    <w:rsid w:val="004F29A7"/>
    <w:rsid w:val="005000DD"/>
    <w:rsid w:val="0050399E"/>
    <w:rsid w:val="00503D45"/>
    <w:rsid w:val="00506DEC"/>
    <w:rsid w:val="005078F1"/>
    <w:rsid w:val="00510102"/>
    <w:rsid w:val="00513BDA"/>
    <w:rsid w:val="00513F94"/>
    <w:rsid w:val="0051437F"/>
    <w:rsid w:val="00516350"/>
    <w:rsid w:val="00522345"/>
    <w:rsid w:val="005256B6"/>
    <w:rsid w:val="005268D3"/>
    <w:rsid w:val="005324EE"/>
    <w:rsid w:val="00532CFD"/>
    <w:rsid w:val="005336FA"/>
    <w:rsid w:val="0053401B"/>
    <w:rsid w:val="00534D86"/>
    <w:rsid w:val="00536BC4"/>
    <w:rsid w:val="00536CA0"/>
    <w:rsid w:val="005377BF"/>
    <w:rsid w:val="00544DB5"/>
    <w:rsid w:val="005503AD"/>
    <w:rsid w:val="00550B33"/>
    <w:rsid w:val="005522C1"/>
    <w:rsid w:val="0055355E"/>
    <w:rsid w:val="00553D41"/>
    <w:rsid w:val="005547C8"/>
    <w:rsid w:val="00556677"/>
    <w:rsid w:val="00562268"/>
    <w:rsid w:val="005623F5"/>
    <w:rsid w:val="005722D1"/>
    <w:rsid w:val="005735E2"/>
    <w:rsid w:val="00574199"/>
    <w:rsid w:val="00582F37"/>
    <w:rsid w:val="00585DCD"/>
    <w:rsid w:val="00591BC7"/>
    <w:rsid w:val="0059203A"/>
    <w:rsid w:val="00592B92"/>
    <w:rsid w:val="00597D77"/>
    <w:rsid w:val="005A0C7A"/>
    <w:rsid w:val="005A120F"/>
    <w:rsid w:val="005A14FA"/>
    <w:rsid w:val="005A1628"/>
    <w:rsid w:val="005A28B7"/>
    <w:rsid w:val="005A2AF5"/>
    <w:rsid w:val="005A5F8F"/>
    <w:rsid w:val="005A6097"/>
    <w:rsid w:val="005A7471"/>
    <w:rsid w:val="005B10D0"/>
    <w:rsid w:val="005B1CA1"/>
    <w:rsid w:val="005B2C0D"/>
    <w:rsid w:val="005B4529"/>
    <w:rsid w:val="005B777D"/>
    <w:rsid w:val="005C39DE"/>
    <w:rsid w:val="005C41E5"/>
    <w:rsid w:val="005C6DF9"/>
    <w:rsid w:val="005D0C20"/>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27A20"/>
    <w:rsid w:val="00627F43"/>
    <w:rsid w:val="006332C8"/>
    <w:rsid w:val="00634524"/>
    <w:rsid w:val="00634D6A"/>
    <w:rsid w:val="00640832"/>
    <w:rsid w:val="00641F61"/>
    <w:rsid w:val="00642CBA"/>
    <w:rsid w:val="00643F32"/>
    <w:rsid w:val="00644B96"/>
    <w:rsid w:val="00644D72"/>
    <w:rsid w:val="006464C4"/>
    <w:rsid w:val="0065074C"/>
    <w:rsid w:val="00650B2A"/>
    <w:rsid w:val="00653321"/>
    <w:rsid w:val="006534CA"/>
    <w:rsid w:val="00655DAD"/>
    <w:rsid w:val="006575A7"/>
    <w:rsid w:val="00661BB6"/>
    <w:rsid w:val="006640D8"/>
    <w:rsid w:val="006654E2"/>
    <w:rsid w:val="006659A8"/>
    <w:rsid w:val="0066633F"/>
    <w:rsid w:val="0066696D"/>
    <w:rsid w:val="00666C4C"/>
    <w:rsid w:val="00667938"/>
    <w:rsid w:val="006705A3"/>
    <w:rsid w:val="00673734"/>
    <w:rsid w:val="00680090"/>
    <w:rsid w:val="006854FC"/>
    <w:rsid w:val="00685774"/>
    <w:rsid w:val="00686808"/>
    <w:rsid w:val="0068777A"/>
    <w:rsid w:val="00687F7A"/>
    <w:rsid w:val="00690867"/>
    <w:rsid w:val="0069104D"/>
    <w:rsid w:val="00694C74"/>
    <w:rsid w:val="0069570A"/>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4F5"/>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3271"/>
    <w:rsid w:val="00774260"/>
    <w:rsid w:val="00775DA1"/>
    <w:rsid w:val="00776199"/>
    <w:rsid w:val="00783367"/>
    <w:rsid w:val="00786285"/>
    <w:rsid w:val="00787E50"/>
    <w:rsid w:val="007905F1"/>
    <w:rsid w:val="007911D9"/>
    <w:rsid w:val="007919AD"/>
    <w:rsid w:val="0079273F"/>
    <w:rsid w:val="007938CA"/>
    <w:rsid w:val="00793D95"/>
    <w:rsid w:val="007A13E2"/>
    <w:rsid w:val="007A2E12"/>
    <w:rsid w:val="007A2E76"/>
    <w:rsid w:val="007A3947"/>
    <w:rsid w:val="007A42ED"/>
    <w:rsid w:val="007A5B6F"/>
    <w:rsid w:val="007A78C8"/>
    <w:rsid w:val="007B02B9"/>
    <w:rsid w:val="007B034B"/>
    <w:rsid w:val="007B043A"/>
    <w:rsid w:val="007B15FB"/>
    <w:rsid w:val="007B2C11"/>
    <w:rsid w:val="007B372F"/>
    <w:rsid w:val="007B6659"/>
    <w:rsid w:val="007C36F7"/>
    <w:rsid w:val="007C37F1"/>
    <w:rsid w:val="007C5B1E"/>
    <w:rsid w:val="007C5EDA"/>
    <w:rsid w:val="007C6B86"/>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16365"/>
    <w:rsid w:val="00827264"/>
    <w:rsid w:val="00833094"/>
    <w:rsid w:val="008335E9"/>
    <w:rsid w:val="00841E6A"/>
    <w:rsid w:val="008432E2"/>
    <w:rsid w:val="00847310"/>
    <w:rsid w:val="008547FE"/>
    <w:rsid w:val="008549FE"/>
    <w:rsid w:val="008563D3"/>
    <w:rsid w:val="008655BA"/>
    <w:rsid w:val="008668E4"/>
    <w:rsid w:val="00867379"/>
    <w:rsid w:val="00867D64"/>
    <w:rsid w:val="00870CB1"/>
    <w:rsid w:val="008711A4"/>
    <w:rsid w:val="0087592C"/>
    <w:rsid w:val="0087599E"/>
    <w:rsid w:val="00884501"/>
    <w:rsid w:val="00884BAD"/>
    <w:rsid w:val="00886370"/>
    <w:rsid w:val="00887B46"/>
    <w:rsid w:val="00892621"/>
    <w:rsid w:val="00892F4A"/>
    <w:rsid w:val="00893905"/>
    <w:rsid w:val="0089656C"/>
    <w:rsid w:val="0089671F"/>
    <w:rsid w:val="008A13E4"/>
    <w:rsid w:val="008A2AD5"/>
    <w:rsid w:val="008A4FE7"/>
    <w:rsid w:val="008A5CA3"/>
    <w:rsid w:val="008A6843"/>
    <w:rsid w:val="008B0434"/>
    <w:rsid w:val="008B1271"/>
    <w:rsid w:val="008B3157"/>
    <w:rsid w:val="008C2445"/>
    <w:rsid w:val="008C2E2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63B7"/>
    <w:rsid w:val="00916CE7"/>
    <w:rsid w:val="00921671"/>
    <w:rsid w:val="00923859"/>
    <w:rsid w:val="00927234"/>
    <w:rsid w:val="00931741"/>
    <w:rsid w:val="009336F6"/>
    <w:rsid w:val="009348BC"/>
    <w:rsid w:val="009370D6"/>
    <w:rsid w:val="009453D3"/>
    <w:rsid w:val="009466DA"/>
    <w:rsid w:val="00952EF8"/>
    <w:rsid w:val="00953C9A"/>
    <w:rsid w:val="0095439E"/>
    <w:rsid w:val="00954E35"/>
    <w:rsid w:val="00955055"/>
    <w:rsid w:val="0095528E"/>
    <w:rsid w:val="009619BF"/>
    <w:rsid w:val="00961BB4"/>
    <w:rsid w:val="00965795"/>
    <w:rsid w:val="00970648"/>
    <w:rsid w:val="00972089"/>
    <w:rsid w:val="00972F62"/>
    <w:rsid w:val="009778A2"/>
    <w:rsid w:val="00982311"/>
    <w:rsid w:val="00986471"/>
    <w:rsid w:val="00986A1E"/>
    <w:rsid w:val="0098763F"/>
    <w:rsid w:val="0099049D"/>
    <w:rsid w:val="0099094C"/>
    <w:rsid w:val="00992664"/>
    <w:rsid w:val="009940A2"/>
    <w:rsid w:val="009956FD"/>
    <w:rsid w:val="00997F92"/>
    <w:rsid w:val="009A06D9"/>
    <w:rsid w:val="009A5873"/>
    <w:rsid w:val="009A6AA3"/>
    <w:rsid w:val="009A6CE4"/>
    <w:rsid w:val="009A7AA8"/>
    <w:rsid w:val="009A7D3D"/>
    <w:rsid w:val="009B2F59"/>
    <w:rsid w:val="009B35B6"/>
    <w:rsid w:val="009C0101"/>
    <w:rsid w:val="009C0383"/>
    <w:rsid w:val="009C1691"/>
    <w:rsid w:val="009C3FE3"/>
    <w:rsid w:val="009E066A"/>
    <w:rsid w:val="009E12A8"/>
    <w:rsid w:val="009E16DB"/>
    <w:rsid w:val="009E4513"/>
    <w:rsid w:val="009E652B"/>
    <w:rsid w:val="009F32F2"/>
    <w:rsid w:val="00A03572"/>
    <w:rsid w:val="00A04BA1"/>
    <w:rsid w:val="00A05906"/>
    <w:rsid w:val="00A07CB7"/>
    <w:rsid w:val="00A14F62"/>
    <w:rsid w:val="00A16CD7"/>
    <w:rsid w:val="00A20634"/>
    <w:rsid w:val="00A23A11"/>
    <w:rsid w:val="00A23B08"/>
    <w:rsid w:val="00A250E1"/>
    <w:rsid w:val="00A2552B"/>
    <w:rsid w:val="00A27F74"/>
    <w:rsid w:val="00A30613"/>
    <w:rsid w:val="00A31EAA"/>
    <w:rsid w:val="00A330B0"/>
    <w:rsid w:val="00A33671"/>
    <w:rsid w:val="00A346AB"/>
    <w:rsid w:val="00A35CDD"/>
    <w:rsid w:val="00A37A65"/>
    <w:rsid w:val="00A43B12"/>
    <w:rsid w:val="00A44589"/>
    <w:rsid w:val="00A44B0B"/>
    <w:rsid w:val="00A4685D"/>
    <w:rsid w:val="00A47624"/>
    <w:rsid w:val="00A5067D"/>
    <w:rsid w:val="00A52364"/>
    <w:rsid w:val="00A52729"/>
    <w:rsid w:val="00A56FC2"/>
    <w:rsid w:val="00A57473"/>
    <w:rsid w:val="00A57599"/>
    <w:rsid w:val="00A57C60"/>
    <w:rsid w:val="00A62DB0"/>
    <w:rsid w:val="00A64D24"/>
    <w:rsid w:val="00A65D66"/>
    <w:rsid w:val="00A66F06"/>
    <w:rsid w:val="00A735C4"/>
    <w:rsid w:val="00A74007"/>
    <w:rsid w:val="00A76A1D"/>
    <w:rsid w:val="00A77D52"/>
    <w:rsid w:val="00A802C2"/>
    <w:rsid w:val="00A811B1"/>
    <w:rsid w:val="00A82C5D"/>
    <w:rsid w:val="00A8728D"/>
    <w:rsid w:val="00A91B2D"/>
    <w:rsid w:val="00A924B9"/>
    <w:rsid w:val="00A93907"/>
    <w:rsid w:val="00A94310"/>
    <w:rsid w:val="00A94C58"/>
    <w:rsid w:val="00A972AA"/>
    <w:rsid w:val="00AA064E"/>
    <w:rsid w:val="00AA2E63"/>
    <w:rsid w:val="00AA4A61"/>
    <w:rsid w:val="00AA71D3"/>
    <w:rsid w:val="00AB3B1B"/>
    <w:rsid w:val="00AB4B72"/>
    <w:rsid w:val="00AB783F"/>
    <w:rsid w:val="00AC08A4"/>
    <w:rsid w:val="00AC0A3F"/>
    <w:rsid w:val="00AC2477"/>
    <w:rsid w:val="00AC30A3"/>
    <w:rsid w:val="00AD2613"/>
    <w:rsid w:val="00AD2AEA"/>
    <w:rsid w:val="00AD4BC9"/>
    <w:rsid w:val="00AD57FC"/>
    <w:rsid w:val="00AD7990"/>
    <w:rsid w:val="00AE3280"/>
    <w:rsid w:val="00AE35A5"/>
    <w:rsid w:val="00AE4A9C"/>
    <w:rsid w:val="00AF26E3"/>
    <w:rsid w:val="00AF6BD5"/>
    <w:rsid w:val="00B024B5"/>
    <w:rsid w:val="00B02B0F"/>
    <w:rsid w:val="00B0399E"/>
    <w:rsid w:val="00B046BC"/>
    <w:rsid w:val="00B04941"/>
    <w:rsid w:val="00B052BC"/>
    <w:rsid w:val="00B05691"/>
    <w:rsid w:val="00B10DED"/>
    <w:rsid w:val="00B121B6"/>
    <w:rsid w:val="00B12A92"/>
    <w:rsid w:val="00B13932"/>
    <w:rsid w:val="00B1697B"/>
    <w:rsid w:val="00B23736"/>
    <w:rsid w:val="00B23DD6"/>
    <w:rsid w:val="00B24085"/>
    <w:rsid w:val="00B25A1D"/>
    <w:rsid w:val="00B25EF0"/>
    <w:rsid w:val="00B26D18"/>
    <w:rsid w:val="00B32B66"/>
    <w:rsid w:val="00B368F7"/>
    <w:rsid w:val="00B407CC"/>
    <w:rsid w:val="00B41286"/>
    <w:rsid w:val="00B44B6E"/>
    <w:rsid w:val="00B45759"/>
    <w:rsid w:val="00B4628F"/>
    <w:rsid w:val="00B51B07"/>
    <w:rsid w:val="00B51D9E"/>
    <w:rsid w:val="00B53285"/>
    <w:rsid w:val="00B54C01"/>
    <w:rsid w:val="00B578C4"/>
    <w:rsid w:val="00B57BEE"/>
    <w:rsid w:val="00B628D9"/>
    <w:rsid w:val="00B632D0"/>
    <w:rsid w:val="00B64101"/>
    <w:rsid w:val="00B64D9D"/>
    <w:rsid w:val="00B66799"/>
    <w:rsid w:val="00B71000"/>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491"/>
    <w:rsid w:val="00BA559B"/>
    <w:rsid w:val="00BA7BA0"/>
    <w:rsid w:val="00BB05F8"/>
    <w:rsid w:val="00BB4F2D"/>
    <w:rsid w:val="00BB5DA7"/>
    <w:rsid w:val="00BB6B15"/>
    <w:rsid w:val="00BC0343"/>
    <w:rsid w:val="00BC0FCC"/>
    <w:rsid w:val="00BC1DE3"/>
    <w:rsid w:val="00BC4C2E"/>
    <w:rsid w:val="00BC521C"/>
    <w:rsid w:val="00BC643B"/>
    <w:rsid w:val="00BC6A70"/>
    <w:rsid w:val="00BD6586"/>
    <w:rsid w:val="00BE08A0"/>
    <w:rsid w:val="00BE1656"/>
    <w:rsid w:val="00BE271A"/>
    <w:rsid w:val="00BE52C9"/>
    <w:rsid w:val="00BE75D7"/>
    <w:rsid w:val="00BF0936"/>
    <w:rsid w:val="00BF3042"/>
    <w:rsid w:val="00BF3A47"/>
    <w:rsid w:val="00BF5D37"/>
    <w:rsid w:val="00C02029"/>
    <w:rsid w:val="00C079A4"/>
    <w:rsid w:val="00C11616"/>
    <w:rsid w:val="00C12193"/>
    <w:rsid w:val="00C172A7"/>
    <w:rsid w:val="00C2022A"/>
    <w:rsid w:val="00C21DFC"/>
    <w:rsid w:val="00C24308"/>
    <w:rsid w:val="00C26417"/>
    <w:rsid w:val="00C26492"/>
    <w:rsid w:val="00C272B4"/>
    <w:rsid w:val="00C300FE"/>
    <w:rsid w:val="00C31FAA"/>
    <w:rsid w:val="00C34388"/>
    <w:rsid w:val="00C353F5"/>
    <w:rsid w:val="00C36218"/>
    <w:rsid w:val="00C36EC2"/>
    <w:rsid w:val="00C438FB"/>
    <w:rsid w:val="00C456B0"/>
    <w:rsid w:val="00C46C64"/>
    <w:rsid w:val="00C47148"/>
    <w:rsid w:val="00C529DA"/>
    <w:rsid w:val="00C56C7C"/>
    <w:rsid w:val="00C5705B"/>
    <w:rsid w:val="00C614C5"/>
    <w:rsid w:val="00C61F54"/>
    <w:rsid w:val="00C632B9"/>
    <w:rsid w:val="00C63D9B"/>
    <w:rsid w:val="00C6454A"/>
    <w:rsid w:val="00C6773D"/>
    <w:rsid w:val="00C67841"/>
    <w:rsid w:val="00C71F60"/>
    <w:rsid w:val="00C72BA3"/>
    <w:rsid w:val="00C76726"/>
    <w:rsid w:val="00C810BE"/>
    <w:rsid w:val="00C82178"/>
    <w:rsid w:val="00C8307F"/>
    <w:rsid w:val="00C8518E"/>
    <w:rsid w:val="00C92C20"/>
    <w:rsid w:val="00C93FF0"/>
    <w:rsid w:val="00C94167"/>
    <w:rsid w:val="00C97491"/>
    <w:rsid w:val="00C979B5"/>
    <w:rsid w:val="00CA2CC8"/>
    <w:rsid w:val="00CA2F26"/>
    <w:rsid w:val="00CA3AC9"/>
    <w:rsid w:val="00CA69C7"/>
    <w:rsid w:val="00CB16E5"/>
    <w:rsid w:val="00CB490E"/>
    <w:rsid w:val="00CC4F73"/>
    <w:rsid w:val="00CC53FE"/>
    <w:rsid w:val="00CC6E2E"/>
    <w:rsid w:val="00CC6F3D"/>
    <w:rsid w:val="00CD2537"/>
    <w:rsid w:val="00CD2B4F"/>
    <w:rsid w:val="00CD43CB"/>
    <w:rsid w:val="00CD7524"/>
    <w:rsid w:val="00CF02D8"/>
    <w:rsid w:val="00CF193A"/>
    <w:rsid w:val="00CF1EA9"/>
    <w:rsid w:val="00CF2964"/>
    <w:rsid w:val="00CF310C"/>
    <w:rsid w:val="00CF4D20"/>
    <w:rsid w:val="00CF52E5"/>
    <w:rsid w:val="00CF7043"/>
    <w:rsid w:val="00D0029D"/>
    <w:rsid w:val="00D00A2A"/>
    <w:rsid w:val="00D03694"/>
    <w:rsid w:val="00D05C70"/>
    <w:rsid w:val="00D05DC3"/>
    <w:rsid w:val="00D10E90"/>
    <w:rsid w:val="00D11889"/>
    <w:rsid w:val="00D15340"/>
    <w:rsid w:val="00D15DA9"/>
    <w:rsid w:val="00D1754F"/>
    <w:rsid w:val="00D22331"/>
    <w:rsid w:val="00D22882"/>
    <w:rsid w:val="00D22B13"/>
    <w:rsid w:val="00D24837"/>
    <w:rsid w:val="00D25503"/>
    <w:rsid w:val="00D304A7"/>
    <w:rsid w:val="00D33B80"/>
    <w:rsid w:val="00D34294"/>
    <w:rsid w:val="00D365A2"/>
    <w:rsid w:val="00D4584C"/>
    <w:rsid w:val="00D464C3"/>
    <w:rsid w:val="00D509E2"/>
    <w:rsid w:val="00D50D03"/>
    <w:rsid w:val="00D51D79"/>
    <w:rsid w:val="00D57D29"/>
    <w:rsid w:val="00D67864"/>
    <w:rsid w:val="00D73C91"/>
    <w:rsid w:val="00D7498F"/>
    <w:rsid w:val="00D758D7"/>
    <w:rsid w:val="00D83857"/>
    <w:rsid w:val="00D85AE6"/>
    <w:rsid w:val="00D86B92"/>
    <w:rsid w:val="00D915F7"/>
    <w:rsid w:val="00D92535"/>
    <w:rsid w:val="00D95971"/>
    <w:rsid w:val="00D97850"/>
    <w:rsid w:val="00DA003E"/>
    <w:rsid w:val="00DA18D0"/>
    <w:rsid w:val="00DA21E4"/>
    <w:rsid w:val="00DA2744"/>
    <w:rsid w:val="00DA29F1"/>
    <w:rsid w:val="00DB1351"/>
    <w:rsid w:val="00DB5286"/>
    <w:rsid w:val="00DB65F2"/>
    <w:rsid w:val="00DC15A1"/>
    <w:rsid w:val="00DC1D26"/>
    <w:rsid w:val="00DC3045"/>
    <w:rsid w:val="00DC408C"/>
    <w:rsid w:val="00DC698F"/>
    <w:rsid w:val="00DC7B1F"/>
    <w:rsid w:val="00DD05BD"/>
    <w:rsid w:val="00DD1166"/>
    <w:rsid w:val="00DE007F"/>
    <w:rsid w:val="00DE09CD"/>
    <w:rsid w:val="00DE2711"/>
    <w:rsid w:val="00DE2828"/>
    <w:rsid w:val="00DE4B70"/>
    <w:rsid w:val="00DE54E4"/>
    <w:rsid w:val="00DE702D"/>
    <w:rsid w:val="00DF213B"/>
    <w:rsid w:val="00DF46DB"/>
    <w:rsid w:val="00DF6BB8"/>
    <w:rsid w:val="00E04956"/>
    <w:rsid w:val="00E0793F"/>
    <w:rsid w:val="00E21549"/>
    <w:rsid w:val="00E24DA6"/>
    <w:rsid w:val="00E26A0E"/>
    <w:rsid w:val="00E2766F"/>
    <w:rsid w:val="00E31684"/>
    <w:rsid w:val="00E35ACE"/>
    <w:rsid w:val="00E35CC4"/>
    <w:rsid w:val="00E36A00"/>
    <w:rsid w:val="00E42E68"/>
    <w:rsid w:val="00E44A73"/>
    <w:rsid w:val="00E44DD4"/>
    <w:rsid w:val="00E45243"/>
    <w:rsid w:val="00E465EF"/>
    <w:rsid w:val="00E479EF"/>
    <w:rsid w:val="00E47B85"/>
    <w:rsid w:val="00E50546"/>
    <w:rsid w:val="00E50AF7"/>
    <w:rsid w:val="00E510CA"/>
    <w:rsid w:val="00E53097"/>
    <w:rsid w:val="00E536E7"/>
    <w:rsid w:val="00E53D6A"/>
    <w:rsid w:val="00E54142"/>
    <w:rsid w:val="00E5494E"/>
    <w:rsid w:val="00E563CE"/>
    <w:rsid w:val="00E5716E"/>
    <w:rsid w:val="00E60DBD"/>
    <w:rsid w:val="00E61B7F"/>
    <w:rsid w:val="00E627A5"/>
    <w:rsid w:val="00E66243"/>
    <w:rsid w:val="00E66540"/>
    <w:rsid w:val="00E66C40"/>
    <w:rsid w:val="00E67744"/>
    <w:rsid w:val="00E71360"/>
    <w:rsid w:val="00E72039"/>
    <w:rsid w:val="00E7468E"/>
    <w:rsid w:val="00E76CA6"/>
    <w:rsid w:val="00E76CE0"/>
    <w:rsid w:val="00E77E0B"/>
    <w:rsid w:val="00E81D17"/>
    <w:rsid w:val="00E82A78"/>
    <w:rsid w:val="00E83B3B"/>
    <w:rsid w:val="00E84471"/>
    <w:rsid w:val="00E84AB1"/>
    <w:rsid w:val="00E90303"/>
    <w:rsid w:val="00E91356"/>
    <w:rsid w:val="00E93A3C"/>
    <w:rsid w:val="00E94534"/>
    <w:rsid w:val="00E97F39"/>
    <w:rsid w:val="00EA0DBD"/>
    <w:rsid w:val="00EA5315"/>
    <w:rsid w:val="00EB2D31"/>
    <w:rsid w:val="00EB4A15"/>
    <w:rsid w:val="00EC1A0C"/>
    <w:rsid w:val="00EC26A5"/>
    <w:rsid w:val="00EC4251"/>
    <w:rsid w:val="00EC78BE"/>
    <w:rsid w:val="00ED2B62"/>
    <w:rsid w:val="00ED3574"/>
    <w:rsid w:val="00ED6794"/>
    <w:rsid w:val="00EE04E9"/>
    <w:rsid w:val="00EE0A0D"/>
    <w:rsid w:val="00EE14C2"/>
    <w:rsid w:val="00EE56AD"/>
    <w:rsid w:val="00EE5E00"/>
    <w:rsid w:val="00EE602E"/>
    <w:rsid w:val="00EE73C7"/>
    <w:rsid w:val="00EE7869"/>
    <w:rsid w:val="00EF1608"/>
    <w:rsid w:val="00EF5FE9"/>
    <w:rsid w:val="00F01973"/>
    <w:rsid w:val="00F01FFC"/>
    <w:rsid w:val="00F056E2"/>
    <w:rsid w:val="00F063DB"/>
    <w:rsid w:val="00F07A35"/>
    <w:rsid w:val="00F10F18"/>
    <w:rsid w:val="00F14540"/>
    <w:rsid w:val="00F2165E"/>
    <w:rsid w:val="00F23558"/>
    <w:rsid w:val="00F23C39"/>
    <w:rsid w:val="00F257A2"/>
    <w:rsid w:val="00F27018"/>
    <w:rsid w:val="00F3113D"/>
    <w:rsid w:val="00F320A7"/>
    <w:rsid w:val="00F3315D"/>
    <w:rsid w:val="00F334A9"/>
    <w:rsid w:val="00F335A5"/>
    <w:rsid w:val="00F44110"/>
    <w:rsid w:val="00F5125D"/>
    <w:rsid w:val="00F531F1"/>
    <w:rsid w:val="00F53808"/>
    <w:rsid w:val="00F54030"/>
    <w:rsid w:val="00F546F3"/>
    <w:rsid w:val="00F550A1"/>
    <w:rsid w:val="00F56C40"/>
    <w:rsid w:val="00F67357"/>
    <w:rsid w:val="00F67901"/>
    <w:rsid w:val="00F700AB"/>
    <w:rsid w:val="00F7359B"/>
    <w:rsid w:val="00F73D06"/>
    <w:rsid w:val="00F74582"/>
    <w:rsid w:val="00F768C4"/>
    <w:rsid w:val="00F80917"/>
    <w:rsid w:val="00F82CFA"/>
    <w:rsid w:val="00F83425"/>
    <w:rsid w:val="00F8732A"/>
    <w:rsid w:val="00F91042"/>
    <w:rsid w:val="00F95483"/>
    <w:rsid w:val="00F9560A"/>
    <w:rsid w:val="00F9604E"/>
    <w:rsid w:val="00F9742A"/>
    <w:rsid w:val="00FA0D01"/>
    <w:rsid w:val="00FA1246"/>
    <w:rsid w:val="00FA1655"/>
    <w:rsid w:val="00FA3046"/>
    <w:rsid w:val="00FA447E"/>
    <w:rsid w:val="00FA726B"/>
    <w:rsid w:val="00FB0344"/>
    <w:rsid w:val="00FB1E9F"/>
    <w:rsid w:val="00FB2E18"/>
    <w:rsid w:val="00FB4CEB"/>
    <w:rsid w:val="00FB5895"/>
    <w:rsid w:val="00FB70B8"/>
    <w:rsid w:val="00FB7AD4"/>
    <w:rsid w:val="00FC05CC"/>
    <w:rsid w:val="00FC2B72"/>
    <w:rsid w:val="00FC2D66"/>
    <w:rsid w:val="00FC30C7"/>
    <w:rsid w:val="00FC3A58"/>
    <w:rsid w:val="00FD04CA"/>
    <w:rsid w:val="00FD06EC"/>
    <w:rsid w:val="00FD2A06"/>
    <w:rsid w:val="00FD2A33"/>
    <w:rsid w:val="00FD5384"/>
    <w:rsid w:val="00FE090F"/>
    <w:rsid w:val="00FE09D3"/>
    <w:rsid w:val="00FE6D08"/>
    <w:rsid w:val="00FE79E5"/>
    <w:rsid w:val="00FF4CEE"/>
    <w:rsid w:val="00FF524E"/>
    <w:rsid w:val="00FF668C"/>
    <w:rsid w:val="00FF67CE"/>
    <w:rsid w:val="044F5E51"/>
    <w:rsid w:val="046A13BE"/>
    <w:rsid w:val="05B03C6E"/>
    <w:rsid w:val="0CD709FD"/>
    <w:rsid w:val="176A74A7"/>
    <w:rsid w:val="180445F8"/>
    <w:rsid w:val="1B7D6F9E"/>
    <w:rsid w:val="1DE96840"/>
    <w:rsid w:val="23C16D3E"/>
    <w:rsid w:val="28394191"/>
    <w:rsid w:val="28D27DCB"/>
    <w:rsid w:val="2C282DE4"/>
    <w:rsid w:val="384D1477"/>
    <w:rsid w:val="3AE55AC0"/>
    <w:rsid w:val="3FD22F91"/>
    <w:rsid w:val="44AA2BE4"/>
    <w:rsid w:val="475D36A5"/>
    <w:rsid w:val="4A227EA2"/>
    <w:rsid w:val="4F064A2D"/>
    <w:rsid w:val="5AFF37D6"/>
    <w:rsid w:val="5B526B65"/>
    <w:rsid w:val="5B60543F"/>
    <w:rsid w:val="678206E1"/>
    <w:rsid w:val="6B6FFB50"/>
    <w:rsid w:val="6C72123C"/>
    <w:rsid w:val="731468D6"/>
    <w:rsid w:val="77B1D7F5"/>
    <w:rsid w:val="7B353184"/>
    <w:rsid w:val="7E6F362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字符"/>
    <w:basedOn w:val="9"/>
    <w:link w:val="3"/>
    <w:semiHidden/>
    <w:qFormat/>
    <w:uiPriority w:val="99"/>
    <w:rPr>
      <w:kern w:val="2"/>
      <w:sz w:val="18"/>
      <w:szCs w:val="18"/>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7D88-1F8C-4EF7-B61D-88143728797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1623</Words>
  <Characters>1639</Characters>
  <Lines>12</Lines>
  <Paragraphs>3</Paragraphs>
  <TotalTime>57</TotalTime>
  <ScaleCrop>false</ScaleCrop>
  <LinksUpToDate>false</LinksUpToDate>
  <CharactersWithSpaces>1669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2025-05-06T02:54:00Z</dcterms:created>
  <dc:creator>郭枫</dc:creator>
  <cp:lastModifiedBy>lijh</cp:lastModifiedBy>
  <cp:lastPrinted>2025-05-28T00:39:00Z</cp:lastPrinted>
  <dcterms:modified xsi:type="dcterms:W3CDTF">2025-07-04T07:50:47Z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60890C9D1F2E481D9990608C4C6E940F_12</vt:lpwstr>
  </property>
  <property fmtid="{D5CDD505-2E9C-101B-9397-08002B2CF9AE}" pid="4" name="KSOTemplateDocerSaveRecord">
    <vt:lpwstr>eyJoZGlkIjoiMTYxNWQwYWNjMGM5MGU0ZjkwYWFkYjljMTFhNTg5YzgiLCJ1c2VySWQiOiIyMTM1MjgwMTYifQ==</vt:lpwstr>
  </property>
</Properties>
</file>