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D9BE" w14:textId="77777777" w:rsidR="00213F20" w:rsidRDefault="009C183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14:paraId="0C615111" w14:textId="77777777" w:rsidR="00213F20" w:rsidRDefault="009C1839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14:paraId="69568B16" w14:textId="0EE33D33" w:rsidR="00213F20" w:rsidRDefault="004137C5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5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年第</w:t>
      </w:r>
      <w:r w:rsidR="00054469">
        <w:rPr>
          <w:rFonts w:ascii="宋体" w:hAnsi="宋体" w:hint="eastAsia"/>
          <w:b/>
          <w:bCs/>
          <w:iCs/>
          <w:color w:val="000000"/>
          <w:sz w:val="32"/>
          <w:szCs w:val="32"/>
        </w:rPr>
        <w:t>二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季度投资者关系活动</w:t>
      </w:r>
      <w:r w:rsidR="009C1839">
        <w:rPr>
          <w:rFonts w:ascii="宋体" w:hAnsi="宋体" w:hint="eastAsia"/>
          <w:b/>
          <w:bCs/>
          <w:iCs/>
          <w:color w:val="000000"/>
          <w:sz w:val="32"/>
          <w:szCs w:val="32"/>
        </w:rPr>
        <w:t>记录表</w:t>
      </w:r>
    </w:p>
    <w:p w14:paraId="10A20077" w14:textId="6B857E61" w:rsidR="00213F20" w:rsidRDefault="009C183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</w:t>
      </w:r>
      <w:r w:rsidR="006949C9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EA7FEC">
        <w:rPr>
          <w:rFonts w:ascii="宋体" w:hAnsi="宋体" w:hint="eastAsia"/>
          <w:bCs/>
          <w:iCs/>
          <w:color w:val="000000"/>
          <w:sz w:val="24"/>
        </w:rPr>
        <w:t>3</w:t>
      </w:r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213F20" w14:paraId="78BEFEC3" w14:textId="77777777">
        <w:tc>
          <w:tcPr>
            <w:tcW w:w="2154" w:type="dxa"/>
            <w:vAlign w:val="center"/>
          </w:tcPr>
          <w:p w14:paraId="1DEA61A5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14:paraId="2151CBA1" w14:textId="7076BD7B" w:rsidR="00213F20" w:rsidRDefault="00B243F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9C1839">
              <w:rPr>
                <w:rFonts w:ascii="宋体" w:hAnsi="宋体" w:cs="宋体" w:hint="eastAsia"/>
                <w:sz w:val="24"/>
              </w:rPr>
              <w:t xml:space="preserve">特定对象调研      </w:t>
            </w:r>
            <w:r w:rsidR="00C23932">
              <w:rPr>
                <w:rFonts w:ascii="宋体" w:hAnsi="宋体" w:cs="宋体"/>
                <w:sz w:val="24"/>
              </w:rPr>
              <w:t xml:space="preserve">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 w:rsidR="009C1839"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8647AB3" w14:textId="18FB018A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</w:t>
            </w:r>
            <w:r w:rsidR="00B243F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A11ED7" w14:textId="7777777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699C67FB" w14:textId="597BF6E3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213F20" w14:paraId="3D580A44" w14:textId="77777777">
        <w:tc>
          <w:tcPr>
            <w:tcW w:w="2154" w:type="dxa"/>
            <w:vAlign w:val="center"/>
          </w:tcPr>
          <w:p w14:paraId="22BEB5DC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14:paraId="45813440" w14:textId="4567E5C6" w:rsidR="00213F20" w:rsidRDefault="00397171">
            <w:pPr>
              <w:spacing w:line="400" w:lineRule="exact"/>
              <w:rPr>
                <w:bCs/>
                <w:iCs/>
                <w:sz w:val="24"/>
              </w:rPr>
            </w:pPr>
            <w:r w:rsidRPr="00397171">
              <w:rPr>
                <w:rFonts w:hint="eastAsia"/>
                <w:bCs/>
                <w:iCs/>
                <w:sz w:val="24"/>
              </w:rPr>
              <w:t>银华基金</w:t>
            </w:r>
            <w:r w:rsidR="008F264D">
              <w:rPr>
                <w:rFonts w:hint="eastAsia"/>
                <w:bCs/>
                <w:iCs/>
                <w:sz w:val="24"/>
              </w:rPr>
              <w:t>、</w:t>
            </w:r>
            <w:r w:rsidRPr="00397171">
              <w:rPr>
                <w:rFonts w:hint="eastAsia"/>
                <w:bCs/>
                <w:iCs/>
                <w:sz w:val="24"/>
              </w:rPr>
              <w:t>财通资管</w:t>
            </w:r>
            <w:r w:rsidR="008F264D">
              <w:rPr>
                <w:rFonts w:hint="eastAsia"/>
                <w:bCs/>
                <w:iCs/>
                <w:sz w:val="24"/>
              </w:rPr>
              <w:t>、浙</w:t>
            </w:r>
            <w:r w:rsidRPr="00397171">
              <w:rPr>
                <w:rFonts w:hint="eastAsia"/>
                <w:bCs/>
                <w:iCs/>
                <w:sz w:val="24"/>
              </w:rPr>
              <w:t>资运营</w:t>
            </w:r>
            <w:r w:rsidR="008F264D">
              <w:rPr>
                <w:rFonts w:hint="eastAsia"/>
                <w:bCs/>
                <w:iCs/>
                <w:sz w:val="24"/>
              </w:rPr>
              <w:t>、华福证券</w:t>
            </w:r>
          </w:p>
        </w:tc>
      </w:tr>
      <w:tr w:rsidR="00213F20" w14:paraId="39AD9F64" w14:textId="77777777">
        <w:tc>
          <w:tcPr>
            <w:tcW w:w="2154" w:type="dxa"/>
            <w:vAlign w:val="center"/>
          </w:tcPr>
          <w:p w14:paraId="66C9FB79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14:paraId="69C1F3B9" w14:textId="645789C4" w:rsidR="00213F20" w:rsidRDefault="00E95D6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48243B">
              <w:rPr>
                <w:rFonts w:hint="eastAsia"/>
                <w:bCs/>
                <w:iCs/>
                <w:color w:val="000000"/>
                <w:sz w:val="24"/>
              </w:rPr>
              <w:t>年第二季度</w:t>
            </w:r>
          </w:p>
        </w:tc>
      </w:tr>
      <w:tr w:rsidR="00213F20" w14:paraId="2E1A80C2" w14:textId="77777777">
        <w:tc>
          <w:tcPr>
            <w:tcW w:w="2154" w:type="dxa"/>
            <w:vAlign w:val="center"/>
          </w:tcPr>
          <w:p w14:paraId="18DA06F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14:paraId="6F137DAA" w14:textId="22FE4F29" w:rsidR="00213F20" w:rsidRPr="00387E95" w:rsidRDefault="00387E95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副总经理、董事会秘书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张利</w:t>
            </w:r>
          </w:p>
        </w:tc>
      </w:tr>
      <w:tr w:rsidR="00213F20" w14:paraId="3784B209" w14:textId="77777777">
        <w:tc>
          <w:tcPr>
            <w:tcW w:w="2154" w:type="dxa"/>
            <w:vAlign w:val="center"/>
          </w:tcPr>
          <w:p w14:paraId="373EACEE" w14:textId="77777777" w:rsidR="00213F20" w:rsidRPr="00E12FE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E12FE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14:paraId="1BF96391" w14:textId="3D009798" w:rsidR="00207691" w:rsidRPr="00E12FE0" w:rsidRDefault="009C1839" w:rsidP="0084239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 w:rsidRPr="00E12FE0"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14:paraId="143F2D30" w14:textId="2653EF05" w:rsidR="00D36985" w:rsidRPr="00B05D76" w:rsidRDefault="0079773D" w:rsidP="00D36985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372256">
              <w:rPr>
                <w:rFonts w:hint="eastAsia"/>
                <w:b/>
                <w:sz w:val="24"/>
              </w:rPr>
              <w:t>、</w:t>
            </w:r>
            <w:r w:rsidR="00B05D76" w:rsidRPr="00B05D76">
              <w:rPr>
                <w:b/>
                <w:sz w:val="24"/>
              </w:rPr>
              <w:t>公司</w:t>
            </w:r>
            <w:r w:rsidR="00935760">
              <w:rPr>
                <w:rFonts w:hint="eastAsia"/>
                <w:b/>
                <w:sz w:val="24"/>
              </w:rPr>
              <w:t>如何</w:t>
            </w:r>
            <w:r w:rsidR="00687FAE">
              <w:rPr>
                <w:rFonts w:hint="eastAsia"/>
                <w:b/>
                <w:sz w:val="24"/>
              </w:rPr>
              <w:t>看待</w:t>
            </w:r>
            <w:r w:rsidR="00466CA5" w:rsidRPr="00466CA5">
              <w:rPr>
                <w:rFonts w:hint="eastAsia"/>
                <w:b/>
                <w:sz w:val="24"/>
              </w:rPr>
              <w:t>新能源上网电价市场化改革</w:t>
            </w:r>
            <w:r w:rsidR="00687FAE">
              <w:rPr>
                <w:rFonts w:hint="eastAsia"/>
                <w:b/>
                <w:sz w:val="24"/>
              </w:rPr>
              <w:t>新政及</w:t>
            </w:r>
            <w:r w:rsidR="00935760" w:rsidRPr="0059200D">
              <w:rPr>
                <w:rFonts w:ascii="宋体" w:hAnsi="宋体" w:cs="宋体" w:hint="eastAsia"/>
                <w:b/>
                <w:sz w:val="24"/>
              </w:rPr>
              <w:t>各地</w:t>
            </w:r>
            <w:r w:rsidR="00687FAE" w:rsidRPr="0059200D">
              <w:rPr>
                <w:rFonts w:ascii="宋体" w:hAnsi="宋体" w:cs="宋体" w:hint="eastAsia"/>
                <w:b/>
                <w:sz w:val="24"/>
              </w:rPr>
              <w:t>陆续出台</w:t>
            </w:r>
            <w:r w:rsidR="00687FAE">
              <w:rPr>
                <w:rFonts w:ascii="宋体" w:hAnsi="宋体" w:cs="宋体" w:hint="eastAsia"/>
                <w:b/>
                <w:sz w:val="24"/>
              </w:rPr>
              <w:t>的</w:t>
            </w:r>
            <w:r w:rsidR="00935760" w:rsidRPr="0059200D">
              <w:rPr>
                <w:rFonts w:ascii="宋体" w:hAnsi="宋体" w:cs="宋体" w:hint="eastAsia"/>
                <w:b/>
                <w:sz w:val="24"/>
              </w:rPr>
              <w:t>细则</w:t>
            </w:r>
            <w:r w:rsidR="00B05D76" w:rsidRPr="00B05D76">
              <w:rPr>
                <w:b/>
                <w:sz w:val="24"/>
              </w:rPr>
              <w:t>？</w:t>
            </w:r>
          </w:p>
          <w:p w14:paraId="18AF330E" w14:textId="54BDA7EB" w:rsidR="00D84F31" w:rsidRDefault="00271C62" w:rsidP="00837FB8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271C62">
              <w:rPr>
                <w:rFonts w:ascii="宋体" w:hAnsi="宋体" w:cs="宋体" w:hint="eastAsia"/>
                <w:sz w:val="24"/>
              </w:rPr>
              <w:t>今年2月，</w:t>
            </w:r>
            <w:proofErr w:type="gramStart"/>
            <w:r w:rsidRPr="00271C62">
              <w:rPr>
                <w:rFonts w:ascii="宋体" w:hAnsi="宋体" w:cs="宋体" w:hint="eastAsia"/>
                <w:sz w:val="24"/>
              </w:rPr>
              <w:t>国家发改委</w:t>
            </w:r>
            <w:proofErr w:type="gramEnd"/>
            <w:r w:rsidRPr="00271C62">
              <w:rPr>
                <w:rFonts w:ascii="宋体" w:hAnsi="宋体" w:cs="宋体" w:hint="eastAsia"/>
                <w:sz w:val="24"/>
              </w:rPr>
              <w:t>、国家能源局印发了《关于深化新能源上网电价市场化改革促进新能源高质量发展的通知》（</w:t>
            </w:r>
            <w:proofErr w:type="gramStart"/>
            <w:r w:rsidRPr="00271C62">
              <w:rPr>
                <w:rFonts w:ascii="宋体" w:hAnsi="宋体" w:cs="宋体" w:hint="eastAsia"/>
                <w:sz w:val="24"/>
              </w:rPr>
              <w:t>发改价格</w:t>
            </w:r>
            <w:proofErr w:type="gramEnd"/>
            <w:r w:rsidRPr="00271C62">
              <w:rPr>
                <w:rFonts w:ascii="宋体" w:hAnsi="宋体" w:cs="宋体" w:hint="eastAsia"/>
                <w:sz w:val="24"/>
              </w:rPr>
              <w:t>[2025]136号）</w:t>
            </w:r>
            <w:r w:rsidR="00287AB4">
              <w:rPr>
                <w:rFonts w:ascii="宋体" w:hAnsi="宋体" w:cs="宋体" w:hint="eastAsia"/>
                <w:sz w:val="24"/>
              </w:rPr>
              <w:t>作为</w:t>
            </w:r>
            <w:r w:rsidR="00287AB4" w:rsidRPr="00885EC8">
              <w:rPr>
                <w:rFonts w:ascii="宋体" w:hAnsi="宋体" w:cs="宋体" w:hint="eastAsia"/>
                <w:sz w:val="24"/>
              </w:rPr>
              <w:t>指导新能源高质量发展和市场化改革的纲领性文件，各个省份</w:t>
            </w:r>
            <w:r w:rsidR="00287AB4">
              <w:rPr>
                <w:rFonts w:ascii="宋体" w:hAnsi="宋体" w:cs="宋体" w:hint="eastAsia"/>
                <w:sz w:val="24"/>
              </w:rPr>
              <w:t>将</w:t>
            </w:r>
            <w:r w:rsidR="00287AB4" w:rsidRPr="00885EC8">
              <w:rPr>
                <w:rFonts w:ascii="宋体" w:hAnsi="宋体" w:cs="宋体" w:hint="eastAsia"/>
                <w:sz w:val="24"/>
              </w:rPr>
              <w:t>根据实际情况</w:t>
            </w:r>
            <w:r w:rsidR="00287AB4">
              <w:rPr>
                <w:rFonts w:ascii="宋体" w:hAnsi="宋体" w:cs="宋体" w:hint="eastAsia"/>
                <w:sz w:val="24"/>
              </w:rPr>
              <w:t>出台</w:t>
            </w:r>
            <w:r w:rsidR="00287AB4" w:rsidRPr="00885EC8">
              <w:rPr>
                <w:rFonts w:ascii="宋体" w:hAnsi="宋体" w:cs="宋体" w:hint="eastAsia"/>
                <w:sz w:val="24"/>
              </w:rPr>
              <w:t>具体实施细则</w:t>
            </w:r>
            <w:r w:rsidR="00287AB4">
              <w:rPr>
                <w:rFonts w:ascii="宋体" w:hAnsi="宋体" w:cs="宋体" w:hint="eastAsia"/>
                <w:sz w:val="24"/>
              </w:rPr>
              <w:t>。</w:t>
            </w:r>
            <w:r w:rsidR="00D84F31" w:rsidRPr="00271C62">
              <w:rPr>
                <w:rFonts w:ascii="宋体" w:hAnsi="宋体" w:cs="宋体" w:hint="eastAsia"/>
                <w:sz w:val="24"/>
              </w:rPr>
              <w:t>在新能源供需失衡的背景下</w:t>
            </w:r>
            <w:r w:rsidR="002879DF">
              <w:rPr>
                <w:rFonts w:ascii="宋体" w:hAnsi="宋体" w:cs="宋体" w:hint="eastAsia"/>
                <w:sz w:val="24"/>
              </w:rPr>
              <w:t>，</w:t>
            </w:r>
            <w:r w:rsidR="00D84F31" w:rsidRPr="00271C62">
              <w:rPr>
                <w:rFonts w:ascii="宋体" w:hAnsi="宋体" w:cs="宋体" w:hint="eastAsia"/>
                <w:sz w:val="24"/>
              </w:rPr>
              <w:t>与电力市场衔接</w:t>
            </w:r>
            <w:r w:rsidR="001E416C">
              <w:rPr>
                <w:rFonts w:ascii="宋体" w:hAnsi="宋体" w:cs="宋体" w:hint="eastAsia"/>
                <w:sz w:val="24"/>
              </w:rPr>
              <w:t>、</w:t>
            </w:r>
            <w:r w:rsidR="00D84F31" w:rsidRPr="00566C34">
              <w:rPr>
                <w:rFonts w:ascii="宋体" w:hAnsi="宋体" w:cs="宋体" w:hint="eastAsia"/>
                <w:sz w:val="24"/>
              </w:rPr>
              <w:t>运用市场价格机制优化电力资源配置</w:t>
            </w:r>
            <w:r w:rsidR="00837FB8">
              <w:rPr>
                <w:rFonts w:ascii="宋体" w:hAnsi="宋体" w:cs="宋体" w:hint="eastAsia"/>
                <w:sz w:val="24"/>
              </w:rPr>
              <w:t>是推动</w:t>
            </w:r>
            <w:r w:rsidR="00837FB8" w:rsidRPr="00837FB8">
              <w:rPr>
                <w:rFonts w:ascii="宋体" w:hAnsi="宋体" w:cs="宋体" w:hint="eastAsia"/>
                <w:sz w:val="24"/>
              </w:rPr>
              <w:t>新能源持续规模化发展</w:t>
            </w:r>
            <w:r w:rsidR="00837FB8">
              <w:rPr>
                <w:rFonts w:ascii="宋体" w:hAnsi="宋体" w:cs="宋体" w:hint="eastAsia"/>
                <w:sz w:val="24"/>
              </w:rPr>
              <w:t>的必然</w:t>
            </w:r>
            <w:r w:rsidR="00687FAE">
              <w:rPr>
                <w:rFonts w:ascii="宋体" w:hAnsi="宋体" w:cs="宋体" w:hint="eastAsia"/>
                <w:sz w:val="24"/>
              </w:rPr>
              <w:t>趋势</w:t>
            </w:r>
            <w:r w:rsidR="001E416C">
              <w:rPr>
                <w:rFonts w:ascii="宋体" w:hAnsi="宋体" w:cs="宋体" w:hint="eastAsia"/>
                <w:sz w:val="24"/>
              </w:rPr>
              <w:t>。</w:t>
            </w:r>
            <w:r w:rsidR="00287AB4">
              <w:rPr>
                <w:rFonts w:ascii="宋体" w:hAnsi="宋体" w:cs="宋体" w:hint="eastAsia"/>
                <w:sz w:val="24"/>
              </w:rPr>
              <w:t>136号</w:t>
            </w:r>
            <w:r w:rsidR="00287AB4" w:rsidRPr="00867EE1">
              <w:rPr>
                <w:rFonts w:ascii="宋体" w:hAnsi="宋体" w:cs="宋体" w:hint="eastAsia"/>
                <w:sz w:val="24"/>
              </w:rPr>
              <w:t>文引入了机制电价、机制电量等概念，</w:t>
            </w:r>
            <w:r w:rsidR="00837FB8" w:rsidRPr="00867EE1">
              <w:rPr>
                <w:rFonts w:ascii="宋体" w:hAnsi="宋体" w:cs="宋体" w:hint="eastAsia"/>
                <w:sz w:val="24"/>
              </w:rPr>
              <w:t>有利于</w:t>
            </w:r>
            <w:r w:rsidR="00566C34" w:rsidRPr="00867EE1">
              <w:rPr>
                <w:rFonts w:ascii="宋体" w:hAnsi="宋体" w:cs="宋体" w:hint="eastAsia"/>
                <w:sz w:val="24"/>
              </w:rPr>
              <w:t>引导</w:t>
            </w:r>
            <w:r w:rsidR="00837FB8" w:rsidRPr="00867EE1">
              <w:rPr>
                <w:rFonts w:ascii="宋体" w:hAnsi="宋体" w:cs="宋体" w:hint="eastAsia"/>
                <w:sz w:val="24"/>
              </w:rPr>
              <w:t>未来</w:t>
            </w:r>
            <w:r w:rsidR="00287AB4" w:rsidRPr="00867EE1">
              <w:rPr>
                <w:rFonts w:ascii="宋体" w:hAnsi="宋体" w:cs="宋体" w:hint="eastAsia"/>
                <w:sz w:val="24"/>
              </w:rPr>
              <w:t>项目建设规模、稳定投资预期</w:t>
            </w:r>
            <w:r w:rsidR="007F201A" w:rsidRPr="00867EE1">
              <w:rPr>
                <w:rFonts w:ascii="宋体" w:hAnsi="宋体" w:cs="宋体" w:hint="eastAsia"/>
                <w:sz w:val="24"/>
              </w:rPr>
              <w:t>，</w:t>
            </w:r>
            <w:r w:rsidR="004B6526" w:rsidRPr="00867EE1">
              <w:rPr>
                <w:rFonts w:ascii="宋体" w:hAnsi="宋体" w:cs="宋体" w:hint="eastAsia"/>
                <w:sz w:val="24"/>
              </w:rPr>
              <w:t>通过</w:t>
            </w:r>
            <w:r w:rsidR="00881A28" w:rsidRPr="00867EE1">
              <w:rPr>
                <w:rFonts w:ascii="宋体" w:hAnsi="宋体" w:cs="宋体" w:hint="eastAsia"/>
                <w:sz w:val="24"/>
              </w:rPr>
              <w:t>区分存量和增量分类施策</w:t>
            </w:r>
            <w:r w:rsidR="004B6526" w:rsidRPr="00867EE1">
              <w:rPr>
                <w:rFonts w:ascii="宋体" w:hAnsi="宋体" w:cs="宋体" w:hint="eastAsia"/>
                <w:sz w:val="24"/>
              </w:rPr>
              <w:t>，一定程度上保障了老项目收益的稳定性，兼顾了市</w:t>
            </w:r>
            <w:r w:rsidR="004B6526" w:rsidRPr="004B6526">
              <w:rPr>
                <w:rFonts w:ascii="宋体" w:hAnsi="宋体" w:cs="宋体" w:hint="eastAsia"/>
                <w:sz w:val="24"/>
              </w:rPr>
              <w:t>场机制与项目投资的可持续性。</w:t>
            </w:r>
          </w:p>
          <w:p w14:paraId="5B18201F" w14:textId="02DA1687" w:rsidR="0059200D" w:rsidRDefault="00687FAE" w:rsidP="00596772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687FAE">
              <w:rPr>
                <w:rFonts w:ascii="宋体" w:hAnsi="宋体" w:cs="宋体" w:hint="eastAsia"/>
                <w:sz w:val="24"/>
              </w:rPr>
              <w:t>公司</w:t>
            </w:r>
            <w:r w:rsidR="00867EE1">
              <w:rPr>
                <w:rFonts w:ascii="宋体" w:hAnsi="宋体" w:cs="宋体" w:hint="eastAsia"/>
                <w:sz w:val="24"/>
              </w:rPr>
              <w:t>正</w:t>
            </w:r>
            <w:r w:rsidRPr="00687FAE">
              <w:rPr>
                <w:rFonts w:ascii="宋体" w:hAnsi="宋体" w:cs="宋体" w:hint="eastAsia"/>
                <w:sz w:val="24"/>
              </w:rPr>
              <w:t>密切关注各省</w:t>
            </w:r>
            <w:r w:rsidR="00347930">
              <w:rPr>
                <w:rFonts w:ascii="宋体" w:hAnsi="宋体" w:cs="宋体" w:hint="eastAsia"/>
                <w:sz w:val="24"/>
              </w:rPr>
              <w:t>细则</w:t>
            </w:r>
            <w:r w:rsidRPr="00687FAE">
              <w:rPr>
                <w:rFonts w:ascii="宋体" w:hAnsi="宋体" w:cs="宋体" w:hint="eastAsia"/>
                <w:sz w:val="24"/>
              </w:rPr>
              <w:t>的出台和落地情况，</w:t>
            </w:r>
            <w:r w:rsidR="00347930" w:rsidRPr="0068082A">
              <w:rPr>
                <w:rFonts w:ascii="宋体" w:hAnsi="宋体" w:cs="宋体" w:hint="eastAsia"/>
                <w:sz w:val="24"/>
              </w:rPr>
              <w:t>组织相关</w:t>
            </w:r>
            <w:r w:rsidR="00347930">
              <w:rPr>
                <w:rFonts w:ascii="宋体" w:hAnsi="宋体" w:cs="宋体" w:hint="eastAsia"/>
                <w:sz w:val="24"/>
              </w:rPr>
              <w:t>部门对文件</w:t>
            </w:r>
            <w:r w:rsidR="00347930" w:rsidRPr="0068082A">
              <w:rPr>
                <w:rFonts w:ascii="宋体" w:hAnsi="宋体" w:cs="宋体" w:hint="eastAsia"/>
                <w:sz w:val="24"/>
              </w:rPr>
              <w:t>进行</w:t>
            </w:r>
            <w:proofErr w:type="gramStart"/>
            <w:r w:rsidR="00347930" w:rsidRPr="0068082A"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 w:rsidR="00347930" w:rsidRPr="0068082A">
              <w:rPr>
                <w:rFonts w:ascii="宋体" w:hAnsi="宋体" w:cs="宋体" w:hint="eastAsia"/>
                <w:sz w:val="24"/>
              </w:rPr>
              <w:t>判</w:t>
            </w:r>
            <w:r w:rsidR="00347930">
              <w:rPr>
                <w:rFonts w:ascii="宋体" w:hAnsi="宋体" w:cs="宋体" w:hint="eastAsia"/>
                <w:sz w:val="24"/>
              </w:rPr>
              <w:t>。</w:t>
            </w:r>
            <w:r w:rsidR="00EA7FEC">
              <w:rPr>
                <w:rFonts w:ascii="宋体" w:hAnsi="宋体" w:cs="宋体" w:hint="eastAsia"/>
                <w:sz w:val="24"/>
              </w:rPr>
              <w:t>面对</w:t>
            </w:r>
            <w:r w:rsidR="007F76A8">
              <w:rPr>
                <w:rFonts w:ascii="宋体" w:hAnsi="宋体" w:cs="宋体" w:hint="eastAsia"/>
                <w:sz w:val="24"/>
              </w:rPr>
              <w:t>新能源</w:t>
            </w:r>
            <w:r w:rsidR="00867EE1">
              <w:rPr>
                <w:rFonts w:ascii="宋体" w:hAnsi="宋体" w:cs="宋体" w:hint="eastAsia"/>
                <w:sz w:val="24"/>
              </w:rPr>
              <w:t>全面入市</w:t>
            </w:r>
            <w:r w:rsidR="00D84F31" w:rsidRPr="00566C34">
              <w:rPr>
                <w:rFonts w:ascii="宋体" w:hAnsi="宋体" w:cs="宋体" w:hint="eastAsia"/>
                <w:sz w:val="24"/>
              </w:rPr>
              <w:t>，</w:t>
            </w:r>
            <w:r w:rsidR="00D84F31">
              <w:rPr>
                <w:rFonts w:ascii="宋体" w:hAnsi="宋体" w:cs="宋体" w:hint="eastAsia"/>
                <w:sz w:val="24"/>
              </w:rPr>
              <w:t>公司</w:t>
            </w:r>
            <w:r w:rsidR="00CA1794">
              <w:rPr>
                <w:rFonts w:ascii="宋体" w:hAnsi="宋体" w:cs="宋体" w:hint="eastAsia"/>
                <w:sz w:val="24"/>
              </w:rPr>
              <w:t>将</w:t>
            </w:r>
            <w:r w:rsidR="00D84F31">
              <w:rPr>
                <w:rFonts w:ascii="宋体" w:hAnsi="宋体" w:cs="宋体" w:hint="eastAsia"/>
                <w:sz w:val="24"/>
              </w:rPr>
              <w:t>持续加强自主建设</w:t>
            </w:r>
            <w:r w:rsidR="00CA1794">
              <w:rPr>
                <w:rFonts w:ascii="宋体" w:hAnsi="宋体" w:cs="宋体" w:hint="eastAsia"/>
                <w:sz w:val="24"/>
              </w:rPr>
              <w:t>和精细化管理</w:t>
            </w:r>
            <w:r w:rsidR="00D84F31" w:rsidRPr="0068082A">
              <w:rPr>
                <w:rFonts w:ascii="宋体" w:hAnsi="宋体" w:cs="宋体" w:hint="eastAsia"/>
                <w:sz w:val="24"/>
              </w:rPr>
              <w:t>能力、提升电力</w:t>
            </w:r>
            <w:r w:rsidR="00347930">
              <w:rPr>
                <w:rFonts w:ascii="宋体" w:hAnsi="宋体" w:cs="宋体" w:hint="eastAsia"/>
                <w:sz w:val="24"/>
              </w:rPr>
              <w:t>营销和市场</w:t>
            </w:r>
            <w:r w:rsidR="00D84F31" w:rsidRPr="0068082A">
              <w:rPr>
                <w:rFonts w:ascii="宋体" w:hAnsi="宋体" w:cs="宋体" w:hint="eastAsia"/>
                <w:sz w:val="24"/>
              </w:rPr>
              <w:t>交易水平</w:t>
            </w:r>
            <w:r w:rsidR="00D84F31">
              <w:rPr>
                <w:rFonts w:ascii="宋体" w:hAnsi="宋体" w:cs="宋体" w:hint="eastAsia"/>
                <w:sz w:val="24"/>
              </w:rPr>
              <w:t>，在</w:t>
            </w:r>
            <w:r w:rsidR="00347930" w:rsidRPr="00566C34">
              <w:rPr>
                <w:rFonts w:ascii="宋体" w:hAnsi="宋体" w:cs="宋体" w:hint="eastAsia"/>
                <w:sz w:val="24"/>
              </w:rPr>
              <w:t>成本控制、</w:t>
            </w:r>
            <w:r w:rsidR="00D84F31" w:rsidRPr="00566C34">
              <w:rPr>
                <w:rFonts w:ascii="宋体" w:hAnsi="宋体" w:cs="宋体" w:hint="eastAsia"/>
                <w:sz w:val="24"/>
              </w:rPr>
              <w:t>技术创新和运营管理等方面</w:t>
            </w:r>
            <w:r w:rsidR="00596772">
              <w:rPr>
                <w:rFonts w:ascii="宋体" w:hAnsi="宋体" w:cs="宋体" w:hint="eastAsia"/>
                <w:sz w:val="24"/>
              </w:rPr>
              <w:t>增强核心</w:t>
            </w:r>
            <w:r w:rsidR="00D84F31" w:rsidRPr="00566C34">
              <w:rPr>
                <w:rFonts w:ascii="宋体" w:hAnsi="宋体" w:cs="宋体" w:hint="eastAsia"/>
                <w:sz w:val="24"/>
              </w:rPr>
              <w:t>竞争力，</w:t>
            </w:r>
            <w:r w:rsidR="003B7D19">
              <w:rPr>
                <w:rFonts w:ascii="宋体" w:hAnsi="宋体" w:cs="宋体" w:hint="eastAsia"/>
                <w:sz w:val="24"/>
              </w:rPr>
              <w:t>保障</w:t>
            </w:r>
            <w:r w:rsidR="00BE1BB3" w:rsidRPr="0068082A">
              <w:rPr>
                <w:rFonts w:ascii="宋体" w:hAnsi="宋体" w:cs="宋体" w:hint="eastAsia"/>
                <w:sz w:val="24"/>
              </w:rPr>
              <w:t>公司</w:t>
            </w:r>
            <w:r w:rsidR="00BE1BB3" w:rsidRPr="00566C34">
              <w:rPr>
                <w:rFonts w:ascii="宋体" w:hAnsi="宋体" w:cs="宋体" w:hint="eastAsia"/>
                <w:sz w:val="24"/>
              </w:rPr>
              <w:t>新能源</w:t>
            </w:r>
            <w:r w:rsidR="00BE1BB3">
              <w:rPr>
                <w:rFonts w:ascii="宋体" w:hAnsi="宋体" w:cs="宋体" w:hint="eastAsia"/>
                <w:sz w:val="24"/>
              </w:rPr>
              <w:t>项目</w:t>
            </w:r>
            <w:r w:rsidR="003B7D19">
              <w:rPr>
                <w:rFonts w:ascii="宋体" w:hAnsi="宋体" w:cs="宋体" w:hint="eastAsia"/>
                <w:sz w:val="24"/>
              </w:rPr>
              <w:t>在</w:t>
            </w:r>
            <w:r w:rsidR="00CA1794">
              <w:rPr>
                <w:rFonts w:ascii="宋体" w:hAnsi="宋体" w:cs="宋体" w:hint="eastAsia"/>
                <w:sz w:val="24"/>
              </w:rPr>
              <w:t>现行</w:t>
            </w:r>
            <w:r w:rsidR="003B7D19">
              <w:rPr>
                <w:rFonts w:ascii="宋体" w:hAnsi="宋体" w:cs="宋体" w:hint="eastAsia"/>
                <w:sz w:val="24"/>
              </w:rPr>
              <w:t>政策环境下的收益，</w:t>
            </w:r>
            <w:r w:rsidR="00596772">
              <w:rPr>
                <w:rFonts w:ascii="宋体" w:hAnsi="宋体" w:cs="宋体" w:hint="eastAsia"/>
                <w:sz w:val="24"/>
              </w:rPr>
              <w:t>助</w:t>
            </w:r>
            <w:r w:rsidR="00AC0EF8">
              <w:rPr>
                <w:rFonts w:ascii="宋体" w:hAnsi="宋体" w:cs="宋体" w:hint="eastAsia"/>
                <w:sz w:val="24"/>
              </w:rPr>
              <w:t>推</w:t>
            </w:r>
            <w:r w:rsidR="007F201A" w:rsidRPr="00566C34">
              <w:rPr>
                <w:rFonts w:ascii="宋体" w:hAnsi="宋体" w:cs="宋体" w:hint="eastAsia"/>
                <w:sz w:val="24"/>
              </w:rPr>
              <w:t>高质量发展</w:t>
            </w:r>
            <w:r w:rsidR="007F201A">
              <w:rPr>
                <w:rFonts w:ascii="宋体" w:hAnsi="宋体" w:cs="宋体" w:hint="eastAsia"/>
                <w:sz w:val="24"/>
              </w:rPr>
              <w:t>。</w:t>
            </w:r>
          </w:p>
          <w:p w14:paraId="4D36BE5A" w14:textId="3040580E" w:rsidR="00CB5056" w:rsidRPr="00CB5056" w:rsidRDefault="00596772" w:rsidP="00596772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 w:rsidRPr="00596772">
              <w:rPr>
                <w:rFonts w:ascii="宋体" w:hAnsi="宋体" w:cs="宋体" w:hint="eastAsia"/>
                <w:b/>
                <w:sz w:val="24"/>
              </w:rPr>
              <w:t>2、公司</w:t>
            </w:r>
            <w:r>
              <w:rPr>
                <w:rFonts w:ascii="宋体" w:hAnsi="宋体" w:cs="宋体" w:hint="eastAsia"/>
                <w:b/>
                <w:sz w:val="24"/>
              </w:rPr>
              <w:t>对</w:t>
            </w:r>
            <w:r w:rsidR="00CB5056" w:rsidRPr="00CB5056">
              <w:rPr>
                <w:rFonts w:ascii="宋体" w:hAnsi="宋体" w:cs="宋体" w:hint="eastAsia"/>
                <w:b/>
                <w:sz w:val="24"/>
              </w:rPr>
              <w:t>绿证业务</w:t>
            </w:r>
            <w:r>
              <w:rPr>
                <w:rFonts w:ascii="宋体" w:hAnsi="宋体" w:cs="宋体" w:hint="eastAsia"/>
                <w:b/>
                <w:sz w:val="24"/>
              </w:rPr>
              <w:t>的</w:t>
            </w:r>
            <w:r w:rsidR="003B7D19">
              <w:rPr>
                <w:rFonts w:ascii="宋体" w:hAnsi="宋体" w:cs="宋体" w:hint="eastAsia"/>
                <w:b/>
                <w:sz w:val="24"/>
              </w:rPr>
              <w:t>想法</w:t>
            </w:r>
            <w:r>
              <w:rPr>
                <w:rFonts w:ascii="宋体" w:hAnsi="宋体" w:cs="宋体" w:hint="eastAsia"/>
                <w:b/>
                <w:sz w:val="24"/>
              </w:rPr>
              <w:t>？</w:t>
            </w:r>
          </w:p>
          <w:p w14:paraId="43447CA3" w14:textId="77777777" w:rsidR="00863FEA" w:rsidRDefault="003B7D19" w:rsidP="00863FEA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今年3月</w:t>
            </w:r>
            <w:proofErr w:type="gramStart"/>
            <w:r w:rsidRPr="003B7D19">
              <w:rPr>
                <w:rFonts w:ascii="宋体" w:hAnsi="宋体" w:cs="宋体" w:hint="eastAsia"/>
                <w:sz w:val="24"/>
              </w:rPr>
              <w:t>国家发改委</w:t>
            </w:r>
            <w:proofErr w:type="gramEnd"/>
            <w:r w:rsidRPr="003B7D19">
              <w:rPr>
                <w:rFonts w:ascii="宋体" w:hAnsi="宋体" w:cs="宋体" w:hint="eastAsia"/>
                <w:sz w:val="24"/>
              </w:rPr>
              <w:t>等部门联合</w:t>
            </w:r>
            <w:r>
              <w:rPr>
                <w:rFonts w:ascii="宋体" w:hAnsi="宋体" w:cs="宋体" w:hint="eastAsia"/>
                <w:sz w:val="24"/>
              </w:rPr>
              <w:t>下发</w:t>
            </w:r>
            <w:r w:rsidRPr="003B7D19">
              <w:rPr>
                <w:rFonts w:ascii="宋体" w:hAnsi="宋体" w:cs="宋体" w:hint="eastAsia"/>
                <w:sz w:val="24"/>
              </w:rPr>
              <w:t>《关于促进可再生能源绿色电力证书市场高质量发展的意见》文件，</w:t>
            </w:r>
            <w:r w:rsidR="007B6864">
              <w:rPr>
                <w:rFonts w:ascii="宋体" w:hAnsi="宋体" w:cs="宋体" w:hint="eastAsia"/>
                <w:sz w:val="24"/>
              </w:rPr>
              <w:t>对激发绿</w:t>
            </w:r>
            <w:proofErr w:type="gramStart"/>
            <w:r w:rsidR="007B6864">
              <w:rPr>
                <w:rFonts w:ascii="宋体" w:hAnsi="宋体" w:cs="宋体" w:hint="eastAsia"/>
                <w:sz w:val="24"/>
              </w:rPr>
              <w:t>证需</w:t>
            </w:r>
            <w:proofErr w:type="gramEnd"/>
            <w:r w:rsidR="007B6864">
              <w:rPr>
                <w:rFonts w:ascii="宋体" w:hAnsi="宋体" w:cs="宋体" w:hint="eastAsia"/>
                <w:sz w:val="24"/>
              </w:rPr>
              <w:t>求提出相应政策，</w:t>
            </w:r>
            <w:r w:rsidR="00CA1794">
              <w:rPr>
                <w:rFonts w:ascii="宋体" w:hAnsi="宋体" w:cs="宋体" w:hint="eastAsia"/>
                <w:sz w:val="24"/>
              </w:rPr>
              <w:t>主要包括</w:t>
            </w:r>
            <w:proofErr w:type="gramStart"/>
            <w:r w:rsidR="00CA1794">
              <w:rPr>
                <w:rFonts w:ascii="宋体" w:hAnsi="宋体" w:cs="宋体" w:hint="eastAsia"/>
                <w:sz w:val="24"/>
              </w:rPr>
              <w:t>明确</w:t>
            </w:r>
            <w:proofErr w:type="gramEnd"/>
            <w:r w:rsidR="007948E7">
              <w:rPr>
                <w:rFonts w:ascii="宋体" w:hAnsi="宋体" w:cs="宋体" w:hint="eastAsia"/>
                <w:sz w:val="24"/>
              </w:rPr>
              <w:t>绿证</w:t>
            </w:r>
            <w:r w:rsidR="007948E7" w:rsidRPr="00064EE3">
              <w:rPr>
                <w:rFonts w:ascii="宋体" w:hAnsi="宋体" w:cs="宋体" w:hint="eastAsia"/>
                <w:sz w:val="24"/>
              </w:rPr>
              <w:t>强制消费</w:t>
            </w:r>
            <w:r w:rsidR="007948E7">
              <w:rPr>
                <w:rFonts w:ascii="宋体" w:hAnsi="宋体" w:cs="宋体" w:hint="eastAsia"/>
                <w:sz w:val="24"/>
              </w:rPr>
              <w:t>要求和</w:t>
            </w:r>
            <w:proofErr w:type="gramStart"/>
            <w:r w:rsidR="007948E7">
              <w:rPr>
                <w:rFonts w:ascii="宋体" w:hAnsi="宋体" w:cs="宋体" w:hint="eastAsia"/>
                <w:sz w:val="24"/>
              </w:rPr>
              <w:t>健全</w:t>
            </w:r>
            <w:proofErr w:type="gramEnd"/>
            <w:r w:rsidR="007948E7">
              <w:rPr>
                <w:rFonts w:ascii="宋体" w:hAnsi="宋体" w:cs="宋体" w:hint="eastAsia"/>
                <w:sz w:val="24"/>
              </w:rPr>
              <w:t>绿证自愿消费机制等</w:t>
            </w:r>
            <w:r w:rsidR="00064EE3" w:rsidRPr="00064EE3">
              <w:rPr>
                <w:rFonts w:ascii="宋体" w:hAnsi="宋体" w:cs="宋体" w:hint="eastAsia"/>
                <w:sz w:val="24"/>
              </w:rPr>
              <w:t>，引导绿证价格合理体现绿色电力环境价值</w:t>
            </w:r>
            <w:r w:rsidR="007B6864">
              <w:rPr>
                <w:rFonts w:ascii="宋体" w:hAnsi="宋体" w:cs="宋体" w:hint="eastAsia"/>
                <w:sz w:val="24"/>
              </w:rPr>
              <w:t>。</w:t>
            </w:r>
            <w:r w:rsidR="008E1E5B">
              <w:rPr>
                <w:rFonts w:ascii="宋体" w:hAnsi="宋体" w:cs="宋体" w:hint="eastAsia"/>
                <w:sz w:val="24"/>
              </w:rPr>
              <w:t>同时，按照136号文要求，未来</w:t>
            </w:r>
            <w:r w:rsidR="008E1E5B" w:rsidRPr="00635B6C">
              <w:rPr>
                <w:rFonts w:ascii="宋体" w:hAnsi="宋体" w:cs="宋体" w:hint="eastAsia"/>
                <w:sz w:val="24"/>
              </w:rPr>
              <w:t>纳入可持续发展价格结算机制的电量不得</w:t>
            </w:r>
            <w:r w:rsidR="008E1E5B" w:rsidRPr="00635B6C">
              <w:rPr>
                <w:rFonts w:ascii="宋体" w:hAnsi="宋体" w:cs="宋体" w:hint="eastAsia"/>
                <w:sz w:val="24"/>
              </w:rPr>
              <w:lastRenderedPageBreak/>
              <w:t>重复获得绿证收益</w:t>
            </w:r>
            <w:r w:rsidR="008E1E5B">
              <w:rPr>
                <w:rFonts w:ascii="宋体" w:hAnsi="宋体" w:cs="宋体" w:hint="eastAsia"/>
                <w:sz w:val="24"/>
              </w:rPr>
              <w:t>，</w:t>
            </w:r>
            <w:r w:rsidR="008E1E5B" w:rsidRPr="008E1E5B">
              <w:rPr>
                <w:rFonts w:ascii="宋体" w:hAnsi="宋体" w:cs="宋体" w:hint="eastAsia"/>
                <w:sz w:val="24"/>
              </w:rPr>
              <w:t>新能源发电企业必须在机制电价与绿</w:t>
            </w:r>
            <w:proofErr w:type="gramStart"/>
            <w:r w:rsidR="008E1E5B" w:rsidRPr="008E1E5B">
              <w:rPr>
                <w:rFonts w:ascii="宋体" w:hAnsi="宋体" w:cs="宋体" w:hint="eastAsia"/>
                <w:sz w:val="24"/>
              </w:rPr>
              <w:t>证收益</w:t>
            </w:r>
            <w:proofErr w:type="gramEnd"/>
            <w:r w:rsidR="008E1E5B" w:rsidRPr="008E1E5B">
              <w:rPr>
                <w:rFonts w:ascii="宋体" w:hAnsi="宋体" w:cs="宋体" w:hint="eastAsia"/>
                <w:sz w:val="24"/>
              </w:rPr>
              <w:t>之间做出</w:t>
            </w:r>
            <w:r w:rsidR="008E1E5B">
              <w:rPr>
                <w:rFonts w:ascii="宋体" w:hAnsi="宋体" w:cs="宋体" w:hint="eastAsia"/>
                <w:sz w:val="24"/>
              </w:rPr>
              <w:t>选择</w:t>
            </w:r>
            <w:r w:rsidR="00CA1794">
              <w:rPr>
                <w:rFonts w:ascii="宋体" w:hAnsi="宋体" w:cs="宋体" w:hint="eastAsia"/>
                <w:sz w:val="24"/>
              </w:rPr>
              <w:t>。</w:t>
            </w:r>
          </w:p>
          <w:p w14:paraId="5A28EBEE" w14:textId="749397C3" w:rsidR="002F4733" w:rsidRDefault="004915B2" w:rsidP="004915B2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8E1E5B">
              <w:rPr>
                <w:rFonts w:ascii="宋体" w:hAnsi="宋体" w:cs="宋体" w:hint="eastAsia"/>
                <w:sz w:val="24"/>
              </w:rPr>
              <w:t>2025年5月</w:t>
            </w:r>
            <w:r w:rsidR="00867EE1">
              <w:rPr>
                <w:rFonts w:ascii="宋体" w:hAnsi="宋体" w:cs="宋体" w:hint="eastAsia"/>
                <w:sz w:val="24"/>
              </w:rPr>
              <w:t>，</w:t>
            </w:r>
            <w:r w:rsidRPr="004915B2">
              <w:rPr>
                <w:rFonts w:ascii="宋体" w:hAnsi="宋体" w:cs="宋体" w:hint="eastAsia"/>
                <w:sz w:val="24"/>
              </w:rPr>
              <w:t>全国绿证单独交易1982万个，交易平均价格为2.73元/</w:t>
            </w:r>
            <w:proofErr w:type="gramStart"/>
            <w:r w:rsidRPr="004915B2">
              <w:rPr>
                <w:rFonts w:ascii="宋体" w:hAnsi="宋体" w:cs="宋体" w:hint="eastAsia"/>
                <w:sz w:val="24"/>
              </w:rPr>
              <w:t>个</w:t>
            </w:r>
            <w:proofErr w:type="gramEnd"/>
            <w:r w:rsidRPr="004915B2">
              <w:rPr>
                <w:rFonts w:ascii="宋体" w:hAnsi="宋体" w:cs="宋体" w:hint="eastAsia"/>
                <w:sz w:val="24"/>
              </w:rPr>
              <w:t>，环比增长18.12%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 w:rsidRPr="004915B2">
              <w:rPr>
                <w:rFonts w:ascii="宋体" w:hAnsi="宋体" w:cs="宋体" w:hint="eastAsia"/>
                <w:sz w:val="24"/>
              </w:rPr>
              <w:t>2025年1-5月</w:t>
            </w:r>
            <w:r w:rsidR="00867EE1">
              <w:rPr>
                <w:rFonts w:ascii="宋体" w:hAnsi="宋体" w:cs="宋体" w:hint="eastAsia"/>
                <w:sz w:val="24"/>
              </w:rPr>
              <w:t>，</w:t>
            </w:r>
            <w:r w:rsidRPr="004915B2">
              <w:rPr>
                <w:rFonts w:ascii="宋体" w:hAnsi="宋体" w:cs="宋体" w:hint="eastAsia"/>
                <w:sz w:val="24"/>
              </w:rPr>
              <w:t>全国</w:t>
            </w:r>
            <w:r w:rsidR="00867EE1">
              <w:rPr>
                <w:rFonts w:ascii="宋体" w:hAnsi="宋体" w:cs="宋体" w:hint="eastAsia"/>
                <w:sz w:val="24"/>
              </w:rPr>
              <w:t>交易</w:t>
            </w:r>
            <w:r w:rsidRPr="004915B2">
              <w:rPr>
                <w:rFonts w:ascii="宋体" w:hAnsi="宋体" w:cs="宋体" w:hint="eastAsia"/>
                <w:sz w:val="24"/>
              </w:rPr>
              <w:t>绿证2.87亿</w:t>
            </w:r>
            <w:r w:rsidR="00867EE1">
              <w:rPr>
                <w:rFonts w:ascii="宋体" w:hAnsi="宋体" w:cs="宋体" w:hint="eastAsia"/>
                <w:sz w:val="24"/>
              </w:rPr>
              <w:t>个</w:t>
            </w:r>
            <w:r w:rsidRPr="004915B2">
              <w:rPr>
                <w:rFonts w:ascii="宋体" w:hAnsi="宋体" w:cs="宋体" w:hint="eastAsia"/>
                <w:sz w:val="24"/>
              </w:rPr>
              <w:t>，超过2024年全年总量的60%。</w:t>
            </w:r>
            <w:r>
              <w:rPr>
                <w:rFonts w:ascii="宋体" w:hAnsi="宋体" w:cs="宋体" w:hint="eastAsia"/>
                <w:sz w:val="24"/>
              </w:rPr>
              <w:t>当前市场正处于政策驱动的过渡期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8E1E5B">
              <w:rPr>
                <w:rFonts w:ascii="宋体" w:hAnsi="宋体" w:cs="宋体" w:hint="eastAsia"/>
                <w:sz w:val="24"/>
              </w:rPr>
              <w:t>从长期看，</w:t>
            </w:r>
            <w:r w:rsidR="007B6864">
              <w:rPr>
                <w:rFonts w:ascii="宋体" w:hAnsi="宋体" w:cs="宋体" w:hint="eastAsia"/>
                <w:sz w:val="24"/>
              </w:rPr>
              <w:t>待各地机制电量政策明晰后</w:t>
            </w:r>
            <w:r w:rsidR="008E1E5B">
              <w:rPr>
                <w:rFonts w:ascii="宋体" w:hAnsi="宋体" w:cs="宋体" w:hint="eastAsia"/>
                <w:sz w:val="24"/>
              </w:rPr>
              <w:t>，将</w:t>
            </w:r>
            <w:r w:rsidR="007B6864">
              <w:rPr>
                <w:rFonts w:ascii="宋体" w:hAnsi="宋体" w:cs="宋体" w:hint="eastAsia"/>
                <w:sz w:val="24"/>
              </w:rPr>
              <w:t>形成更趋成熟的价格形成机制。</w:t>
            </w:r>
            <w:r w:rsidR="007F5E43" w:rsidRPr="007F5E43">
              <w:rPr>
                <w:rFonts w:ascii="宋体" w:hAnsi="宋体" w:cs="宋体" w:hint="eastAsia"/>
                <w:sz w:val="24"/>
              </w:rPr>
              <w:t>公司所属区域分公司均已建立电力交易管理机制，统筹做好区域管理项目电力交易相关工作。随着新能源全面入市，在政策与市场双重发力下，公司将积极发挥规模优势和资源整合能力参与电力市场交易，</w:t>
            </w:r>
            <w:r w:rsidR="007F5E43">
              <w:rPr>
                <w:rFonts w:ascii="宋体" w:hAnsi="宋体" w:cs="宋体" w:hint="eastAsia"/>
                <w:sz w:val="24"/>
              </w:rPr>
              <w:t>根据各省的具体政策持续优化区域化交易策略，</w:t>
            </w:r>
            <w:r w:rsidR="007F5E43" w:rsidRPr="007F5E43">
              <w:rPr>
                <w:rFonts w:ascii="宋体" w:hAnsi="宋体" w:cs="宋体" w:hint="eastAsia"/>
                <w:sz w:val="24"/>
              </w:rPr>
              <w:t>积极参与绿电、绿证交易市场，实现环境价值变现。</w:t>
            </w:r>
          </w:p>
          <w:p w14:paraId="6CB77411" w14:textId="6EEFF0C9" w:rsidR="00650E7A" w:rsidRPr="002F4733" w:rsidRDefault="00BA397B" w:rsidP="002F4733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3、</w:t>
            </w:r>
            <w:r w:rsidR="00650E7A" w:rsidRPr="00650E7A">
              <w:rPr>
                <w:rFonts w:ascii="宋体" w:hAnsi="宋体" w:cs="宋体" w:hint="eastAsia"/>
                <w:b/>
                <w:sz w:val="24"/>
              </w:rPr>
              <w:t>发电侧新能源取消强制配储，对公司有何影响？</w:t>
            </w:r>
          </w:p>
          <w:p w14:paraId="1088D747" w14:textId="312B407D" w:rsidR="00650E7A" w:rsidRPr="00650E7A" w:rsidRDefault="00650E7A" w:rsidP="00D21D29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650E7A">
              <w:rPr>
                <w:rFonts w:ascii="宋体" w:hAnsi="宋体" w:cs="宋体" w:hint="eastAsia"/>
                <w:sz w:val="24"/>
              </w:rPr>
              <w:t>136号文明确不得将配置储能作为新建新能源项目核准、并网、上网等的前置条件，对</w:t>
            </w:r>
            <w:r w:rsidR="002F4733">
              <w:rPr>
                <w:rFonts w:ascii="宋体" w:hAnsi="宋体" w:cs="宋体" w:hint="eastAsia"/>
                <w:sz w:val="24"/>
              </w:rPr>
              <w:t>于</w:t>
            </w:r>
            <w:r w:rsidRPr="00650E7A">
              <w:rPr>
                <w:rFonts w:ascii="宋体" w:hAnsi="宋体" w:cs="宋体" w:hint="eastAsia"/>
                <w:sz w:val="24"/>
              </w:rPr>
              <w:t>推动储能行业良性发展具有重要意义。为支撑新能源</w:t>
            </w:r>
            <w:r w:rsidR="002F4733">
              <w:rPr>
                <w:rFonts w:ascii="宋体" w:hAnsi="宋体" w:cs="宋体" w:hint="eastAsia"/>
                <w:sz w:val="24"/>
              </w:rPr>
              <w:t>持续</w:t>
            </w:r>
            <w:r w:rsidRPr="00650E7A">
              <w:rPr>
                <w:rFonts w:ascii="宋体" w:hAnsi="宋体" w:cs="宋体" w:hint="eastAsia"/>
                <w:sz w:val="24"/>
              </w:rPr>
              <w:t>发展、新能源灵活参与电力市场交易，未来储能调节收益的重要性将进一步突显</w:t>
            </w:r>
            <w:r w:rsidR="009D4A59">
              <w:rPr>
                <w:rFonts w:ascii="宋体" w:hAnsi="宋体" w:cs="宋体" w:hint="eastAsia"/>
                <w:sz w:val="24"/>
              </w:rPr>
              <w:t>，公司将在</w:t>
            </w:r>
            <w:r w:rsidRPr="00650E7A">
              <w:rPr>
                <w:rFonts w:ascii="宋体" w:hAnsi="宋体" w:cs="宋体" w:hint="eastAsia"/>
                <w:sz w:val="24"/>
              </w:rPr>
              <w:t>充分考虑项目所在区域消纳、电力市场等情况下，以提升项目经济效益为目的决定是否开展储能项目投资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642B41F2" w14:textId="652C0E6A" w:rsidR="00466CA5" w:rsidRPr="00D627CE" w:rsidRDefault="00D645E5" w:rsidP="00D36985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</w:t>
            </w:r>
            <w:r w:rsidR="00CA5C0D">
              <w:rPr>
                <w:rFonts w:ascii="宋体" w:hAnsi="宋体" w:cs="宋体" w:hint="eastAsia"/>
                <w:b/>
                <w:sz w:val="24"/>
              </w:rPr>
              <w:t>、</w:t>
            </w:r>
            <w:r w:rsidR="00AC0EF8">
              <w:rPr>
                <w:rFonts w:ascii="宋体" w:hAnsi="宋体" w:cs="宋体" w:hint="eastAsia"/>
                <w:b/>
                <w:sz w:val="24"/>
              </w:rPr>
              <w:t>公司对未来的装机规划是怎么样的？</w:t>
            </w:r>
            <w:r w:rsidR="00AC0EF8" w:rsidRPr="00D627CE">
              <w:rPr>
                <w:rFonts w:ascii="宋体" w:hAnsi="宋体" w:cs="宋体"/>
                <w:b/>
                <w:sz w:val="24"/>
              </w:rPr>
              <w:t xml:space="preserve"> </w:t>
            </w:r>
          </w:p>
          <w:p w14:paraId="4C04453D" w14:textId="000AAD5E" w:rsidR="00E571F4" w:rsidRDefault="00B44DD4" w:rsidP="00D03E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B44DD4">
              <w:rPr>
                <w:rFonts w:ascii="宋体" w:hAnsi="宋体" w:cs="宋体" w:hint="eastAsia"/>
                <w:sz w:val="24"/>
              </w:rPr>
              <w:t>近年来行业正处于从“规模扩张”向“提质增效”转型的关键阶段，</w:t>
            </w:r>
            <w:r w:rsidR="00DE3213" w:rsidRPr="00DE3213">
              <w:rPr>
                <w:rFonts w:ascii="宋体" w:hAnsi="宋体" w:cs="宋体" w:hint="eastAsia"/>
                <w:sz w:val="24"/>
              </w:rPr>
              <w:t>公司</w:t>
            </w:r>
            <w:r w:rsidR="00E571F4" w:rsidRPr="00DE3213">
              <w:rPr>
                <w:rFonts w:ascii="宋体" w:hAnsi="宋体" w:cs="宋体" w:hint="eastAsia"/>
                <w:sz w:val="24"/>
              </w:rPr>
              <w:t>积极响应</w:t>
            </w:r>
            <w:r w:rsidR="00E571F4">
              <w:rPr>
                <w:rFonts w:ascii="宋体" w:hAnsi="宋体" w:cs="宋体" w:hint="eastAsia"/>
                <w:sz w:val="24"/>
              </w:rPr>
              <w:t>政策及</w:t>
            </w:r>
            <w:r w:rsidR="00E571F4" w:rsidRPr="00DE3213">
              <w:rPr>
                <w:rFonts w:ascii="宋体" w:hAnsi="宋体" w:cs="宋体" w:hint="eastAsia"/>
                <w:sz w:val="24"/>
              </w:rPr>
              <w:t>市场变化，</w:t>
            </w:r>
            <w:r w:rsidR="00E571F4">
              <w:rPr>
                <w:rFonts w:ascii="宋体" w:hAnsi="宋体" w:cs="宋体" w:hint="eastAsia"/>
                <w:sz w:val="24"/>
              </w:rPr>
              <w:t>对项目战略布局进行优化</w:t>
            </w:r>
            <w:r w:rsidR="00DE3213" w:rsidRPr="00DE3213">
              <w:rPr>
                <w:rFonts w:ascii="宋体" w:hAnsi="宋体" w:cs="宋体" w:hint="eastAsia"/>
                <w:sz w:val="24"/>
              </w:rPr>
              <w:t>，聚焦</w:t>
            </w:r>
            <w:r w:rsidR="00360658" w:rsidRPr="00DE3213">
              <w:rPr>
                <w:rFonts w:ascii="宋体" w:hAnsi="宋体" w:cs="宋体" w:hint="eastAsia"/>
                <w:sz w:val="24"/>
              </w:rPr>
              <w:t>重点区域</w:t>
            </w:r>
            <w:r w:rsidR="00360658">
              <w:rPr>
                <w:rFonts w:ascii="宋体" w:hAnsi="宋体" w:cs="宋体" w:hint="eastAsia"/>
                <w:sz w:val="24"/>
              </w:rPr>
              <w:t>项目资源</w:t>
            </w:r>
            <w:r w:rsidR="00DE3213" w:rsidRPr="00DE3213">
              <w:rPr>
                <w:rFonts w:ascii="宋体" w:hAnsi="宋体" w:cs="宋体" w:hint="eastAsia"/>
                <w:sz w:val="24"/>
              </w:rPr>
              <w:t>，</w:t>
            </w:r>
            <w:proofErr w:type="gramStart"/>
            <w:r w:rsidR="00DE3213" w:rsidRPr="00DE3213">
              <w:rPr>
                <w:rFonts w:ascii="宋体" w:hAnsi="宋体" w:cs="宋体" w:hint="eastAsia"/>
                <w:sz w:val="24"/>
              </w:rPr>
              <w:t>深耕长</w:t>
            </w:r>
            <w:proofErr w:type="gramEnd"/>
            <w:r w:rsidR="00DE3213" w:rsidRPr="00DE3213">
              <w:rPr>
                <w:rFonts w:ascii="宋体" w:hAnsi="宋体" w:cs="宋体" w:hint="eastAsia"/>
                <w:sz w:val="24"/>
              </w:rPr>
              <w:t>三角核心市场，重点开发海上风</w:t>
            </w:r>
            <w:proofErr w:type="gramStart"/>
            <w:r w:rsidR="00DE3213" w:rsidRPr="00DE3213">
              <w:rPr>
                <w:rFonts w:ascii="宋体" w:hAnsi="宋体" w:cs="宋体" w:hint="eastAsia"/>
                <w:sz w:val="24"/>
              </w:rPr>
              <w:t>电项</w:t>
            </w:r>
            <w:proofErr w:type="gramEnd"/>
            <w:r w:rsidR="00DE3213" w:rsidRPr="00DE3213">
              <w:rPr>
                <w:rFonts w:ascii="宋体" w:hAnsi="宋体" w:cs="宋体" w:hint="eastAsia"/>
                <w:sz w:val="24"/>
              </w:rPr>
              <w:t>目和集中式光伏项目，</w:t>
            </w:r>
            <w:r w:rsidR="00DD48AF">
              <w:rPr>
                <w:rFonts w:ascii="宋体" w:hAnsi="宋体" w:cs="宋体" w:hint="eastAsia"/>
                <w:sz w:val="24"/>
              </w:rPr>
              <w:t>在</w:t>
            </w:r>
            <w:r w:rsidR="00360658">
              <w:rPr>
                <w:rFonts w:ascii="宋体" w:hAnsi="宋体" w:cs="宋体" w:hint="eastAsia"/>
                <w:sz w:val="24"/>
              </w:rPr>
              <w:t>稳步推进项目开发</w:t>
            </w:r>
            <w:r w:rsidR="00DD48AF">
              <w:rPr>
                <w:rFonts w:ascii="宋体" w:hAnsi="宋体" w:cs="宋体" w:hint="eastAsia"/>
                <w:sz w:val="24"/>
              </w:rPr>
              <w:t>的同时，以集约化统筹、专业化运作、市场化驱动实现</w:t>
            </w:r>
            <w:r w:rsidR="00E571F4">
              <w:rPr>
                <w:rFonts w:ascii="宋体" w:hAnsi="宋体" w:cs="宋体" w:hint="eastAsia"/>
                <w:sz w:val="24"/>
              </w:rPr>
              <w:t>降本</w:t>
            </w:r>
            <w:r w:rsidR="00D03ED7">
              <w:rPr>
                <w:rFonts w:ascii="宋体" w:hAnsi="宋体" w:cs="宋体" w:hint="eastAsia"/>
                <w:sz w:val="24"/>
              </w:rPr>
              <w:t>增效。</w:t>
            </w:r>
            <w:r w:rsidR="00DE3213">
              <w:rPr>
                <w:rFonts w:ascii="宋体" w:hAnsi="宋体" w:cs="宋体" w:hint="eastAsia"/>
                <w:sz w:val="24"/>
              </w:rPr>
              <w:t>对于存量项目，</w:t>
            </w:r>
            <w:r w:rsidR="00E571F4">
              <w:rPr>
                <w:rFonts w:ascii="宋体" w:hAnsi="宋体" w:cs="宋体" w:hint="eastAsia"/>
                <w:sz w:val="24"/>
              </w:rPr>
              <w:t>公司持续</w:t>
            </w:r>
            <w:r w:rsidR="00D03ED7">
              <w:rPr>
                <w:rFonts w:ascii="宋体" w:hAnsi="宋体" w:cs="宋体" w:hint="eastAsia"/>
                <w:sz w:val="24"/>
              </w:rPr>
              <w:t>提升自主运维和</w:t>
            </w:r>
            <w:r w:rsidR="00DE3213">
              <w:rPr>
                <w:rFonts w:ascii="宋体" w:hAnsi="宋体" w:cs="宋体" w:hint="eastAsia"/>
                <w:sz w:val="24"/>
              </w:rPr>
              <w:t>市场交易能力</w:t>
            </w:r>
            <w:r w:rsidR="00D03ED7">
              <w:rPr>
                <w:rFonts w:ascii="宋体" w:hAnsi="宋体" w:cs="宋体" w:hint="eastAsia"/>
                <w:sz w:val="24"/>
              </w:rPr>
              <w:t>；</w:t>
            </w:r>
            <w:r w:rsidR="00DE3213">
              <w:rPr>
                <w:rFonts w:ascii="宋体" w:hAnsi="宋体" w:cs="宋体" w:hint="eastAsia"/>
                <w:sz w:val="24"/>
              </w:rPr>
              <w:t>对于增量项目，在投资决策过程中充分考虑</w:t>
            </w:r>
            <w:r w:rsidR="00D03ED7" w:rsidRPr="00DE3213">
              <w:rPr>
                <w:rFonts w:ascii="宋体" w:hAnsi="宋体" w:cs="宋体" w:hint="eastAsia"/>
                <w:sz w:val="24"/>
              </w:rPr>
              <w:t>区域用能负荷、调节能力</w:t>
            </w:r>
            <w:r w:rsidR="00D03ED7">
              <w:rPr>
                <w:rFonts w:ascii="宋体" w:hAnsi="宋体" w:cs="宋体" w:hint="eastAsia"/>
                <w:sz w:val="24"/>
              </w:rPr>
              <w:t>和</w:t>
            </w:r>
            <w:r w:rsidR="00DE3213" w:rsidRPr="00DE3213">
              <w:rPr>
                <w:rFonts w:ascii="宋体" w:hAnsi="宋体" w:cs="宋体" w:hint="eastAsia"/>
                <w:sz w:val="24"/>
              </w:rPr>
              <w:t>电价</w:t>
            </w:r>
            <w:r w:rsidR="00DE3213">
              <w:rPr>
                <w:rFonts w:ascii="宋体" w:hAnsi="宋体" w:cs="宋体" w:hint="eastAsia"/>
                <w:sz w:val="24"/>
              </w:rPr>
              <w:t>因素影响</w:t>
            </w:r>
            <w:r w:rsidR="00DE3213" w:rsidRPr="00DE3213">
              <w:rPr>
                <w:rFonts w:ascii="宋体" w:hAnsi="宋体" w:cs="宋体" w:hint="eastAsia"/>
                <w:sz w:val="24"/>
              </w:rPr>
              <w:t>。</w:t>
            </w:r>
          </w:p>
          <w:p w14:paraId="2C05AF4E" w14:textId="4A10790E" w:rsidR="00BF2978" w:rsidRDefault="00DD48AF" w:rsidP="00E571F4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未来</w:t>
            </w:r>
            <w:r w:rsidR="00D03ED7">
              <w:rPr>
                <w:rFonts w:ascii="宋体" w:hAnsi="宋体" w:cs="宋体" w:hint="eastAsia"/>
                <w:sz w:val="24"/>
              </w:rPr>
              <w:t>公司将一如既往</w:t>
            </w:r>
            <w:r w:rsidR="00B57A90" w:rsidRPr="00B57A90">
              <w:rPr>
                <w:rFonts w:ascii="宋体" w:hAnsi="宋体" w:cs="宋体" w:hint="eastAsia"/>
                <w:sz w:val="24"/>
              </w:rPr>
              <w:t>坚持围绕主业发展，紧密结合发展规划，</w:t>
            </w:r>
            <w:r w:rsidR="00D03ED7">
              <w:rPr>
                <w:rFonts w:ascii="宋体" w:hAnsi="宋体" w:cs="宋体" w:hint="eastAsia"/>
                <w:sz w:val="24"/>
              </w:rPr>
              <w:t>着力提升项目资源获取能力，</w:t>
            </w:r>
            <w:r w:rsidR="00D03ED7" w:rsidRPr="00D03ED7">
              <w:rPr>
                <w:rFonts w:ascii="宋体" w:hAnsi="宋体" w:cs="宋体" w:hint="eastAsia"/>
                <w:sz w:val="24"/>
              </w:rPr>
              <w:t>抓好资源协同、抓住重点区域、抓实重大项目</w:t>
            </w:r>
            <w:r w:rsidR="00D03ED7">
              <w:rPr>
                <w:rFonts w:ascii="宋体" w:hAnsi="宋体" w:cs="宋体" w:hint="eastAsia"/>
                <w:sz w:val="24"/>
              </w:rPr>
              <w:t>，</w:t>
            </w:r>
            <w:r w:rsidR="00E571F4">
              <w:rPr>
                <w:rFonts w:ascii="宋体" w:hAnsi="宋体" w:cs="宋体" w:hint="eastAsia"/>
                <w:sz w:val="24"/>
              </w:rPr>
              <w:t>厚实新能源项目储备，</w:t>
            </w:r>
            <w:r>
              <w:rPr>
                <w:rFonts w:ascii="宋体" w:hAnsi="宋体" w:cs="宋体" w:hint="eastAsia"/>
                <w:sz w:val="24"/>
              </w:rPr>
              <w:t>助推</w:t>
            </w:r>
            <w:r w:rsidRPr="00DD48AF">
              <w:rPr>
                <w:rFonts w:ascii="宋体" w:hAnsi="宋体" w:cs="宋体" w:hint="eastAsia"/>
                <w:sz w:val="24"/>
              </w:rPr>
              <w:t>新形势下新能源产业</w:t>
            </w:r>
            <w:r>
              <w:rPr>
                <w:rFonts w:ascii="宋体" w:hAnsi="宋体" w:cs="宋体" w:hint="eastAsia"/>
                <w:sz w:val="24"/>
              </w:rPr>
              <w:t>的</w:t>
            </w:r>
            <w:r w:rsidRPr="00DD48AF">
              <w:rPr>
                <w:rFonts w:ascii="宋体" w:hAnsi="宋体" w:cs="宋体" w:hint="eastAsia"/>
                <w:sz w:val="24"/>
              </w:rPr>
              <w:t>高质量发展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3BB4E2C4" w14:textId="1A58FEC3" w:rsidR="00BF574B" w:rsidRPr="00BF574B" w:rsidRDefault="00867DD3" w:rsidP="00BF574B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  <w:r w:rsidR="00EB1434">
              <w:rPr>
                <w:rFonts w:ascii="宋体" w:hAnsi="宋体" w:cs="宋体" w:hint="eastAsia"/>
                <w:b/>
                <w:sz w:val="24"/>
              </w:rPr>
              <w:t>、</w:t>
            </w:r>
            <w:r w:rsidR="00BF574B" w:rsidRPr="00BF574B">
              <w:rPr>
                <w:rFonts w:ascii="宋体" w:hAnsi="宋体" w:cs="宋体" w:hint="eastAsia"/>
                <w:b/>
                <w:sz w:val="24"/>
              </w:rPr>
              <w:t>公司研发投入主要集中在哪些领域？</w:t>
            </w:r>
          </w:p>
          <w:p w14:paraId="2F510FD9" w14:textId="77777777" w:rsidR="0052063A" w:rsidRDefault="00BF574B" w:rsidP="00943D54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BF574B">
              <w:rPr>
                <w:rFonts w:ascii="宋体" w:hAnsi="宋体" w:cs="宋体" w:hint="eastAsia"/>
                <w:sz w:val="24"/>
              </w:rPr>
              <w:t>公司研发投入主要是针对新能源项目在运营管理中的技术突破，例如以海上风电为试点探索AI技术在风电辅助运维管理、故障识别、风机叶片巡检等方面的应用，推动信息技术赋能传统</w:t>
            </w:r>
            <w:r w:rsidRPr="00BF574B">
              <w:rPr>
                <w:rFonts w:ascii="宋体" w:hAnsi="宋体" w:cs="宋体" w:hint="eastAsia"/>
                <w:sz w:val="24"/>
              </w:rPr>
              <w:lastRenderedPageBreak/>
              <w:t>产业形成新质生产力；着力打造海上风电综合应用一体化平台、基建</w:t>
            </w:r>
            <w:proofErr w:type="gramStart"/>
            <w:r w:rsidRPr="00BF574B">
              <w:rPr>
                <w:rFonts w:ascii="宋体" w:hAnsi="宋体" w:cs="宋体" w:hint="eastAsia"/>
                <w:sz w:val="24"/>
              </w:rPr>
              <w:t>工地数智化</w:t>
            </w:r>
            <w:proofErr w:type="gramEnd"/>
            <w:r w:rsidRPr="00BF574B">
              <w:rPr>
                <w:rFonts w:ascii="宋体" w:hAnsi="宋体" w:cs="宋体" w:hint="eastAsia"/>
                <w:sz w:val="24"/>
              </w:rPr>
              <w:t>管控平台等智能化平台，整合和培育新能源智能化运营能力。公司研发投入坚持立足主业，以科技创新服务好安全生产、经营管理工作，</w:t>
            </w:r>
            <w:r w:rsidR="002C6CE5">
              <w:rPr>
                <w:rFonts w:ascii="宋体" w:hAnsi="宋体" w:cs="宋体" w:hint="eastAsia"/>
                <w:sz w:val="24"/>
              </w:rPr>
              <w:t>同时</w:t>
            </w:r>
            <w:r w:rsidRPr="00BF574B">
              <w:rPr>
                <w:rFonts w:ascii="宋体" w:hAnsi="宋体" w:cs="宋体" w:hint="eastAsia"/>
                <w:sz w:val="24"/>
              </w:rPr>
              <w:t>积极关注可再生能源行业科技发展前沿，掌握新能源行业材料、装备、技术发展趋势情况，助力核心竞争力提升。</w:t>
            </w:r>
          </w:p>
          <w:p w14:paraId="3884E517" w14:textId="26251F23" w:rsidR="00867DD3" w:rsidRPr="00867DD3" w:rsidRDefault="00867DD3" w:rsidP="00867DD3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 w:rsidRPr="00867DD3">
              <w:rPr>
                <w:rFonts w:ascii="宋体" w:hAnsi="宋体" w:cs="宋体" w:hint="eastAsia"/>
                <w:b/>
                <w:sz w:val="24"/>
              </w:rPr>
              <w:t>6、普陀项目进展情况如何？</w:t>
            </w:r>
          </w:p>
          <w:p w14:paraId="64DA59E2" w14:textId="211D9814" w:rsidR="00867DD3" w:rsidRPr="0052063A" w:rsidRDefault="00A654EB" w:rsidP="00867DD3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867DD3">
              <w:rPr>
                <w:rFonts w:ascii="宋体" w:hAnsi="宋体" w:cs="宋体" w:hint="eastAsia"/>
                <w:sz w:val="24"/>
              </w:rPr>
              <w:t>舟山市普陀2#海上风</w:t>
            </w:r>
            <w:proofErr w:type="gramStart"/>
            <w:r w:rsidRPr="00867DD3">
              <w:rPr>
                <w:rFonts w:ascii="宋体" w:hAnsi="宋体" w:cs="宋体" w:hint="eastAsia"/>
                <w:sz w:val="24"/>
              </w:rPr>
              <w:t>电项目</w:t>
            </w:r>
            <w:proofErr w:type="gramEnd"/>
            <w:r w:rsidRPr="00867DD3">
              <w:rPr>
                <w:rFonts w:ascii="宋体" w:hAnsi="宋体" w:cs="宋体" w:hint="eastAsia"/>
                <w:sz w:val="24"/>
              </w:rPr>
              <w:t>总装机约40万千瓦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="00867DD3" w:rsidRPr="00867DD3">
              <w:rPr>
                <w:rFonts w:ascii="宋体" w:hAnsi="宋体" w:cs="宋体" w:hint="eastAsia"/>
                <w:sz w:val="24"/>
              </w:rPr>
              <w:t>项目建设涉及用地、用海、环评、海事等多环节审批流程，公司当前正积极推进项目各项前期及配套送出工程相关工作</w:t>
            </w:r>
            <w:r w:rsidR="00867DD3">
              <w:rPr>
                <w:rFonts w:ascii="宋体" w:hAnsi="宋体" w:cs="宋体" w:hint="eastAsia"/>
                <w:sz w:val="24"/>
              </w:rPr>
              <w:t>，</w:t>
            </w:r>
            <w:r w:rsidR="00260F5B">
              <w:rPr>
                <w:rFonts w:ascii="宋体" w:hAnsi="宋体" w:cs="宋体" w:hint="eastAsia"/>
                <w:sz w:val="24"/>
              </w:rPr>
              <w:t>力争年底前具备海上</w:t>
            </w:r>
            <w:r w:rsidR="00867DD3">
              <w:rPr>
                <w:rFonts w:ascii="宋体" w:hAnsi="宋体" w:cs="宋体" w:hint="eastAsia"/>
                <w:sz w:val="24"/>
              </w:rPr>
              <w:t>开工</w:t>
            </w:r>
            <w:r w:rsidR="00260F5B">
              <w:rPr>
                <w:rFonts w:ascii="宋体" w:hAnsi="宋体" w:cs="宋体" w:hint="eastAsia"/>
                <w:sz w:val="24"/>
              </w:rPr>
              <w:t>条件</w:t>
            </w:r>
            <w:r w:rsidR="00867DD3" w:rsidRPr="00867DD3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213F20" w14:paraId="0C78992A" w14:textId="77777777">
        <w:tc>
          <w:tcPr>
            <w:tcW w:w="2154" w:type="dxa"/>
            <w:vAlign w:val="center"/>
          </w:tcPr>
          <w:p w14:paraId="5333770B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906" w:type="dxa"/>
            <w:vAlign w:val="center"/>
          </w:tcPr>
          <w:p w14:paraId="282CBF1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13F20" w14:paraId="77CB7B9B" w14:textId="77777777">
        <w:tc>
          <w:tcPr>
            <w:tcW w:w="2154" w:type="dxa"/>
            <w:vAlign w:val="center"/>
          </w:tcPr>
          <w:p w14:paraId="40565C60" w14:textId="7777777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14:paraId="58308C59" w14:textId="403C11E0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33EA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F2BEC">
              <w:rPr>
                <w:rFonts w:hint="eastAsia"/>
                <w:bCs/>
                <w:iCs/>
                <w:color w:val="000000"/>
                <w:sz w:val="24"/>
              </w:rPr>
              <w:t>7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805CDC">
              <w:rPr>
                <w:rFonts w:hint="eastAsia"/>
                <w:bCs/>
                <w:iCs/>
                <w:color w:val="000000"/>
                <w:sz w:val="24"/>
              </w:rPr>
              <w:t>15</w:t>
            </w:r>
            <w:bookmarkStart w:id="0" w:name="_GoBack"/>
            <w:bookmarkEnd w:id="0"/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BD4177B" w14:textId="77777777" w:rsidR="00562AA8" w:rsidRDefault="00562AA8"/>
    <w:sectPr w:rsidR="00562A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E8A5F" w14:textId="77777777" w:rsidR="00503B87" w:rsidRDefault="00503B87" w:rsidP="00957217">
      <w:r>
        <w:separator/>
      </w:r>
    </w:p>
  </w:endnote>
  <w:endnote w:type="continuationSeparator" w:id="0">
    <w:p w14:paraId="1CD58F8D" w14:textId="77777777" w:rsidR="00503B87" w:rsidRDefault="00503B87" w:rsidP="0095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494FF" w14:textId="77777777" w:rsidR="00503B87" w:rsidRDefault="00503B87" w:rsidP="00957217">
      <w:r>
        <w:separator/>
      </w:r>
    </w:p>
  </w:footnote>
  <w:footnote w:type="continuationSeparator" w:id="0">
    <w:p w14:paraId="40CA4FD3" w14:textId="77777777" w:rsidR="00503B87" w:rsidRDefault="00503B87" w:rsidP="0095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7574A0"/>
    <w:multiLevelType w:val="singleLevel"/>
    <w:tmpl w:val="D875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C448E0"/>
    <w:multiLevelType w:val="hybridMultilevel"/>
    <w:tmpl w:val="5F723124"/>
    <w:lvl w:ilvl="0" w:tplc="C6727DF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3D5142D"/>
    <w:multiLevelType w:val="hybridMultilevel"/>
    <w:tmpl w:val="7B668A5C"/>
    <w:lvl w:ilvl="0" w:tplc="57387EF4">
      <w:start w:val="1"/>
      <w:numFmt w:val="decimal"/>
      <w:lvlText w:val="%1、"/>
      <w:lvlJc w:val="left"/>
      <w:pPr>
        <w:ind w:left="857" w:hanging="375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73BB2508"/>
    <w:multiLevelType w:val="hybridMultilevel"/>
    <w:tmpl w:val="0EA05C34"/>
    <w:lvl w:ilvl="0" w:tplc="290CFC42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mNDdjYmI5ZTBjMmY0OTQyNjkwMjMzMWYzNTY0YzUifQ=="/>
  </w:docVars>
  <w:rsids>
    <w:rsidRoot w:val="001F5DDC"/>
    <w:rsid w:val="00003590"/>
    <w:rsid w:val="00005898"/>
    <w:rsid w:val="00006285"/>
    <w:rsid w:val="00012B55"/>
    <w:rsid w:val="000154BA"/>
    <w:rsid w:val="00015952"/>
    <w:rsid w:val="000168B7"/>
    <w:rsid w:val="0002024D"/>
    <w:rsid w:val="0002386F"/>
    <w:rsid w:val="0002564D"/>
    <w:rsid w:val="00034674"/>
    <w:rsid w:val="00034ADE"/>
    <w:rsid w:val="00035CB6"/>
    <w:rsid w:val="00037610"/>
    <w:rsid w:val="00037C54"/>
    <w:rsid w:val="0004079E"/>
    <w:rsid w:val="00042D63"/>
    <w:rsid w:val="00043962"/>
    <w:rsid w:val="000465F6"/>
    <w:rsid w:val="00053080"/>
    <w:rsid w:val="00054469"/>
    <w:rsid w:val="000573C3"/>
    <w:rsid w:val="00060176"/>
    <w:rsid w:val="00062DA3"/>
    <w:rsid w:val="00062F65"/>
    <w:rsid w:val="00063B16"/>
    <w:rsid w:val="00064A01"/>
    <w:rsid w:val="00064EE3"/>
    <w:rsid w:val="000657A0"/>
    <w:rsid w:val="00070949"/>
    <w:rsid w:val="00071D10"/>
    <w:rsid w:val="0007203B"/>
    <w:rsid w:val="000720AD"/>
    <w:rsid w:val="000734FC"/>
    <w:rsid w:val="00074A04"/>
    <w:rsid w:val="00075DEE"/>
    <w:rsid w:val="00076B35"/>
    <w:rsid w:val="000840DC"/>
    <w:rsid w:val="000845C6"/>
    <w:rsid w:val="00093B53"/>
    <w:rsid w:val="00093CF9"/>
    <w:rsid w:val="000A19B7"/>
    <w:rsid w:val="000A3519"/>
    <w:rsid w:val="000A550C"/>
    <w:rsid w:val="000A596F"/>
    <w:rsid w:val="000A7D9A"/>
    <w:rsid w:val="000B53BB"/>
    <w:rsid w:val="000C51DA"/>
    <w:rsid w:val="000D104C"/>
    <w:rsid w:val="000D105E"/>
    <w:rsid w:val="000D460A"/>
    <w:rsid w:val="000E12D6"/>
    <w:rsid w:val="000E4900"/>
    <w:rsid w:val="000E528D"/>
    <w:rsid w:val="000F2DEA"/>
    <w:rsid w:val="000F4D08"/>
    <w:rsid w:val="000F646F"/>
    <w:rsid w:val="000F790D"/>
    <w:rsid w:val="00102A8C"/>
    <w:rsid w:val="001039F1"/>
    <w:rsid w:val="00105905"/>
    <w:rsid w:val="001066C4"/>
    <w:rsid w:val="0010688F"/>
    <w:rsid w:val="001077C3"/>
    <w:rsid w:val="00111546"/>
    <w:rsid w:val="001123F5"/>
    <w:rsid w:val="00113492"/>
    <w:rsid w:val="00113878"/>
    <w:rsid w:val="001158DD"/>
    <w:rsid w:val="00115DE8"/>
    <w:rsid w:val="00120771"/>
    <w:rsid w:val="00121CD5"/>
    <w:rsid w:val="00121EA6"/>
    <w:rsid w:val="0012443D"/>
    <w:rsid w:val="0012762C"/>
    <w:rsid w:val="00133A11"/>
    <w:rsid w:val="001349DF"/>
    <w:rsid w:val="00135670"/>
    <w:rsid w:val="001418E6"/>
    <w:rsid w:val="001424DE"/>
    <w:rsid w:val="00150200"/>
    <w:rsid w:val="00152533"/>
    <w:rsid w:val="00153932"/>
    <w:rsid w:val="00154AAD"/>
    <w:rsid w:val="00157CD6"/>
    <w:rsid w:val="00157DF9"/>
    <w:rsid w:val="00160519"/>
    <w:rsid w:val="0016360D"/>
    <w:rsid w:val="0017051E"/>
    <w:rsid w:val="00176403"/>
    <w:rsid w:val="00182DD1"/>
    <w:rsid w:val="00182F79"/>
    <w:rsid w:val="00183F99"/>
    <w:rsid w:val="00186AFD"/>
    <w:rsid w:val="001871C3"/>
    <w:rsid w:val="001905C6"/>
    <w:rsid w:val="0019262D"/>
    <w:rsid w:val="001946E6"/>
    <w:rsid w:val="00197520"/>
    <w:rsid w:val="001A2B0F"/>
    <w:rsid w:val="001B0661"/>
    <w:rsid w:val="001B0B1B"/>
    <w:rsid w:val="001B1264"/>
    <w:rsid w:val="001B3947"/>
    <w:rsid w:val="001B734E"/>
    <w:rsid w:val="001B75BD"/>
    <w:rsid w:val="001C103D"/>
    <w:rsid w:val="001C25F2"/>
    <w:rsid w:val="001C428D"/>
    <w:rsid w:val="001C49DC"/>
    <w:rsid w:val="001E3336"/>
    <w:rsid w:val="001E416C"/>
    <w:rsid w:val="001F4E88"/>
    <w:rsid w:val="001F5DDC"/>
    <w:rsid w:val="00205FF7"/>
    <w:rsid w:val="00207691"/>
    <w:rsid w:val="00207F8E"/>
    <w:rsid w:val="00212326"/>
    <w:rsid w:val="00213F20"/>
    <w:rsid w:val="00215CD4"/>
    <w:rsid w:val="00216428"/>
    <w:rsid w:val="00222B8B"/>
    <w:rsid w:val="00227787"/>
    <w:rsid w:val="002279A4"/>
    <w:rsid w:val="00233636"/>
    <w:rsid w:val="00235A41"/>
    <w:rsid w:val="00243AE6"/>
    <w:rsid w:val="00243B28"/>
    <w:rsid w:val="00243DA9"/>
    <w:rsid w:val="0024490F"/>
    <w:rsid w:val="00244EA1"/>
    <w:rsid w:val="0024611A"/>
    <w:rsid w:val="00251403"/>
    <w:rsid w:val="0025145C"/>
    <w:rsid w:val="00252925"/>
    <w:rsid w:val="00254F28"/>
    <w:rsid w:val="0025564E"/>
    <w:rsid w:val="00260F5B"/>
    <w:rsid w:val="002612A4"/>
    <w:rsid w:val="0026237A"/>
    <w:rsid w:val="002635AE"/>
    <w:rsid w:val="00267BF6"/>
    <w:rsid w:val="00271C62"/>
    <w:rsid w:val="00272C64"/>
    <w:rsid w:val="0027406D"/>
    <w:rsid w:val="00274C38"/>
    <w:rsid w:val="00275EC8"/>
    <w:rsid w:val="0028197C"/>
    <w:rsid w:val="002862F6"/>
    <w:rsid w:val="00286BB2"/>
    <w:rsid w:val="002879DF"/>
    <w:rsid w:val="00287AB4"/>
    <w:rsid w:val="0029392B"/>
    <w:rsid w:val="00293C6E"/>
    <w:rsid w:val="002962C1"/>
    <w:rsid w:val="00296C36"/>
    <w:rsid w:val="002A2BA8"/>
    <w:rsid w:val="002A38CF"/>
    <w:rsid w:val="002A3E6E"/>
    <w:rsid w:val="002A546F"/>
    <w:rsid w:val="002A577A"/>
    <w:rsid w:val="002A6663"/>
    <w:rsid w:val="002A7293"/>
    <w:rsid w:val="002B0EF0"/>
    <w:rsid w:val="002B5A8F"/>
    <w:rsid w:val="002B5B6B"/>
    <w:rsid w:val="002C088A"/>
    <w:rsid w:val="002C09D0"/>
    <w:rsid w:val="002C2EA1"/>
    <w:rsid w:val="002C3855"/>
    <w:rsid w:val="002C698A"/>
    <w:rsid w:val="002C6CE5"/>
    <w:rsid w:val="002D083D"/>
    <w:rsid w:val="002D447F"/>
    <w:rsid w:val="002D4FC0"/>
    <w:rsid w:val="002D6C17"/>
    <w:rsid w:val="002E15D9"/>
    <w:rsid w:val="002F2061"/>
    <w:rsid w:val="002F2371"/>
    <w:rsid w:val="002F335B"/>
    <w:rsid w:val="002F4733"/>
    <w:rsid w:val="002F5B83"/>
    <w:rsid w:val="002F6694"/>
    <w:rsid w:val="002F6D44"/>
    <w:rsid w:val="002F7082"/>
    <w:rsid w:val="002F75B4"/>
    <w:rsid w:val="003002FD"/>
    <w:rsid w:val="00304B3E"/>
    <w:rsid w:val="00306736"/>
    <w:rsid w:val="00306755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20198"/>
    <w:rsid w:val="00324C0E"/>
    <w:rsid w:val="0032667F"/>
    <w:rsid w:val="00330ABD"/>
    <w:rsid w:val="00332E7E"/>
    <w:rsid w:val="00334DD4"/>
    <w:rsid w:val="00343C9C"/>
    <w:rsid w:val="0034457A"/>
    <w:rsid w:val="00345ED2"/>
    <w:rsid w:val="00346E85"/>
    <w:rsid w:val="00347930"/>
    <w:rsid w:val="0035662B"/>
    <w:rsid w:val="00360658"/>
    <w:rsid w:val="003666CF"/>
    <w:rsid w:val="00371FDC"/>
    <w:rsid w:val="00372256"/>
    <w:rsid w:val="003746D7"/>
    <w:rsid w:val="00383D80"/>
    <w:rsid w:val="00385D4C"/>
    <w:rsid w:val="003868D6"/>
    <w:rsid w:val="00386F6F"/>
    <w:rsid w:val="00387E95"/>
    <w:rsid w:val="003902C0"/>
    <w:rsid w:val="003907E6"/>
    <w:rsid w:val="00391293"/>
    <w:rsid w:val="00392760"/>
    <w:rsid w:val="003927FC"/>
    <w:rsid w:val="0039347B"/>
    <w:rsid w:val="0039364E"/>
    <w:rsid w:val="0039562B"/>
    <w:rsid w:val="00397171"/>
    <w:rsid w:val="003A37F0"/>
    <w:rsid w:val="003B6B4F"/>
    <w:rsid w:val="003B7D19"/>
    <w:rsid w:val="003C56FA"/>
    <w:rsid w:val="003C5E54"/>
    <w:rsid w:val="003C6748"/>
    <w:rsid w:val="003D3937"/>
    <w:rsid w:val="003D6EEC"/>
    <w:rsid w:val="003D77A9"/>
    <w:rsid w:val="003D7DB4"/>
    <w:rsid w:val="003E1CB0"/>
    <w:rsid w:val="003E38C9"/>
    <w:rsid w:val="003E49F4"/>
    <w:rsid w:val="003F391C"/>
    <w:rsid w:val="003F3D67"/>
    <w:rsid w:val="003F4A75"/>
    <w:rsid w:val="003F4BD7"/>
    <w:rsid w:val="003F6B1C"/>
    <w:rsid w:val="0040035E"/>
    <w:rsid w:val="0040094E"/>
    <w:rsid w:val="00405CCF"/>
    <w:rsid w:val="004130A2"/>
    <w:rsid w:val="004137C5"/>
    <w:rsid w:val="00415CB5"/>
    <w:rsid w:val="004214E4"/>
    <w:rsid w:val="00424631"/>
    <w:rsid w:val="0042506B"/>
    <w:rsid w:val="0042790E"/>
    <w:rsid w:val="0043283A"/>
    <w:rsid w:val="004352D7"/>
    <w:rsid w:val="00436C27"/>
    <w:rsid w:val="00440EB3"/>
    <w:rsid w:val="00444242"/>
    <w:rsid w:val="0044629E"/>
    <w:rsid w:val="00446B6C"/>
    <w:rsid w:val="00450170"/>
    <w:rsid w:val="00454C5F"/>
    <w:rsid w:val="00456243"/>
    <w:rsid w:val="0046457C"/>
    <w:rsid w:val="00464B6B"/>
    <w:rsid w:val="004664F4"/>
    <w:rsid w:val="00466CA5"/>
    <w:rsid w:val="00467DF0"/>
    <w:rsid w:val="004716A9"/>
    <w:rsid w:val="00473F4A"/>
    <w:rsid w:val="0048243B"/>
    <w:rsid w:val="00483349"/>
    <w:rsid w:val="00487CA7"/>
    <w:rsid w:val="00490C33"/>
    <w:rsid w:val="004915B2"/>
    <w:rsid w:val="004938CE"/>
    <w:rsid w:val="00495423"/>
    <w:rsid w:val="00495BE8"/>
    <w:rsid w:val="004978FF"/>
    <w:rsid w:val="004A1FD3"/>
    <w:rsid w:val="004A2951"/>
    <w:rsid w:val="004A421F"/>
    <w:rsid w:val="004A6D59"/>
    <w:rsid w:val="004B502B"/>
    <w:rsid w:val="004B6526"/>
    <w:rsid w:val="004C0E7B"/>
    <w:rsid w:val="004C3B6E"/>
    <w:rsid w:val="004C5392"/>
    <w:rsid w:val="004C5BE5"/>
    <w:rsid w:val="004C7214"/>
    <w:rsid w:val="004D0634"/>
    <w:rsid w:val="004D232A"/>
    <w:rsid w:val="004D3DE3"/>
    <w:rsid w:val="004E0FA7"/>
    <w:rsid w:val="004E1122"/>
    <w:rsid w:val="004E6895"/>
    <w:rsid w:val="004F5DB7"/>
    <w:rsid w:val="004F5FE8"/>
    <w:rsid w:val="004F686F"/>
    <w:rsid w:val="004F754A"/>
    <w:rsid w:val="004F7ABD"/>
    <w:rsid w:val="00501442"/>
    <w:rsid w:val="00503B87"/>
    <w:rsid w:val="00503C66"/>
    <w:rsid w:val="00505CD5"/>
    <w:rsid w:val="00510262"/>
    <w:rsid w:val="00517F01"/>
    <w:rsid w:val="0052063A"/>
    <w:rsid w:val="00520BB3"/>
    <w:rsid w:val="005243E8"/>
    <w:rsid w:val="00525B51"/>
    <w:rsid w:val="00525D85"/>
    <w:rsid w:val="00533A00"/>
    <w:rsid w:val="00535949"/>
    <w:rsid w:val="005364EA"/>
    <w:rsid w:val="005527CE"/>
    <w:rsid w:val="00554383"/>
    <w:rsid w:val="00562AA8"/>
    <w:rsid w:val="00565D4B"/>
    <w:rsid w:val="00566C34"/>
    <w:rsid w:val="005671B1"/>
    <w:rsid w:val="00571242"/>
    <w:rsid w:val="00571D60"/>
    <w:rsid w:val="00572EAE"/>
    <w:rsid w:val="00576779"/>
    <w:rsid w:val="005802F2"/>
    <w:rsid w:val="00584798"/>
    <w:rsid w:val="00584BEC"/>
    <w:rsid w:val="00586DF4"/>
    <w:rsid w:val="0059200D"/>
    <w:rsid w:val="005931DA"/>
    <w:rsid w:val="00594B62"/>
    <w:rsid w:val="005950D3"/>
    <w:rsid w:val="00596772"/>
    <w:rsid w:val="005A256A"/>
    <w:rsid w:val="005A4E20"/>
    <w:rsid w:val="005A6941"/>
    <w:rsid w:val="005A7614"/>
    <w:rsid w:val="005B0FE7"/>
    <w:rsid w:val="005B1F1C"/>
    <w:rsid w:val="005C3188"/>
    <w:rsid w:val="005C5B96"/>
    <w:rsid w:val="005C7646"/>
    <w:rsid w:val="005D277D"/>
    <w:rsid w:val="005D29AE"/>
    <w:rsid w:val="005D324F"/>
    <w:rsid w:val="005D3C9E"/>
    <w:rsid w:val="005D54E8"/>
    <w:rsid w:val="005D7063"/>
    <w:rsid w:val="005D72C9"/>
    <w:rsid w:val="005D7EF4"/>
    <w:rsid w:val="005E024A"/>
    <w:rsid w:val="005E0486"/>
    <w:rsid w:val="005E3B0B"/>
    <w:rsid w:val="005E53F7"/>
    <w:rsid w:val="006013DB"/>
    <w:rsid w:val="00605216"/>
    <w:rsid w:val="00605737"/>
    <w:rsid w:val="006065F2"/>
    <w:rsid w:val="006128E0"/>
    <w:rsid w:val="00612F87"/>
    <w:rsid w:val="00616272"/>
    <w:rsid w:val="00616572"/>
    <w:rsid w:val="00623200"/>
    <w:rsid w:val="00627196"/>
    <w:rsid w:val="006301B1"/>
    <w:rsid w:val="006304FB"/>
    <w:rsid w:val="00631652"/>
    <w:rsid w:val="00632C0B"/>
    <w:rsid w:val="00635B6C"/>
    <w:rsid w:val="00642323"/>
    <w:rsid w:val="00643CEA"/>
    <w:rsid w:val="00646BD1"/>
    <w:rsid w:val="00650E7A"/>
    <w:rsid w:val="006547E9"/>
    <w:rsid w:val="00655B64"/>
    <w:rsid w:val="00655B7F"/>
    <w:rsid w:val="00656758"/>
    <w:rsid w:val="00661A56"/>
    <w:rsid w:val="006627E9"/>
    <w:rsid w:val="00665044"/>
    <w:rsid w:val="00674033"/>
    <w:rsid w:val="0068082A"/>
    <w:rsid w:val="00680DD8"/>
    <w:rsid w:val="006818F7"/>
    <w:rsid w:val="00681D82"/>
    <w:rsid w:val="006834B3"/>
    <w:rsid w:val="00684277"/>
    <w:rsid w:val="006845FB"/>
    <w:rsid w:val="00686B5D"/>
    <w:rsid w:val="00687FAE"/>
    <w:rsid w:val="00692AFB"/>
    <w:rsid w:val="00694393"/>
    <w:rsid w:val="006949C9"/>
    <w:rsid w:val="00695A41"/>
    <w:rsid w:val="006A0789"/>
    <w:rsid w:val="006A23DF"/>
    <w:rsid w:val="006A355B"/>
    <w:rsid w:val="006A661A"/>
    <w:rsid w:val="006A72C4"/>
    <w:rsid w:val="006A7D67"/>
    <w:rsid w:val="006B1A39"/>
    <w:rsid w:val="006B42FA"/>
    <w:rsid w:val="006C2FBE"/>
    <w:rsid w:val="006D17E2"/>
    <w:rsid w:val="006D4B71"/>
    <w:rsid w:val="006E6842"/>
    <w:rsid w:val="006F0AAF"/>
    <w:rsid w:val="006F2CE0"/>
    <w:rsid w:val="006F5949"/>
    <w:rsid w:val="006F7198"/>
    <w:rsid w:val="00702554"/>
    <w:rsid w:val="00705796"/>
    <w:rsid w:val="00706B78"/>
    <w:rsid w:val="00710C68"/>
    <w:rsid w:val="00711445"/>
    <w:rsid w:val="00713E01"/>
    <w:rsid w:val="007148C0"/>
    <w:rsid w:val="007160F7"/>
    <w:rsid w:val="00716861"/>
    <w:rsid w:val="0071780C"/>
    <w:rsid w:val="00722671"/>
    <w:rsid w:val="0072470E"/>
    <w:rsid w:val="0072604D"/>
    <w:rsid w:val="00733FD7"/>
    <w:rsid w:val="00736849"/>
    <w:rsid w:val="007509B9"/>
    <w:rsid w:val="00752623"/>
    <w:rsid w:val="00754331"/>
    <w:rsid w:val="007543F6"/>
    <w:rsid w:val="00756BCF"/>
    <w:rsid w:val="007579EA"/>
    <w:rsid w:val="0076263B"/>
    <w:rsid w:val="007669B8"/>
    <w:rsid w:val="00767A72"/>
    <w:rsid w:val="007709CA"/>
    <w:rsid w:val="00771559"/>
    <w:rsid w:val="0078145D"/>
    <w:rsid w:val="00787FAE"/>
    <w:rsid w:val="007927AC"/>
    <w:rsid w:val="00793095"/>
    <w:rsid w:val="007948E7"/>
    <w:rsid w:val="00795556"/>
    <w:rsid w:val="00796ABA"/>
    <w:rsid w:val="0079773D"/>
    <w:rsid w:val="007A1831"/>
    <w:rsid w:val="007A5949"/>
    <w:rsid w:val="007B0E99"/>
    <w:rsid w:val="007B42F3"/>
    <w:rsid w:val="007B4EDC"/>
    <w:rsid w:val="007B51B2"/>
    <w:rsid w:val="007B6864"/>
    <w:rsid w:val="007B7023"/>
    <w:rsid w:val="007C55CB"/>
    <w:rsid w:val="007D38AE"/>
    <w:rsid w:val="007D3913"/>
    <w:rsid w:val="007D3B49"/>
    <w:rsid w:val="007D3C6F"/>
    <w:rsid w:val="007E06E7"/>
    <w:rsid w:val="007E4801"/>
    <w:rsid w:val="007E4875"/>
    <w:rsid w:val="007E4BFA"/>
    <w:rsid w:val="007E5124"/>
    <w:rsid w:val="007E6B81"/>
    <w:rsid w:val="007F201A"/>
    <w:rsid w:val="007F28BA"/>
    <w:rsid w:val="007F4F41"/>
    <w:rsid w:val="007F5E43"/>
    <w:rsid w:val="007F6C62"/>
    <w:rsid w:val="007F76A8"/>
    <w:rsid w:val="00804ECF"/>
    <w:rsid w:val="008053B3"/>
    <w:rsid w:val="00805CDC"/>
    <w:rsid w:val="008077F5"/>
    <w:rsid w:val="008138D8"/>
    <w:rsid w:val="00813A5F"/>
    <w:rsid w:val="00816E17"/>
    <w:rsid w:val="00825D62"/>
    <w:rsid w:val="008321A7"/>
    <w:rsid w:val="00833EAA"/>
    <w:rsid w:val="00837FB8"/>
    <w:rsid w:val="00840230"/>
    <w:rsid w:val="00842399"/>
    <w:rsid w:val="00843EFE"/>
    <w:rsid w:val="008470C6"/>
    <w:rsid w:val="00850C5A"/>
    <w:rsid w:val="00851AA9"/>
    <w:rsid w:val="0085308B"/>
    <w:rsid w:val="0085339D"/>
    <w:rsid w:val="008553B5"/>
    <w:rsid w:val="00857940"/>
    <w:rsid w:val="008602EB"/>
    <w:rsid w:val="008631E2"/>
    <w:rsid w:val="00863FEA"/>
    <w:rsid w:val="0086493F"/>
    <w:rsid w:val="00865B8F"/>
    <w:rsid w:val="00865EE5"/>
    <w:rsid w:val="00866034"/>
    <w:rsid w:val="00867DD3"/>
    <w:rsid w:val="00867EE1"/>
    <w:rsid w:val="00870F2E"/>
    <w:rsid w:val="00870F5D"/>
    <w:rsid w:val="00874153"/>
    <w:rsid w:val="00875553"/>
    <w:rsid w:val="00877645"/>
    <w:rsid w:val="00881A28"/>
    <w:rsid w:val="008852AD"/>
    <w:rsid w:val="00885EC8"/>
    <w:rsid w:val="00886D5A"/>
    <w:rsid w:val="008934F5"/>
    <w:rsid w:val="00894274"/>
    <w:rsid w:val="00895F7F"/>
    <w:rsid w:val="008964B2"/>
    <w:rsid w:val="00896A4E"/>
    <w:rsid w:val="008A6D8F"/>
    <w:rsid w:val="008A7D93"/>
    <w:rsid w:val="008B52BF"/>
    <w:rsid w:val="008B7EF5"/>
    <w:rsid w:val="008C2B0B"/>
    <w:rsid w:val="008D06B0"/>
    <w:rsid w:val="008D7288"/>
    <w:rsid w:val="008D7DD0"/>
    <w:rsid w:val="008E1E5B"/>
    <w:rsid w:val="008E5A1B"/>
    <w:rsid w:val="008F264D"/>
    <w:rsid w:val="008F276B"/>
    <w:rsid w:val="008F2BEC"/>
    <w:rsid w:val="00901B36"/>
    <w:rsid w:val="0090424C"/>
    <w:rsid w:val="0090505A"/>
    <w:rsid w:val="00911178"/>
    <w:rsid w:val="00914A56"/>
    <w:rsid w:val="00916711"/>
    <w:rsid w:val="00916E94"/>
    <w:rsid w:val="009208F1"/>
    <w:rsid w:val="009300EE"/>
    <w:rsid w:val="00931AA6"/>
    <w:rsid w:val="009346AB"/>
    <w:rsid w:val="00935760"/>
    <w:rsid w:val="0094068B"/>
    <w:rsid w:val="00942427"/>
    <w:rsid w:val="00943D54"/>
    <w:rsid w:val="00944FDE"/>
    <w:rsid w:val="00947613"/>
    <w:rsid w:val="009539F3"/>
    <w:rsid w:val="00953A2E"/>
    <w:rsid w:val="00956EBD"/>
    <w:rsid w:val="00957217"/>
    <w:rsid w:val="009572E9"/>
    <w:rsid w:val="00960716"/>
    <w:rsid w:val="0096195C"/>
    <w:rsid w:val="0096260F"/>
    <w:rsid w:val="009654C3"/>
    <w:rsid w:val="00974F1B"/>
    <w:rsid w:val="00975B15"/>
    <w:rsid w:val="00975FD9"/>
    <w:rsid w:val="0097727D"/>
    <w:rsid w:val="009778E5"/>
    <w:rsid w:val="0098082A"/>
    <w:rsid w:val="0098324F"/>
    <w:rsid w:val="00983BC6"/>
    <w:rsid w:val="0099358B"/>
    <w:rsid w:val="009A1D25"/>
    <w:rsid w:val="009A3B13"/>
    <w:rsid w:val="009A5B18"/>
    <w:rsid w:val="009B351D"/>
    <w:rsid w:val="009B3A3F"/>
    <w:rsid w:val="009B700D"/>
    <w:rsid w:val="009C1839"/>
    <w:rsid w:val="009C324D"/>
    <w:rsid w:val="009D4A59"/>
    <w:rsid w:val="009D5E5F"/>
    <w:rsid w:val="009E2106"/>
    <w:rsid w:val="009E5537"/>
    <w:rsid w:val="009F2CA2"/>
    <w:rsid w:val="009F4724"/>
    <w:rsid w:val="009F6EED"/>
    <w:rsid w:val="00A00553"/>
    <w:rsid w:val="00A0667A"/>
    <w:rsid w:val="00A10EE6"/>
    <w:rsid w:val="00A12819"/>
    <w:rsid w:val="00A15414"/>
    <w:rsid w:val="00A20CCF"/>
    <w:rsid w:val="00A21B52"/>
    <w:rsid w:val="00A22394"/>
    <w:rsid w:val="00A227CC"/>
    <w:rsid w:val="00A23EC8"/>
    <w:rsid w:val="00A246B1"/>
    <w:rsid w:val="00A247E5"/>
    <w:rsid w:val="00A26B65"/>
    <w:rsid w:val="00A3254E"/>
    <w:rsid w:val="00A3348E"/>
    <w:rsid w:val="00A3557A"/>
    <w:rsid w:val="00A35B75"/>
    <w:rsid w:val="00A37F06"/>
    <w:rsid w:val="00A409D3"/>
    <w:rsid w:val="00A4328F"/>
    <w:rsid w:val="00A4359D"/>
    <w:rsid w:val="00A43C4F"/>
    <w:rsid w:val="00A44A98"/>
    <w:rsid w:val="00A53346"/>
    <w:rsid w:val="00A56DD4"/>
    <w:rsid w:val="00A576DD"/>
    <w:rsid w:val="00A620A8"/>
    <w:rsid w:val="00A654EB"/>
    <w:rsid w:val="00A721AF"/>
    <w:rsid w:val="00A7771E"/>
    <w:rsid w:val="00A81E10"/>
    <w:rsid w:val="00A84BD4"/>
    <w:rsid w:val="00A8605D"/>
    <w:rsid w:val="00A8615F"/>
    <w:rsid w:val="00A86BED"/>
    <w:rsid w:val="00A905DD"/>
    <w:rsid w:val="00A9194D"/>
    <w:rsid w:val="00A944AD"/>
    <w:rsid w:val="00A9766D"/>
    <w:rsid w:val="00AA0E94"/>
    <w:rsid w:val="00AA2151"/>
    <w:rsid w:val="00AA4983"/>
    <w:rsid w:val="00AA6537"/>
    <w:rsid w:val="00AB032E"/>
    <w:rsid w:val="00AB0712"/>
    <w:rsid w:val="00AB2DD5"/>
    <w:rsid w:val="00AC0EF8"/>
    <w:rsid w:val="00AC18D1"/>
    <w:rsid w:val="00AC416C"/>
    <w:rsid w:val="00AC421A"/>
    <w:rsid w:val="00AC4FBC"/>
    <w:rsid w:val="00AC7E0F"/>
    <w:rsid w:val="00AD17B6"/>
    <w:rsid w:val="00AD4AED"/>
    <w:rsid w:val="00AD524B"/>
    <w:rsid w:val="00AE2D32"/>
    <w:rsid w:val="00AE3CE5"/>
    <w:rsid w:val="00AE6A23"/>
    <w:rsid w:val="00AF154F"/>
    <w:rsid w:val="00AF240A"/>
    <w:rsid w:val="00AF56E3"/>
    <w:rsid w:val="00B03A7C"/>
    <w:rsid w:val="00B05541"/>
    <w:rsid w:val="00B05969"/>
    <w:rsid w:val="00B05D76"/>
    <w:rsid w:val="00B07C36"/>
    <w:rsid w:val="00B11D08"/>
    <w:rsid w:val="00B132A7"/>
    <w:rsid w:val="00B156F0"/>
    <w:rsid w:val="00B15A22"/>
    <w:rsid w:val="00B166B0"/>
    <w:rsid w:val="00B172DA"/>
    <w:rsid w:val="00B2055D"/>
    <w:rsid w:val="00B243FF"/>
    <w:rsid w:val="00B27CC5"/>
    <w:rsid w:val="00B3026A"/>
    <w:rsid w:val="00B34580"/>
    <w:rsid w:val="00B34FEE"/>
    <w:rsid w:val="00B43601"/>
    <w:rsid w:val="00B44489"/>
    <w:rsid w:val="00B44DD4"/>
    <w:rsid w:val="00B4704B"/>
    <w:rsid w:val="00B52489"/>
    <w:rsid w:val="00B532F2"/>
    <w:rsid w:val="00B56794"/>
    <w:rsid w:val="00B56CF9"/>
    <w:rsid w:val="00B5759E"/>
    <w:rsid w:val="00B57A90"/>
    <w:rsid w:val="00B62CAC"/>
    <w:rsid w:val="00B63906"/>
    <w:rsid w:val="00B70C19"/>
    <w:rsid w:val="00B71541"/>
    <w:rsid w:val="00B725BD"/>
    <w:rsid w:val="00B77A92"/>
    <w:rsid w:val="00B83211"/>
    <w:rsid w:val="00B841A8"/>
    <w:rsid w:val="00B86277"/>
    <w:rsid w:val="00B91025"/>
    <w:rsid w:val="00B95017"/>
    <w:rsid w:val="00B97B51"/>
    <w:rsid w:val="00BA296B"/>
    <w:rsid w:val="00BA32BE"/>
    <w:rsid w:val="00BA34A8"/>
    <w:rsid w:val="00BA397B"/>
    <w:rsid w:val="00BA6838"/>
    <w:rsid w:val="00BA6871"/>
    <w:rsid w:val="00BB0F1E"/>
    <w:rsid w:val="00BB387C"/>
    <w:rsid w:val="00BB67FC"/>
    <w:rsid w:val="00BC021E"/>
    <w:rsid w:val="00BC096A"/>
    <w:rsid w:val="00BD0B99"/>
    <w:rsid w:val="00BD21C5"/>
    <w:rsid w:val="00BD42E9"/>
    <w:rsid w:val="00BE0264"/>
    <w:rsid w:val="00BE1BB3"/>
    <w:rsid w:val="00BE4457"/>
    <w:rsid w:val="00BE4733"/>
    <w:rsid w:val="00BE4B93"/>
    <w:rsid w:val="00BE7C61"/>
    <w:rsid w:val="00BF2978"/>
    <w:rsid w:val="00BF3AF3"/>
    <w:rsid w:val="00BF4E15"/>
    <w:rsid w:val="00BF4E58"/>
    <w:rsid w:val="00BF574B"/>
    <w:rsid w:val="00BF5F57"/>
    <w:rsid w:val="00BF6C0D"/>
    <w:rsid w:val="00C00CD8"/>
    <w:rsid w:val="00C01CF3"/>
    <w:rsid w:val="00C02667"/>
    <w:rsid w:val="00C10FE6"/>
    <w:rsid w:val="00C118AF"/>
    <w:rsid w:val="00C118F7"/>
    <w:rsid w:val="00C12E5C"/>
    <w:rsid w:val="00C23932"/>
    <w:rsid w:val="00C24A20"/>
    <w:rsid w:val="00C27392"/>
    <w:rsid w:val="00C300A1"/>
    <w:rsid w:val="00C31061"/>
    <w:rsid w:val="00C32957"/>
    <w:rsid w:val="00C3413C"/>
    <w:rsid w:val="00C34836"/>
    <w:rsid w:val="00C35DA6"/>
    <w:rsid w:val="00C36DE2"/>
    <w:rsid w:val="00C372EE"/>
    <w:rsid w:val="00C411E9"/>
    <w:rsid w:val="00C4153A"/>
    <w:rsid w:val="00C43E99"/>
    <w:rsid w:val="00C50EB7"/>
    <w:rsid w:val="00C52F76"/>
    <w:rsid w:val="00C53E11"/>
    <w:rsid w:val="00C55FDA"/>
    <w:rsid w:val="00C565ED"/>
    <w:rsid w:val="00C61B0C"/>
    <w:rsid w:val="00C6482E"/>
    <w:rsid w:val="00C74F2C"/>
    <w:rsid w:val="00C76FAF"/>
    <w:rsid w:val="00C8087D"/>
    <w:rsid w:val="00C906AC"/>
    <w:rsid w:val="00C93375"/>
    <w:rsid w:val="00C94FE1"/>
    <w:rsid w:val="00CA1794"/>
    <w:rsid w:val="00CA32A4"/>
    <w:rsid w:val="00CA5C0D"/>
    <w:rsid w:val="00CA6835"/>
    <w:rsid w:val="00CA6FD5"/>
    <w:rsid w:val="00CB22BD"/>
    <w:rsid w:val="00CB4693"/>
    <w:rsid w:val="00CB5056"/>
    <w:rsid w:val="00CB5C64"/>
    <w:rsid w:val="00CB67DD"/>
    <w:rsid w:val="00CC2B77"/>
    <w:rsid w:val="00CC5B2A"/>
    <w:rsid w:val="00CD323D"/>
    <w:rsid w:val="00CD5803"/>
    <w:rsid w:val="00CE0707"/>
    <w:rsid w:val="00CE1EAA"/>
    <w:rsid w:val="00CE3D5A"/>
    <w:rsid w:val="00CE72DB"/>
    <w:rsid w:val="00CF1C31"/>
    <w:rsid w:val="00D011A6"/>
    <w:rsid w:val="00D019BB"/>
    <w:rsid w:val="00D01A26"/>
    <w:rsid w:val="00D024EC"/>
    <w:rsid w:val="00D03ED7"/>
    <w:rsid w:val="00D04D63"/>
    <w:rsid w:val="00D074EA"/>
    <w:rsid w:val="00D10653"/>
    <w:rsid w:val="00D10DC0"/>
    <w:rsid w:val="00D10ECC"/>
    <w:rsid w:val="00D111C5"/>
    <w:rsid w:val="00D14270"/>
    <w:rsid w:val="00D1686D"/>
    <w:rsid w:val="00D21D29"/>
    <w:rsid w:val="00D23359"/>
    <w:rsid w:val="00D2777B"/>
    <w:rsid w:val="00D278FF"/>
    <w:rsid w:val="00D30092"/>
    <w:rsid w:val="00D306BD"/>
    <w:rsid w:val="00D314A7"/>
    <w:rsid w:val="00D318DA"/>
    <w:rsid w:val="00D35359"/>
    <w:rsid w:val="00D35807"/>
    <w:rsid w:val="00D35A0A"/>
    <w:rsid w:val="00D36985"/>
    <w:rsid w:val="00D37F59"/>
    <w:rsid w:val="00D4024F"/>
    <w:rsid w:val="00D4462B"/>
    <w:rsid w:val="00D45222"/>
    <w:rsid w:val="00D471A3"/>
    <w:rsid w:val="00D504B2"/>
    <w:rsid w:val="00D567F8"/>
    <w:rsid w:val="00D627CE"/>
    <w:rsid w:val="00D63312"/>
    <w:rsid w:val="00D638C3"/>
    <w:rsid w:val="00D64067"/>
    <w:rsid w:val="00D645E5"/>
    <w:rsid w:val="00D64C88"/>
    <w:rsid w:val="00D82E5B"/>
    <w:rsid w:val="00D84F31"/>
    <w:rsid w:val="00D86F08"/>
    <w:rsid w:val="00D86F20"/>
    <w:rsid w:val="00D90EB5"/>
    <w:rsid w:val="00D91319"/>
    <w:rsid w:val="00DA2B0A"/>
    <w:rsid w:val="00DA5217"/>
    <w:rsid w:val="00DB1764"/>
    <w:rsid w:val="00DB1DC4"/>
    <w:rsid w:val="00DB5BFE"/>
    <w:rsid w:val="00DB622F"/>
    <w:rsid w:val="00DB7EB0"/>
    <w:rsid w:val="00DC01ED"/>
    <w:rsid w:val="00DC0885"/>
    <w:rsid w:val="00DC6324"/>
    <w:rsid w:val="00DC7D2C"/>
    <w:rsid w:val="00DD0A91"/>
    <w:rsid w:val="00DD2BBF"/>
    <w:rsid w:val="00DD48AF"/>
    <w:rsid w:val="00DE139B"/>
    <w:rsid w:val="00DE3213"/>
    <w:rsid w:val="00DE43B1"/>
    <w:rsid w:val="00DE4CDC"/>
    <w:rsid w:val="00DE70C9"/>
    <w:rsid w:val="00DF67B3"/>
    <w:rsid w:val="00DF754D"/>
    <w:rsid w:val="00DF7BC3"/>
    <w:rsid w:val="00E02964"/>
    <w:rsid w:val="00E05094"/>
    <w:rsid w:val="00E109D2"/>
    <w:rsid w:val="00E12395"/>
    <w:rsid w:val="00E12FE0"/>
    <w:rsid w:val="00E143C3"/>
    <w:rsid w:val="00E15738"/>
    <w:rsid w:val="00E160C6"/>
    <w:rsid w:val="00E20474"/>
    <w:rsid w:val="00E25F29"/>
    <w:rsid w:val="00E271BF"/>
    <w:rsid w:val="00E3184F"/>
    <w:rsid w:val="00E3615D"/>
    <w:rsid w:val="00E36E09"/>
    <w:rsid w:val="00E37588"/>
    <w:rsid w:val="00E415BA"/>
    <w:rsid w:val="00E41BCF"/>
    <w:rsid w:val="00E439A2"/>
    <w:rsid w:val="00E467F0"/>
    <w:rsid w:val="00E51343"/>
    <w:rsid w:val="00E571F4"/>
    <w:rsid w:val="00E613D3"/>
    <w:rsid w:val="00E62483"/>
    <w:rsid w:val="00E625D6"/>
    <w:rsid w:val="00E64C7A"/>
    <w:rsid w:val="00E67461"/>
    <w:rsid w:val="00E70E4E"/>
    <w:rsid w:val="00E71A92"/>
    <w:rsid w:val="00E72091"/>
    <w:rsid w:val="00E7492F"/>
    <w:rsid w:val="00E81592"/>
    <w:rsid w:val="00E81B8A"/>
    <w:rsid w:val="00E825E9"/>
    <w:rsid w:val="00E83E95"/>
    <w:rsid w:val="00E83F05"/>
    <w:rsid w:val="00E85240"/>
    <w:rsid w:val="00E90CC9"/>
    <w:rsid w:val="00E912FA"/>
    <w:rsid w:val="00E9203F"/>
    <w:rsid w:val="00E95D67"/>
    <w:rsid w:val="00E95FDC"/>
    <w:rsid w:val="00EA0D27"/>
    <w:rsid w:val="00EA163C"/>
    <w:rsid w:val="00EA1B50"/>
    <w:rsid w:val="00EA5480"/>
    <w:rsid w:val="00EA613F"/>
    <w:rsid w:val="00EA7FEC"/>
    <w:rsid w:val="00EB1434"/>
    <w:rsid w:val="00EB249F"/>
    <w:rsid w:val="00EB2DC6"/>
    <w:rsid w:val="00EB5A1C"/>
    <w:rsid w:val="00EB5A6B"/>
    <w:rsid w:val="00EB7D2A"/>
    <w:rsid w:val="00EC13A4"/>
    <w:rsid w:val="00EC4CB9"/>
    <w:rsid w:val="00ED1F0B"/>
    <w:rsid w:val="00ED3029"/>
    <w:rsid w:val="00ED3CBC"/>
    <w:rsid w:val="00EE150A"/>
    <w:rsid w:val="00EE2E5C"/>
    <w:rsid w:val="00EE47FE"/>
    <w:rsid w:val="00EE62E3"/>
    <w:rsid w:val="00EE67CC"/>
    <w:rsid w:val="00EE7A4B"/>
    <w:rsid w:val="00EF0BAE"/>
    <w:rsid w:val="00F0069F"/>
    <w:rsid w:val="00F018A1"/>
    <w:rsid w:val="00F05F25"/>
    <w:rsid w:val="00F107E6"/>
    <w:rsid w:val="00F10968"/>
    <w:rsid w:val="00F119B5"/>
    <w:rsid w:val="00F14407"/>
    <w:rsid w:val="00F15D03"/>
    <w:rsid w:val="00F16EC5"/>
    <w:rsid w:val="00F2092E"/>
    <w:rsid w:val="00F27785"/>
    <w:rsid w:val="00F31E38"/>
    <w:rsid w:val="00F32953"/>
    <w:rsid w:val="00F3455A"/>
    <w:rsid w:val="00F37B1B"/>
    <w:rsid w:val="00F41C51"/>
    <w:rsid w:val="00F4408E"/>
    <w:rsid w:val="00F4530D"/>
    <w:rsid w:val="00F50D6D"/>
    <w:rsid w:val="00F56A42"/>
    <w:rsid w:val="00F56DB7"/>
    <w:rsid w:val="00F5757B"/>
    <w:rsid w:val="00F65701"/>
    <w:rsid w:val="00F667AA"/>
    <w:rsid w:val="00F709FD"/>
    <w:rsid w:val="00F733A8"/>
    <w:rsid w:val="00F771F1"/>
    <w:rsid w:val="00F77C3E"/>
    <w:rsid w:val="00F808D0"/>
    <w:rsid w:val="00F8240C"/>
    <w:rsid w:val="00F84638"/>
    <w:rsid w:val="00F86B8E"/>
    <w:rsid w:val="00F971D6"/>
    <w:rsid w:val="00F97988"/>
    <w:rsid w:val="00FA39E5"/>
    <w:rsid w:val="00FA3AF4"/>
    <w:rsid w:val="00FA60D7"/>
    <w:rsid w:val="00FA78E6"/>
    <w:rsid w:val="00FA7A31"/>
    <w:rsid w:val="00FA7F01"/>
    <w:rsid w:val="00FB0A7C"/>
    <w:rsid w:val="00FB2586"/>
    <w:rsid w:val="00FB7410"/>
    <w:rsid w:val="00FC1E38"/>
    <w:rsid w:val="00FC2810"/>
    <w:rsid w:val="00FC2835"/>
    <w:rsid w:val="00FC30B3"/>
    <w:rsid w:val="00FC48F8"/>
    <w:rsid w:val="00FC5BE4"/>
    <w:rsid w:val="00FD1CAA"/>
    <w:rsid w:val="00FD4C17"/>
    <w:rsid w:val="00FD5FB2"/>
    <w:rsid w:val="00FE0793"/>
    <w:rsid w:val="00FE3647"/>
    <w:rsid w:val="00FE51F0"/>
    <w:rsid w:val="00FE5C22"/>
    <w:rsid w:val="00FE689F"/>
    <w:rsid w:val="00FE7310"/>
    <w:rsid w:val="00FE7C6E"/>
    <w:rsid w:val="00FF0798"/>
    <w:rsid w:val="00FF1137"/>
    <w:rsid w:val="00FF24AF"/>
    <w:rsid w:val="00FF5DDB"/>
    <w:rsid w:val="00FF6C68"/>
    <w:rsid w:val="00FF7AB9"/>
    <w:rsid w:val="01E46D89"/>
    <w:rsid w:val="09353E43"/>
    <w:rsid w:val="0C721436"/>
    <w:rsid w:val="150B2427"/>
    <w:rsid w:val="191C4C03"/>
    <w:rsid w:val="19687E48"/>
    <w:rsid w:val="19FE255B"/>
    <w:rsid w:val="1E235EB3"/>
    <w:rsid w:val="1EDF295B"/>
    <w:rsid w:val="1F62533A"/>
    <w:rsid w:val="23A61C99"/>
    <w:rsid w:val="267D0C0C"/>
    <w:rsid w:val="26DB76A4"/>
    <w:rsid w:val="277125BE"/>
    <w:rsid w:val="28EA2628"/>
    <w:rsid w:val="29B844D4"/>
    <w:rsid w:val="34346E4D"/>
    <w:rsid w:val="38152AF0"/>
    <w:rsid w:val="38A345A1"/>
    <w:rsid w:val="42894808"/>
    <w:rsid w:val="44986F84"/>
    <w:rsid w:val="4C340327"/>
    <w:rsid w:val="4ED33CE1"/>
    <w:rsid w:val="520B6FE7"/>
    <w:rsid w:val="55085A60"/>
    <w:rsid w:val="5794182D"/>
    <w:rsid w:val="580544D9"/>
    <w:rsid w:val="5A333D6C"/>
    <w:rsid w:val="5B865931"/>
    <w:rsid w:val="6A0B47D1"/>
    <w:rsid w:val="6C557385"/>
    <w:rsid w:val="6D5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FEFE"/>
  <w15:docId w15:val="{64828F24-1074-43E2-839B-1B29943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3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张弦</dc:creator>
  <cp:lastModifiedBy>张弦</cp:lastModifiedBy>
  <cp:revision>250</cp:revision>
  <cp:lastPrinted>2025-07-14T08:32:00Z</cp:lastPrinted>
  <dcterms:created xsi:type="dcterms:W3CDTF">2024-07-01T01:56:00Z</dcterms:created>
  <dcterms:modified xsi:type="dcterms:W3CDTF">2025-07-14T08:46:00Z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4C3B1CBB9E204F4AB6DF98F19ACBF6BB_13</vt:lpwstr>
  </property>
</Properties>
</file>