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8D9DE">
      <w:pPr>
        <w:spacing w:before="156" w:beforeLines="50" w:after="156" w:afterLines="50" w:line="400" w:lineRule="exact"/>
        <w:rPr>
          <w:rFonts w:eastAsiaTheme="minorEastAsia"/>
          <w:bCs/>
          <w:iCs/>
          <w:color w:val="000000"/>
          <w:sz w:val="24"/>
        </w:rPr>
      </w:pPr>
      <w:r>
        <w:rPr>
          <w:rFonts w:eastAsiaTheme="minorEastAsia"/>
          <w:bCs/>
          <w:iCs/>
          <w:color w:val="000000"/>
          <w:sz w:val="24"/>
        </w:rPr>
        <w:t>证券代码：</w:t>
      </w:r>
      <w:r>
        <w:rPr>
          <w:rFonts w:eastAsiaTheme="minorEastAsia"/>
          <w:color w:val="000000"/>
          <w:sz w:val="24"/>
        </w:rPr>
        <w:t xml:space="preserve">600820                        </w:t>
      </w:r>
      <w:r>
        <w:rPr>
          <w:rFonts w:hint="eastAsia" w:eastAsiaTheme="minorEastAsia"/>
          <w:color w:val="000000"/>
          <w:sz w:val="24"/>
        </w:rPr>
        <w:t xml:space="preserve">   </w:t>
      </w:r>
      <w:r>
        <w:rPr>
          <w:rFonts w:eastAsiaTheme="minorEastAsia"/>
          <w:color w:val="000000"/>
          <w:sz w:val="24"/>
        </w:rPr>
        <w:t xml:space="preserve"> </w:t>
      </w:r>
      <w:r>
        <w:rPr>
          <w:rFonts w:eastAsiaTheme="minorEastAsia"/>
          <w:bCs/>
          <w:iCs/>
          <w:color w:val="000000"/>
          <w:sz w:val="24"/>
        </w:rPr>
        <w:t>证券简称：</w:t>
      </w:r>
      <w:r>
        <w:rPr>
          <w:rFonts w:eastAsiaTheme="minorEastAsia"/>
          <w:color w:val="000000"/>
          <w:sz w:val="24"/>
        </w:rPr>
        <w:t>隧道股份</w:t>
      </w:r>
    </w:p>
    <w:p w14:paraId="15EAF5BD">
      <w:pPr>
        <w:snapToGrid w:val="0"/>
        <w:spacing w:before="156" w:beforeLines="50" w:after="156" w:afterLines="50" w:line="300" w:lineRule="auto"/>
        <w:jc w:val="center"/>
        <w:rPr>
          <w:rFonts w:hint="eastAsia" w:ascii="黑体" w:hAnsi="黑体" w:eastAsia="黑体"/>
          <w:b/>
          <w:bCs/>
          <w:iCs/>
          <w:color w:val="000000"/>
          <w:sz w:val="32"/>
          <w:szCs w:val="32"/>
        </w:rPr>
      </w:pPr>
      <w:r>
        <w:rPr>
          <w:rFonts w:ascii="黑体" w:hAnsi="黑体" w:eastAsia="黑体"/>
          <w:b/>
          <w:bCs/>
          <w:iCs/>
          <w:color w:val="000000"/>
          <w:sz w:val="32"/>
          <w:szCs w:val="32"/>
        </w:rPr>
        <w:t>上海隧道工程股份有限公司</w:t>
      </w:r>
    </w:p>
    <w:p w14:paraId="71E21033">
      <w:pPr>
        <w:snapToGrid w:val="0"/>
        <w:spacing w:line="300" w:lineRule="auto"/>
        <w:jc w:val="center"/>
        <w:rPr>
          <w:rFonts w:hint="eastAsia" w:ascii="黑体" w:hAnsi="黑体" w:eastAsia="黑体"/>
          <w:b/>
          <w:bCs/>
          <w:iCs/>
          <w:color w:val="000000"/>
          <w:sz w:val="32"/>
          <w:szCs w:val="32"/>
        </w:rPr>
      </w:pPr>
      <w:r>
        <w:rPr>
          <w:rFonts w:ascii="黑体" w:hAnsi="黑体" w:eastAsia="黑体"/>
          <w:b/>
          <w:bCs/>
          <w:iCs/>
          <w:color w:val="000000"/>
          <w:sz w:val="32"/>
          <w:szCs w:val="32"/>
        </w:rPr>
        <w:t>投资者关系活动记录表</w:t>
      </w:r>
    </w:p>
    <w:p w14:paraId="08946BBE">
      <w:pPr>
        <w:snapToGrid w:val="0"/>
        <w:spacing w:line="300" w:lineRule="auto"/>
        <w:jc w:val="right"/>
        <w:rPr>
          <w:rFonts w:eastAsiaTheme="minorEastAsia"/>
          <w:b/>
          <w:bCs/>
          <w:iCs/>
          <w:color w:val="000000"/>
          <w:sz w:val="24"/>
        </w:rPr>
      </w:pPr>
      <w:r>
        <w:rPr>
          <w:rFonts w:eastAsiaTheme="minorEastAsia"/>
          <w:b/>
          <w:bCs/>
          <w:iCs/>
          <w:color w:val="000000"/>
          <w:sz w:val="24"/>
        </w:rPr>
        <w:t>编号：202</w:t>
      </w:r>
      <w:r>
        <w:rPr>
          <w:rFonts w:hint="eastAsia" w:eastAsiaTheme="minorEastAsia"/>
          <w:b/>
          <w:bCs/>
          <w:iCs/>
          <w:color w:val="000000"/>
          <w:sz w:val="24"/>
        </w:rPr>
        <w:t>5</w:t>
      </w:r>
      <w:r>
        <w:rPr>
          <w:rFonts w:eastAsiaTheme="minorEastAsia"/>
          <w:b/>
          <w:bCs/>
          <w:iCs/>
          <w:color w:val="000000"/>
          <w:sz w:val="24"/>
        </w:rPr>
        <w:t>-00</w:t>
      </w:r>
      <w:r>
        <w:rPr>
          <w:rFonts w:hint="eastAsia" w:eastAsiaTheme="minorEastAsia"/>
          <w:b/>
          <w:bCs/>
          <w:iCs/>
          <w:color w:val="000000"/>
          <w:sz w:val="24"/>
        </w:rPr>
        <w:t>2</w:t>
      </w:r>
    </w:p>
    <w:tbl>
      <w:tblPr>
        <w:tblStyle w:val="7"/>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7739"/>
      </w:tblGrid>
      <w:tr w14:paraId="2F6C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08E233D4">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w:t>
            </w:r>
          </w:p>
          <w:p w14:paraId="3A187FB1">
            <w:pPr>
              <w:snapToGrid w:val="0"/>
              <w:spacing w:line="300" w:lineRule="auto"/>
              <w:jc w:val="center"/>
              <w:rPr>
                <w:rFonts w:eastAsiaTheme="minorEastAsia"/>
                <w:bCs/>
                <w:iCs/>
                <w:color w:val="000000"/>
                <w:kern w:val="0"/>
                <w:sz w:val="24"/>
              </w:rPr>
            </w:pPr>
            <w:r>
              <w:rPr>
                <w:rFonts w:eastAsiaTheme="minorEastAsia"/>
                <w:bCs/>
                <w:iCs/>
                <w:color w:val="000000"/>
                <w:kern w:val="0"/>
                <w:sz w:val="24"/>
              </w:rPr>
              <w:t>活动类别</w:t>
            </w:r>
          </w:p>
        </w:tc>
        <w:tc>
          <w:tcPr>
            <w:tcW w:w="7739" w:type="dxa"/>
            <w:tcBorders>
              <w:top w:val="single" w:color="auto" w:sz="4" w:space="0"/>
              <w:left w:val="single" w:color="auto" w:sz="4" w:space="0"/>
              <w:bottom w:val="single" w:color="auto" w:sz="4" w:space="0"/>
              <w:right w:val="single" w:color="auto" w:sz="4" w:space="0"/>
            </w:tcBorders>
          </w:tcPr>
          <w:p w14:paraId="58E76CCF">
            <w:pPr>
              <w:snapToGrid w:val="0"/>
              <w:spacing w:line="300" w:lineRule="auto"/>
              <w:jc w:val="left"/>
              <w:rPr>
                <w:rFonts w:eastAsiaTheme="minorEastAsia"/>
                <w:bCs/>
                <w:iCs/>
                <w:color w:val="000000"/>
                <w:sz w:val="24"/>
              </w:rPr>
            </w:pPr>
            <w:r>
              <w:rPr>
                <w:rFonts w:eastAsiaTheme="minorEastAsia"/>
                <w:bCs/>
                <w:iCs/>
                <w:color w:val="000000"/>
                <w:kern w:val="0"/>
                <w:sz w:val="24"/>
              </w:rPr>
              <w:t xml:space="preserve">√ </w:t>
            </w:r>
            <w:r>
              <w:rPr>
                <w:rFonts w:eastAsiaTheme="minorEastAsia"/>
                <w:kern w:val="0"/>
                <w:sz w:val="24"/>
              </w:rPr>
              <w:t xml:space="preserve">特定对象调研          </w:t>
            </w:r>
            <w:r>
              <w:rPr>
                <w:rFonts w:eastAsiaTheme="minorEastAsia"/>
                <w:bCs/>
                <w:iCs/>
                <w:color w:val="000000"/>
                <w:kern w:val="0"/>
                <w:sz w:val="24"/>
              </w:rPr>
              <w:t xml:space="preserve">□ </w:t>
            </w:r>
            <w:r>
              <w:rPr>
                <w:rFonts w:eastAsiaTheme="minorEastAsia"/>
                <w:kern w:val="0"/>
                <w:sz w:val="24"/>
              </w:rPr>
              <w:t>分析师会议</w:t>
            </w:r>
          </w:p>
          <w:p w14:paraId="4146344A">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 xml:space="preserve">媒体采访              </w:t>
            </w:r>
            <w:r>
              <w:rPr>
                <w:rFonts w:eastAsiaTheme="minorEastAsia"/>
                <w:bCs/>
                <w:iCs/>
                <w:color w:val="000000"/>
                <w:kern w:val="0"/>
                <w:sz w:val="24"/>
              </w:rPr>
              <w:t xml:space="preserve">□ </w:t>
            </w:r>
            <w:r>
              <w:rPr>
                <w:rFonts w:eastAsiaTheme="minorEastAsia"/>
                <w:kern w:val="0"/>
                <w:sz w:val="24"/>
              </w:rPr>
              <w:t>业绩说明会</w:t>
            </w:r>
          </w:p>
          <w:p w14:paraId="3D50D4B9">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 xml:space="preserve">新闻发布会            </w:t>
            </w:r>
            <w:r>
              <w:rPr>
                <w:rFonts w:eastAsiaTheme="minorEastAsia"/>
                <w:bCs/>
                <w:iCs/>
                <w:color w:val="000000"/>
                <w:kern w:val="0"/>
                <w:sz w:val="24"/>
              </w:rPr>
              <w:t xml:space="preserve">□ </w:t>
            </w:r>
            <w:r>
              <w:rPr>
                <w:rFonts w:eastAsiaTheme="minorEastAsia"/>
                <w:kern w:val="0"/>
                <w:sz w:val="24"/>
              </w:rPr>
              <w:t>路演活动</w:t>
            </w:r>
          </w:p>
          <w:p w14:paraId="7A5F2720">
            <w:pPr>
              <w:tabs>
                <w:tab w:val="left" w:pos="3045"/>
                <w:tab w:val="center" w:pos="3199"/>
              </w:tabs>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 xml:space="preserve">现场参观              </w:t>
            </w:r>
            <w:r>
              <w:rPr>
                <w:rFonts w:eastAsiaTheme="minorEastAsia"/>
                <w:bCs/>
                <w:iCs/>
                <w:color w:val="000000"/>
                <w:kern w:val="0"/>
                <w:sz w:val="24"/>
              </w:rPr>
              <w:t xml:space="preserve">□ </w:t>
            </w:r>
            <w:r>
              <w:rPr>
                <w:rFonts w:eastAsiaTheme="minorEastAsia"/>
                <w:kern w:val="0"/>
                <w:sz w:val="24"/>
              </w:rPr>
              <w:t>其他</w:t>
            </w:r>
          </w:p>
        </w:tc>
      </w:tr>
      <w:tr w14:paraId="45AB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5CC24222">
            <w:pPr>
              <w:snapToGrid w:val="0"/>
              <w:spacing w:line="300" w:lineRule="auto"/>
              <w:jc w:val="center"/>
              <w:rPr>
                <w:rFonts w:eastAsiaTheme="minorEastAsia"/>
                <w:bCs/>
                <w:iCs/>
                <w:color w:val="000000"/>
                <w:kern w:val="0"/>
                <w:sz w:val="24"/>
              </w:rPr>
            </w:pPr>
            <w:r>
              <w:rPr>
                <w:rFonts w:eastAsiaTheme="minorEastAsia"/>
                <w:bCs/>
                <w:iCs/>
                <w:color w:val="000000"/>
                <w:kern w:val="0"/>
                <w:sz w:val="24"/>
              </w:rPr>
              <w:t>参与单位名称</w:t>
            </w:r>
          </w:p>
          <w:p w14:paraId="008868BD">
            <w:pPr>
              <w:snapToGrid w:val="0"/>
              <w:spacing w:line="300" w:lineRule="auto"/>
              <w:jc w:val="center"/>
              <w:rPr>
                <w:rFonts w:eastAsiaTheme="minorEastAsia"/>
                <w:bCs/>
                <w:iCs/>
                <w:color w:val="000000"/>
                <w:kern w:val="0"/>
                <w:sz w:val="24"/>
              </w:rPr>
            </w:pPr>
            <w:r>
              <w:rPr>
                <w:rFonts w:eastAsiaTheme="minorEastAsia"/>
                <w:bCs/>
                <w:iCs/>
                <w:color w:val="000000"/>
                <w:kern w:val="0"/>
                <w:sz w:val="24"/>
              </w:rPr>
              <w:t>和人员姓名</w:t>
            </w:r>
          </w:p>
        </w:tc>
        <w:tc>
          <w:tcPr>
            <w:tcW w:w="7739" w:type="dxa"/>
            <w:tcBorders>
              <w:top w:val="single" w:color="auto" w:sz="4" w:space="0"/>
              <w:left w:val="single" w:color="auto" w:sz="4" w:space="0"/>
              <w:bottom w:val="single" w:color="auto" w:sz="4" w:space="0"/>
              <w:right w:val="single" w:color="auto" w:sz="4" w:space="0"/>
            </w:tcBorders>
            <w:vAlign w:val="center"/>
          </w:tcPr>
          <w:p w14:paraId="0C26C047">
            <w:pPr>
              <w:numPr>
                <w:ilvl w:val="0"/>
                <w:numId w:val="1"/>
              </w:numPr>
              <w:snapToGrid w:val="0"/>
              <w:spacing w:line="300" w:lineRule="auto"/>
              <w:rPr>
                <w:sz w:val="24"/>
              </w:rPr>
            </w:pPr>
            <w:r>
              <w:rPr>
                <w:rFonts w:hint="eastAsia"/>
                <w:sz w:val="24"/>
              </w:rPr>
              <w:t>华泰证券：黄颖；广发证券：乔钢；财通证券：杨景奥；东北计算机：万陈鹏；中信建设：曹恒宇；长江建筑：龚子逸；东方财富证券：陈怡洁。</w:t>
            </w:r>
          </w:p>
          <w:p w14:paraId="7279A507">
            <w:pPr>
              <w:numPr>
                <w:ilvl w:val="0"/>
                <w:numId w:val="1"/>
              </w:numPr>
              <w:snapToGrid w:val="0"/>
              <w:spacing w:line="300" w:lineRule="auto"/>
              <w:rPr>
                <w:sz w:val="24"/>
              </w:rPr>
            </w:pPr>
            <w:r>
              <w:rPr>
                <w:rFonts w:hint="eastAsia"/>
                <w:sz w:val="24"/>
              </w:rPr>
              <w:t>责任云：叶柳红；中证指数：安晓冉、姜丽；华宝基金：王咏青、丁科；国盛证券：池之恒、潘思宇；天天基金：朱浩天、陈熙雨；湖州绿金院：孙早霞、翟天仲；招商基金：吴桐；东方嘉富人寿：陈轩、吴言翔。</w:t>
            </w:r>
          </w:p>
        </w:tc>
      </w:tr>
      <w:tr w14:paraId="1BCE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50B6C315">
            <w:pPr>
              <w:snapToGrid w:val="0"/>
              <w:spacing w:line="300" w:lineRule="auto"/>
              <w:jc w:val="center"/>
              <w:rPr>
                <w:rFonts w:eastAsiaTheme="minorEastAsia"/>
                <w:bCs/>
                <w:iCs/>
                <w:color w:val="000000"/>
                <w:kern w:val="0"/>
                <w:sz w:val="24"/>
              </w:rPr>
            </w:pPr>
            <w:r>
              <w:rPr>
                <w:rFonts w:eastAsiaTheme="minorEastAsia"/>
                <w:bCs/>
                <w:iCs/>
                <w:color w:val="000000"/>
                <w:kern w:val="0"/>
                <w:sz w:val="24"/>
              </w:rPr>
              <w:t>时间</w:t>
            </w:r>
          </w:p>
        </w:tc>
        <w:tc>
          <w:tcPr>
            <w:tcW w:w="7739" w:type="dxa"/>
            <w:tcBorders>
              <w:top w:val="single" w:color="auto" w:sz="4" w:space="0"/>
              <w:left w:val="single" w:color="auto" w:sz="4" w:space="0"/>
              <w:bottom w:val="single" w:color="auto" w:sz="4" w:space="0"/>
              <w:right w:val="single" w:color="auto" w:sz="4" w:space="0"/>
            </w:tcBorders>
            <w:vAlign w:val="center"/>
          </w:tcPr>
          <w:p w14:paraId="02014AF6">
            <w:pPr>
              <w:snapToGrid w:val="0"/>
              <w:spacing w:line="300" w:lineRule="auto"/>
              <w:rPr>
                <w:rFonts w:eastAsiaTheme="minorEastAsia"/>
                <w:bCs/>
                <w:iCs/>
                <w:color w:val="000000"/>
                <w:sz w:val="24"/>
              </w:rPr>
            </w:pPr>
            <w:r>
              <w:rPr>
                <w:rFonts w:hint="eastAsia" w:eastAsiaTheme="minorEastAsia"/>
                <w:bCs/>
                <w:iCs/>
                <w:color w:val="000000"/>
                <w:sz w:val="24"/>
              </w:rPr>
              <w:t>1、</w:t>
            </w:r>
            <w:r>
              <w:rPr>
                <w:rFonts w:eastAsiaTheme="minorEastAsia"/>
                <w:bCs/>
                <w:iCs/>
                <w:color w:val="000000"/>
                <w:sz w:val="24"/>
              </w:rPr>
              <w:t>2025年</w:t>
            </w:r>
            <w:r>
              <w:rPr>
                <w:rFonts w:hint="eastAsia" w:eastAsiaTheme="minorEastAsia"/>
                <w:bCs/>
                <w:iCs/>
                <w:color w:val="000000"/>
                <w:sz w:val="24"/>
              </w:rPr>
              <w:t>7</w:t>
            </w:r>
            <w:r>
              <w:rPr>
                <w:rFonts w:eastAsiaTheme="minorEastAsia"/>
                <w:bCs/>
                <w:iCs/>
                <w:color w:val="000000"/>
                <w:sz w:val="24"/>
              </w:rPr>
              <w:t>月</w:t>
            </w:r>
            <w:r>
              <w:rPr>
                <w:rFonts w:hint="eastAsia" w:eastAsiaTheme="minorEastAsia"/>
                <w:bCs/>
                <w:iCs/>
                <w:color w:val="000000"/>
                <w:sz w:val="24"/>
              </w:rPr>
              <w:t>8</w:t>
            </w:r>
            <w:r>
              <w:rPr>
                <w:rFonts w:eastAsiaTheme="minorEastAsia"/>
                <w:bCs/>
                <w:iCs/>
                <w:color w:val="000000"/>
                <w:sz w:val="24"/>
              </w:rPr>
              <w:t>日</w:t>
            </w:r>
          </w:p>
          <w:p w14:paraId="0E66E0E3">
            <w:pPr>
              <w:snapToGrid w:val="0"/>
              <w:spacing w:line="300" w:lineRule="auto"/>
              <w:rPr>
                <w:rFonts w:eastAsiaTheme="minorEastAsia"/>
                <w:bCs/>
                <w:iCs/>
                <w:color w:val="000000"/>
                <w:sz w:val="24"/>
              </w:rPr>
            </w:pPr>
            <w:r>
              <w:rPr>
                <w:rFonts w:hint="eastAsia" w:eastAsiaTheme="minorEastAsia"/>
                <w:bCs/>
                <w:iCs/>
                <w:color w:val="000000"/>
                <w:sz w:val="24"/>
              </w:rPr>
              <w:t>2、</w:t>
            </w:r>
            <w:r>
              <w:rPr>
                <w:rFonts w:eastAsiaTheme="minorEastAsia"/>
                <w:bCs/>
                <w:iCs/>
                <w:color w:val="000000"/>
                <w:sz w:val="24"/>
              </w:rPr>
              <w:t>2025年</w:t>
            </w:r>
            <w:r>
              <w:rPr>
                <w:rFonts w:hint="eastAsia" w:eastAsiaTheme="minorEastAsia"/>
                <w:bCs/>
                <w:iCs/>
                <w:color w:val="000000"/>
                <w:sz w:val="24"/>
              </w:rPr>
              <w:t>7</w:t>
            </w:r>
            <w:r>
              <w:rPr>
                <w:rFonts w:eastAsiaTheme="minorEastAsia"/>
                <w:bCs/>
                <w:iCs/>
                <w:color w:val="000000"/>
                <w:sz w:val="24"/>
              </w:rPr>
              <w:t>月1</w:t>
            </w:r>
            <w:r>
              <w:rPr>
                <w:rFonts w:hint="eastAsia" w:eastAsiaTheme="minorEastAsia"/>
                <w:bCs/>
                <w:iCs/>
                <w:color w:val="000000"/>
                <w:sz w:val="24"/>
              </w:rPr>
              <w:t>8</w:t>
            </w:r>
            <w:r>
              <w:rPr>
                <w:rFonts w:eastAsiaTheme="minorEastAsia"/>
                <w:bCs/>
                <w:iCs/>
                <w:color w:val="000000"/>
                <w:sz w:val="24"/>
              </w:rPr>
              <w:t>日</w:t>
            </w:r>
          </w:p>
        </w:tc>
      </w:tr>
      <w:tr w14:paraId="26E8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4CAD07E5">
            <w:pPr>
              <w:snapToGrid w:val="0"/>
              <w:spacing w:line="300" w:lineRule="auto"/>
              <w:jc w:val="center"/>
              <w:rPr>
                <w:rFonts w:eastAsiaTheme="minorEastAsia"/>
                <w:bCs/>
                <w:iCs/>
                <w:color w:val="000000"/>
                <w:kern w:val="0"/>
                <w:sz w:val="24"/>
              </w:rPr>
            </w:pPr>
            <w:r>
              <w:rPr>
                <w:rFonts w:eastAsiaTheme="minorEastAsia"/>
                <w:bCs/>
                <w:iCs/>
                <w:color w:val="000000"/>
                <w:kern w:val="0"/>
                <w:sz w:val="24"/>
              </w:rPr>
              <w:t>地点</w:t>
            </w:r>
          </w:p>
        </w:tc>
        <w:tc>
          <w:tcPr>
            <w:tcW w:w="7739" w:type="dxa"/>
            <w:tcBorders>
              <w:top w:val="single" w:color="auto" w:sz="4" w:space="0"/>
              <w:left w:val="single" w:color="auto" w:sz="4" w:space="0"/>
              <w:bottom w:val="single" w:color="auto" w:sz="4" w:space="0"/>
              <w:right w:val="single" w:color="auto" w:sz="4" w:space="0"/>
            </w:tcBorders>
            <w:vAlign w:val="center"/>
          </w:tcPr>
          <w:p w14:paraId="2514B821">
            <w:pPr>
              <w:snapToGrid w:val="0"/>
              <w:spacing w:line="300" w:lineRule="auto"/>
              <w:rPr>
                <w:rFonts w:eastAsiaTheme="minorEastAsia"/>
                <w:bCs/>
                <w:iCs/>
                <w:color w:val="000000"/>
                <w:sz w:val="24"/>
              </w:rPr>
            </w:pPr>
            <w:r>
              <w:rPr>
                <w:rFonts w:eastAsiaTheme="minorEastAsia"/>
                <w:bCs/>
                <w:iCs/>
                <w:color w:val="000000"/>
                <w:sz w:val="24"/>
              </w:rPr>
              <w:t>上海市徐汇区宛平南路1099号</w:t>
            </w:r>
          </w:p>
        </w:tc>
      </w:tr>
      <w:tr w14:paraId="5150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13D5ABCC">
            <w:pPr>
              <w:snapToGrid w:val="0"/>
              <w:spacing w:line="300" w:lineRule="auto"/>
              <w:jc w:val="center"/>
              <w:rPr>
                <w:rFonts w:eastAsiaTheme="minorEastAsia"/>
                <w:bCs/>
                <w:iCs/>
                <w:color w:val="000000"/>
                <w:kern w:val="0"/>
                <w:sz w:val="24"/>
              </w:rPr>
            </w:pPr>
            <w:r>
              <w:rPr>
                <w:rFonts w:eastAsiaTheme="minorEastAsia"/>
                <w:bCs/>
                <w:iCs/>
                <w:color w:val="000000"/>
                <w:kern w:val="0"/>
                <w:sz w:val="24"/>
              </w:rPr>
              <w:t>公司接待</w:t>
            </w:r>
          </w:p>
          <w:p w14:paraId="072C6A6F">
            <w:pPr>
              <w:snapToGrid w:val="0"/>
              <w:spacing w:line="300" w:lineRule="auto"/>
              <w:jc w:val="center"/>
              <w:rPr>
                <w:rFonts w:eastAsiaTheme="minorEastAsia"/>
                <w:bCs/>
                <w:iCs/>
                <w:color w:val="000000"/>
                <w:kern w:val="0"/>
                <w:sz w:val="24"/>
              </w:rPr>
            </w:pPr>
            <w:r>
              <w:rPr>
                <w:rFonts w:eastAsiaTheme="minorEastAsia"/>
                <w:bCs/>
                <w:iCs/>
                <w:color w:val="000000"/>
                <w:kern w:val="0"/>
                <w:sz w:val="24"/>
              </w:rPr>
              <w:t>人员姓名</w:t>
            </w:r>
          </w:p>
        </w:tc>
        <w:tc>
          <w:tcPr>
            <w:tcW w:w="7739" w:type="dxa"/>
            <w:tcBorders>
              <w:top w:val="single" w:color="auto" w:sz="4" w:space="0"/>
              <w:left w:val="single" w:color="auto" w:sz="4" w:space="0"/>
              <w:bottom w:val="single" w:color="auto" w:sz="4" w:space="0"/>
              <w:right w:val="single" w:color="auto" w:sz="4" w:space="0"/>
            </w:tcBorders>
            <w:vAlign w:val="center"/>
          </w:tcPr>
          <w:p w14:paraId="7C83285C">
            <w:pPr>
              <w:snapToGrid w:val="0"/>
              <w:spacing w:line="300" w:lineRule="auto"/>
              <w:rPr>
                <w:rFonts w:eastAsiaTheme="minorEastAsia"/>
                <w:bCs/>
                <w:sz w:val="24"/>
              </w:rPr>
            </w:pPr>
            <w:r>
              <w:rPr>
                <w:rFonts w:eastAsiaTheme="minorEastAsia"/>
                <w:bCs/>
                <w:sz w:val="24"/>
              </w:rPr>
              <w:t>董事会秘书：张连凯；</w:t>
            </w:r>
          </w:p>
          <w:p w14:paraId="54A53CE8">
            <w:pPr>
              <w:snapToGrid w:val="0"/>
              <w:spacing w:line="300" w:lineRule="auto"/>
              <w:rPr>
                <w:rFonts w:eastAsiaTheme="minorEastAsia"/>
                <w:bCs/>
                <w:sz w:val="24"/>
              </w:rPr>
            </w:pPr>
            <w:r>
              <w:rPr>
                <w:rFonts w:hint="eastAsia" w:eastAsiaTheme="minorEastAsia"/>
                <w:bCs/>
                <w:sz w:val="24"/>
              </w:rPr>
              <w:t>隧道股份中央研究院副院长、城建设计集团科创促进中心主任：王卓瑛；</w:t>
            </w:r>
          </w:p>
          <w:p w14:paraId="6DFA1663">
            <w:pPr>
              <w:snapToGrid w:val="0"/>
              <w:spacing w:line="300" w:lineRule="auto"/>
              <w:rPr>
                <w:rFonts w:eastAsiaTheme="minorEastAsia"/>
                <w:bCs/>
                <w:sz w:val="24"/>
              </w:rPr>
            </w:pPr>
            <w:r>
              <w:rPr>
                <w:rFonts w:hint="eastAsia" w:eastAsiaTheme="minorEastAsia"/>
                <w:bCs/>
                <w:sz w:val="24"/>
              </w:rPr>
              <w:t>中央研究院副院长、上海隧道副总工：吴惠明；</w:t>
            </w:r>
          </w:p>
          <w:p w14:paraId="08513E1D">
            <w:pPr>
              <w:snapToGrid w:val="0"/>
              <w:spacing w:line="300" w:lineRule="auto"/>
              <w:rPr>
                <w:rFonts w:eastAsiaTheme="minorEastAsia"/>
                <w:bCs/>
                <w:sz w:val="24"/>
              </w:rPr>
            </w:pPr>
            <w:r>
              <w:rPr>
                <w:rFonts w:hint="eastAsia" w:eastAsiaTheme="minorEastAsia"/>
                <w:bCs/>
                <w:sz w:val="24"/>
              </w:rPr>
              <w:t>上海路桥总工：蒋海里；</w:t>
            </w:r>
          </w:p>
          <w:p w14:paraId="16065ACC">
            <w:pPr>
              <w:snapToGrid w:val="0"/>
              <w:spacing w:line="300" w:lineRule="auto"/>
              <w:rPr>
                <w:rFonts w:eastAsiaTheme="minorEastAsia"/>
                <w:bCs/>
                <w:sz w:val="24"/>
              </w:rPr>
            </w:pPr>
            <w:r>
              <w:rPr>
                <w:rFonts w:hint="eastAsia" w:eastAsiaTheme="minorEastAsia"/>
                <w:bCs/>
                <w:sz w:val="24"/>
              </w:rPr>
              <w:t>数字集团党委副书记、纪委书记：黄晖皓；</w:t>
            </w:r>
          </w:p>
          <w:p w14:paraId="0B2E9E54">
            <w:pPr>
              <w:snapToGrid w:val="0"/>
              <w:spacing w:line="300" w:lineRule="auto"/>
              <w:rPr>
                <w:rFonts w:eastAsiaTheme="minorEastAsia"/>
                <w:bCs/>
                <w:sz w:val="24"/>
              </w:rPr>
            </w:pPr>
            <w:r>
              <w:rPr>
                <w:rFonts w:hint="eastAsia" w:eastAsiaTheme="minorEastAsia"/>
                <w:bCs/>
                <w:sz w:val="24"/>
              </w:rPr>
              <w:t>城市运营首席数字官：戴彬；</w:t>
            </w:r>
          </w:p>
          <w:p w14:paraId="4DFBD613">
            <w:pPr>
              <w:snapToGrid w:val="0"/>
              <w:spacing w:line="300" w:lineRule="auto"/>
              <w:rPr>
                <w:rFonts w:eastAsiaTheme="minorEastAsia"/>
                <w:bCs/>
                <w:sz w:val="24"/>
              </w:rPr>
            </w:pPr>
            <w:r>
              <w:rPr>
                <w:rFonts w:hint="eastAsia" w:eastAsiaTheme="minorEastAsia"/>
                <w:bCs/>
                <w:sz w:val="24"/>
              </w:rPr>
              <w:t>隧道股份证券事务代表：单瑛琨；</w:t>
            </w:r>
          </w:p>
          <w:p w14:paraId="6047C502">
            <w:pPr>
              <w:snapToGrid w:val="0"/>
              <w:spacing w:line="300" w:lineRule="auto"/>
              <w:rPr>
                <w:rFonts w:eastAsiaTheme="minorEastAsia"/>
                <w:bCs/>
                <w:sz w:val="24"/>
                <w:highlight w:val="yellow"/>
              </w:rPr>
            </w:pPr>
            <w:r>
              <w:rPr>
                <w:rFonts w:hint="eastAsia" w:eastAsiaTheme="minorEastAsia"/>
                <w:bCs/>
                <w:sz w:val="24"/>
              </w:rPr>
              <w:t>上海能建上能院“双碳”咨询研究院院长：陆菀珺。</w:t>
            </w:r>
          </w:p>
        </w:tc>
      </w:tr>
      <w:tr w14:paraId="1CC0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6" w:type="dxa"/>
            <w:tcBorders>
              <w:top w:val="single" w:color="auto" w:sz="4" w:space="0"/>
              <w:left w:val="single" w:color="auto" w:sz="4" w:space="0"/>
              <w:bottom w:val="single" w:color="auto" w:sz="4" w:space="0"/>
              <w:right w:val="single" w:color="auto" w:sz="4" w:space="0"/>
            </w:tcBorders>
            <w:vAlign w:val="center"/>
          </w:tcPr>
          <w:p w14:paraId="1982D259">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投资者关系活动主要内容介绍</w:t>
            </w:r>
          </w:p>
          <w:p w14:paraId="4ACC65F1">
            <w:pPr>
              <w:snapToGrid w:val="0"/>
              <w:spacing w:line="300" w:lineRule="auto"/>
              <w:rPr>
                <w:rFonts w:eastAsiaTheme="minorEastAsia"/>
                <w:bCs/>
                <w:iCs/>
                <w:color w:val="000000"/>
                <w:sz w:val="24"/>
              </w:rPr>
            </w:pPr>
          </w:p>
        </w:tc>
        <w:tc>
          <w:tcPr>
            <w:tcW w:w="7739" w:type="dxa"/>
            <w:tcBorders>
              <w:top w:val="single" w:color="auto" w:sz="4" w:space="0"/>
              <w:left w:val="single" w:color="auto" w:sz="4" w:space="0"/>
              <w:bottom w:val="single" w:color="auto" w:sz="4" w:space="0"/>
              <w:right w:val="single" w:color="auto" w:sz="4" w:space="0"/>
            </w:tcBorders>
            <w:vAlign w:val="center"/>
          </w:tcPr>
          <w:p w14:paraId="097EDA11">
            <w:pPr>
              <w:snapToGrid w:val="0"/>
              <w:spacing w:line="300" w:lineRule="auto"/>
              <w:ind w:firstLine="480" w:firstLineChars="200"/>
              <w:rPr>
                <w:rFonts w:eastAsiaTheme="minorEastAsia"/>
                <w:sz w:val="24"/>
              </w:rPr>
            </w:pPr>
            <w:r>
              <w:rPr>
                <w:rFonts w:eastAsiaTheme="minorEastAsia"/>
                <w:sz w:val="24"/>
              </w:rPr>
              <w:t>近期，部分机构前来公司进行调研，公司董事会秘书张连凯先生等接待了来访，相关沟通内容如下（相似提问及密切相关提问适当归类合并）。</w:t>
            </w:r>
          </w:p>
          <w:p w14:paraId="40C9BFDC">
            <w:pPr>
              <w:snapToGrid w:val="0"/>
              <w:spacing w:line="300" w:lineRule="auto"/>
              <w:ind w:firstLine="480" w:firstLineChars="200"/>
              <w:rPr>
                <w:rFonts w:eastAsiaTheme="minorEastAsia"/>
                <w:sz w:val="24"/>
              </w:rPr>
            </w:pPr>
            <w:r>
              <w:rPr>
                <w:rFonts w:hint="eastAsia" w:eastAsiaTheme="minorEastAsia"/>
                <w:sz w:val="24"/>
              </w:rPr>
              <w:t>1、公司旗下运营集团区域及外地新兴业务的拓展策略：</w:t>
            </w:r>
          </w:p>
          <w:p w14:paraId="41DD6DC0">
            <w:pPr>
              <w:snapToGrid w:val="0"/>
              <w:spacing w:line="300" w:lineRule="auto"/>
              <w:ind w:firstLine="480" w:firstLineChars="200"/>
              <w:rPr>
                <w:rFonts w:eastAsiaTheme="minorEastAsia"/>
                <w:sz w:val="24"/>
              </w:rPr>
            </w:pPr>
            <w:r>
              <w:rPr>
                <w:rFonts w:hint="eastAsia" w:eastAsiaTheme="minorEastAsia"/>
                <w:sz w:val="24"/>
              </w:rPr>
              <w:t>上海区域聚焦区属道路渗透，以技术优势突破现有管理格局；外地以“小切口切入+合资公司+集团资源协同”模式，依托一体化服务与智能运维能力建立竞争壁垒，逐步通过试点项目积累信任。</w:t>
            </w:r>
          </w:p>
          <w:p w14:paraId="09569055">
            <w:pPr>
              <w:snapToGrid w:val="0"/>
              <w:spacing w:line="300" w:lineRule="auto"/>
              <w:ind w:firstLine="480" w:firstLineChars="200"/>
              <w:rPr>
                <w:rFonts w:eastAsiaTheme="minorEastAsia"/>
                <w:sz w:val="24"/>
              </w:rPr>
            </w:pPr>
          </w:p>
          <w:p w14:paraId="1EDBA479">
            <w:pPr>
              <w:snapToGrid w:val="0"/>
              <w:spacing w:line="300" w:lineRule="auto"/>
              <w:ind w:firstLine="480" w:firstLineChars="200"/>
              <w:rPr>
                <w:rFonts w:eastAsiaTheme="minorEastAsia"/>
                <w:sz w:val="24"/>
              </w:rPr>
            </w:pPr>
            <w:r>
              <w:rPr>
                <w:rFonts w:hint="eastAsia" w:eastAsiaTheme="minorEastAsia"/>
                <w:sz w:val="24"/>
              </w:rPr>
              <w:t>2、公司旗下运营集团新技术应用的当前目标及长期价值：</w:t>
            </w:r>
          </w:p>
          <w:p w14:paraId="5ED7C7B7">
            <w:pPr>
              <w:snapToGrid w:val="0"/>
              <w:spacing w:line="300" w:lineRule="auto"/>
              <w:ind w:firstLine="480" w:firstLineChars="200"/>
              <w:rPr>
                <w:rFonts w:eastAsiaTheme="minorEastAsia"/>
                <w:sz w:val="24"/>
              </w:rPr>
            </w:pPr>
            <w:r>
              <w:rPr>
                <w:rFonts w:hint="eastAsia" w:eastAsiaTheme="minorEastAsia"/>
                <w:sz w:val="24"/>
              </w:rPr>
              <w:t>现阶段以效率提升为核心，通过智能巡检设备、数据平台等扩大覆盖范围；长期依托技术规模化实现成本优化，推动运维模式从传统向数字化转型。</w:t>
            </w:r>
          </w:p>
          <w:p w14:paraId="7E8D646F">
            <w:pPr>
              <w:snapToGrid w:val="0"/>
              <w:spacing w:line="300" w:lineRule="auto"/>
              <w:ind w:firstLine="480" w:firstLineChars="200"/>
              <w:rPr>
                <w:rFonts w:eastAsiaTheme="minorEastAsia"/>
                <w:sz w:val="24"/>
              </w:rPr>
            </w:pPr>
          </w:p>
          <w:p w14:paraId="1240C4DE">
            <w:pPr>
              <w:snapToGrid w:val="0"/>
              <w:spacing w:line="300" w:lineRule="auto"/>
              <w:ind w:firstLine="480" w:firstLineChars="200"/>
              <w:rPr>
                <w:rFonts w:eastAsiaTheme="minorEastAsia"/>
                <w:sz w:val="24"/>
              </w:rPr>
            </w:pPr>
            <w:r>
              <w:rPr>
                <w:rFonts w:hint="eastAsia" w:eastAsiaTheme="minorEastAsia"/>
                <w:sz w:val="24"/>
              </w:rPr>
              <w:t>3、公司数据要素资产情况：</w:t>
            </w:r>
          </w:p>
          <w:p w14:paraId="2E59C5DA">
            <w:pPr>
              <w:snapToGrid w:val="0"/>
              <w:spacing w:line="300" w:lineRule="auto"/>
              <w:ind w:firstLine="480" w:firstLineChars="200"/>
              <w:rPr>
                <w:rFonts w:eastAsiaTheme="minorEastAsia"/>
                <w:sz w:val="24"/>
              </w:rPr>
            </w:pPr>
            <w:r>
              <w:rPr>
                <w:rFonts w:hint="eastAsia" w:eastAsiaTheme="minorEastAsia"/>
                <w:sz w:val="24"/>
              </w:rPr>
              <w:t>隧道股份2023年成为国内首批在数交所挂牌数据要素资产的基建企业，目前公司在数交所已挂牌多个数字产品，包括运营集团挂牌的低速作业车时空、路面典型缺陷图库、道路健康状况数据库；数字集团挂牌的市政工程构建级多维信息数据资料集、设施健康监测月度数据分析服务；城建设计集团挂牌的排水管道典型缺陷图库等。</w:t>
            </w:r>
          </w:p>
          <w:p w14:paraId="4139188F">
            <w:pPr>
              <w:snapToGrid w:val="0"/>
              <w:spacing w:line="300" w:lineRule="auto"/>
              <w:ind w:firstLine="480" w:firstLineChars="200"/>
              <w:rPr>
                <w:rFonts w:eastAsiaTheme="minorEastAsia"/>
                <w:sz w:val="24"/>
              </w:rPr>
            </w:pPr>
            <w:r>
              <w:rPr>
                <w:rFonts w:hint="eastAsia" w:eastAsiaTheme="minorEastAsia"/>
                <w:sz w:val="24"/>
              </w:rPr>
              <w:t>落地场景包括智能交通信号优化、公众出行路径规划、市政工程运营建设、地下管网治理等。未来，公司将聚焦管理端、服务端、公众端多维度场景，以合规化与脱敏处理为基础，探索数据资产商业化新路径，致力于成为城市数字经济的关键参与者与价值创造者，为行业数据资产运营树立标杆范式。</w:t>
            </w:r>
          </w:p>
          <w:p w14:paraId="56AFE2D6">
            <w:pPr>
              <w:snapToGrid w:val="0"/>
              <w:spacing w:line="300" w:lineRule="auto"/>
              <w:ind w:firstLine="480" w:firstLineChars="200"/>
              <w:rPr>
                <w:rFonts w:eastAsiaTheme="minorEastAsia"/>
                <w:sz w:val="24"/>
              </w:rPr>
            </w:pPr>
          </w:p>
          <w:p w14:paraId="5CA41412">
            <w:pPr>
              <w:snapToGrid w:val="0"/>
              <w:spacing w:line="300" w:lineRule="auto"/>
              <w:ind w:firstLine="480" w:firstLineChars="200"/>
              <w:rPr>
                <w:rFonts w:eastAsiaTheme="minorEastAsia"/>
                <w:sz w:val="24"/>
              </w:rPr>
            </w:pPr>
            <w:r>
              <w:rPr>
                <w:rFonts w:hint="eastAsia" w:eastAsiaTheme="minorEastAsia"/>
                <w:sz w:val="24"/>
              </w:rPr>
              <w:t>4、公司专利转化情况：</w:t>
            </w:r>
          </w:p>
          <w:p w14:paraId="2FD9F330">
            <w:pPr>
              <w:snapToGrid w:val="0"/>
              <w:spacing w:line="300" w:lineRule="auto"/>
              <w:ind w:firstLine="480" w:firstLineChars="200"/>
              <w:rPr>
                <w:rFonts w:eastAsiaTheme="minorEastAsia"/>
                <w:sz w:val="24"/>
              </w:rPr>
            </w:pPr>
            <w:r>
              <w:rPr>
                <w:rFonts w:hint="eastAsia" w:eastAsiaTheme="minorEastAsia"/>
                <w:sz w:val="24"/>
              </w:rPr>
              <w:t>公司通过科技型公司载体实现技术价值的深度释放。以应用场景为锚点，将高价值专利集群注入市场化运营主体，推动技术成果从实验室走向产业化落地。通过联合专业机构开展专利价值评估与筛选，当前专利资产估值已达数亿级规模。未来，公司将持续深化“技术+资本”双轮驱动，以专利转化为纽带，构建开放共享的创新生态，助力产业向高端化、智能化升级。</w:t>
            </w:r>
          </w:p>
          <w:p w14:paraId="3E210B06">
            <w:pPr>
              <w:snapToGrid w:val="0"/>
              <w:spacing w:line="300" w:lineRule="auto"/>
              <w:ind w:firstLine="480" w:firstLineChars="200"/>
              <w:rPr>
                <w:rFonts w:eastAsiaTheme="minorEastAsia"/>
                <w:sz w:val="24"/>
              </w:rPr>
            </w:pPr>
          </w:p>
          <w:p w14:paraId="7729B9EC">
            <w:pPr>
              <w:snapToGrid w:val="0"/>
              <w:spacing w:line="300" w:lineRule="auto"/>
              <w:ind w:firstLine="480" w:firstLineChars="200"/>
              <w:rPr>
                <w:rFonts w:eastAsiaTheme="minorEastAsia"/>
                <w:sz w:val="24"/>
              </w:rPr>
            </w:pPr>
            <w:r>
              <w:rPr>
                <w:rFonts w:hint="eastAsia" w:eastAsiaTheme="minorEastAsia"/>
                <w:sz w:val="24"/>
              </w:rPr>
              <w:t>5、公司旗下数字集团新兴业务发展情况：</w:t>
            </w:r>
          </w:p>
          <w:p w14:paraId="69E28B5F">
            <w:pPr>
              <w:snapToGrid w:val="0"/>
              <w:spacing w:line="300" w:lineRule="auto"/>
              <w:ind w:firstLine="480" w:firstLineChars="200"/>
              <w:rPr>
                <w:rFonts w:eastAsiaTheme="minorEastAsia"/>
                <w:sz w:val="24"/>
              </w:rPr>
            </w:pPr>
            <w:r>
              <w:rPr>
                <w:rFonts w:hint="eastAsia" w:eastAsiaTheme="minorEastAsia"/>
                <w:sz w:val="24"/>
              </w:rPr>
              <w:t>数字集团以智能交通、城建信息两大专业子公司为核心布局新兴业务，聚焦数字化转型需求，构建“咨询+技术+数据”一体化服务能力。通过数字化咨询规划业务路径，软硬件开发与系统集成提供技术落地支撑，数据服务深挖交通、城建领域数据价值，形成覆盖数字基建全生命周期的新兴业务生态，致力于成为城市数字化转型的技术赋能者与生态构建者。</w:t>
            </w:r>
          </w:p>
          <w:p w14:paraId="3F69A4A9">
            <w:pPr>
              <w:snapToGrid w:val="0"/>
              <w:spacing w:line="300" w:lineRule="auto"/>
              <w:ind w:firstLine="480" w:firstLineChars="200"/>
              <w:rPr>
                <w:rFonts w:eastAsiaTheme="minorEastAsia"/>
                <w:sz w:val="24"/>
              </w:rPr>
            </w:pPr>
          </w:p>
          <w:p w14:paraId="1C56A1FB">
            <w:pPr>
              <w:snapToGrid w:val="0"/>
              <w:spacing w:line="300" w:lineRule="auto"/>
              <w:ind w:firstLine="480" w:firstLineChars="200"/>
              <w:rPr>
                <w:rFonts w:eastAsiaTheme="minorEastAsia"/>
                <w:sz w:val="24"/>
              </w:rPr>
            </w:pPr>
            <w:r>
              <w:rPr>
                <w:rFonts w:hint="eastAsia" w:eastAsiaTheme="minorEastAsia"/>
                <w:sz w:val="24"/>
              </w:rPr>
              <w:t>6、公司五大科创中心具体职能：</w:t>
            </w:r>
          </w:p>
          <w:p w14:paraId="65DF1FF9">
            <w:pPr>
              <w:snapToGrid w:val="0"/>
              <w:spacing w:line="300" w:lineRule="auto"/>
              <w:ind w:firstLine="480" w:firstLineChars="200"/>
              <w:rPr>
                <w:rFonts w:eastAsiaTheme="minorEastAsia"/>
                <w:sz w:val="24"/>
              </w:rPr>
            </w:pPr>
            <w:r>
              <w:rPr>
                <w:rFonts w:eastAsiaTheme="minorEastAsia"/>
                <w:sz w:val="24"/>
              </w:rPr>
              <w:t>隧道股份坚持科技创新驱动发展，深化科技创新与产业创新融合。不断完善科创体系机制建设，科创委员会与五大科创中心协同发力，形成了“数智盾构、智慧运营、智慧巡检、智慧停车、流态土、冷能发电、智能监测、数字李生、无人驾驶、智慧巴士、预制构件钢筋自动化产线”等一批具有核心竞争力的创新成果。</w:t>
            </w:r>
          </w:p>
          <w:p w14:paraId="6EFFE764">
            <w:pPr>
              <w:snapToGrid w:val="0"/>
              <w:spacing w:line="300" w:lineRule="auto"/>
              <w:ind w:firstLine="480" w:firstLineChars="200"/>
              <w:rPr>
                <w:rFonts w:eastAsiaTheme="minorEastAsia"/>
                <w:sz w:val="24"/>
              </w:rPr>
            </w:pPr>
            <w:r>
              <w:rPr>
                <w:rFonts w:eastAsiaTheme="minorEastAsia"/>
                <w:sz w:val="24"/>
              </w:rPr>
              <w:t>全面推进新技术、新产品、新场景大规模应用示范行动，充分发挥隧道股份产业链场景优势。隧道股份产业链涵盖了从基础设施建设到智慧运维、从传统施工到智能建造等诸多板块，为新兴产业从技术验证模式创新到市场拓展提供了多元的应用场景和广阔的实践空间。自主研制适配城市基础设施需求的工业机器人、人形机器人等智能装备，打造隧道股份人工智能集成系统，为城市基础设施提供更安全、更可靠、更具韧性的解决方案，初步培育形成韧性城市建设新兴产业集群。</w:t>
            </w:r>
          </w:p>
          <w:p w14:paraId="5782E1F5">
            <w:pPr>
              <w:snapToGrid w:val="0"/>
              <w:spacing w:line="300" w:lineRule="auto"/>
              <w:ind w:firstLine="480" w:firstLineChars="200"/>
              <w:rPr>
                <w:rFonts w:eastAsiaTheme="minorEastAsia"/>
                <w:sz w:val="24"/>
              </w:rPr>
            </w:pPr>
          </w:p>
          <w:p w14:paraId="65848C5F">
            <w:pPr>
              <w:snapToGrid w:val="0"/>
              <w:spacing w:line="300" w:lineRule="auto"/>
              <w:ind w:firstLine="480" w:firstLineChars="200"/>
              <w:rPr>
                <w:rFonts w:eastAsiaTheme="minorEastAsia"/>
                <w:sz w:val="24"/>
              </w:rPr>
            </w:pPr>
            <w:r>
              <w:rPr>
                <w:rFonts w:hint="eastAsia" w:eastAsiaTheme="minorEastAsia"/>
                <w:sz w:val="24"/>
              </w:rPr>
              <w:t>7、公司ESG治理</w:t>
            </w:r>
            <w:r>
              <w:rPr>
                <w:rFonts w:hint="eastAsia" w:eastAsiaTheme="minorEastAsia"/>
                <w:sz w:val="24"/>
                <w:lang w:val="en-US" w:eastAsia="zh-CN"/>
              </w:rPr>
              <w:t>架构</w:t>
            </w:r>
            <w:r>
              <w:rPr>
                <w:rFonts w:hint="eastAsia" w:eastAsiaTheme="minorEastAsia"/>
                <w:sz w:val="24"/>
              </w:rPr>
              <w:t>：</w:t>
            </w:r>
          </w:p>
          <w:p w14:paraId="108FA88F">
            <w:pPr>
              <w:snapToGrid w:val="0"/>
              <w:spacing w:line="300" w:lineRule="auto"/>
              <w:ind w:firstLine="480" w:firstLineChars="200"/>
              <w:rPr>
                <w:rFonts w:eastAsiaTheme="minorEastAsia"/>
                <w:sz w:val="24"/>
              </w:rPr>
            </w:pPr>
            <w:r>
              <w:rPr>
                <w:rFonts w:hint="eastAsia" w:eastAsiaTheme="minorEastAsia"/>
                <w:sz w:val="24"/>
              </w:rPr>
              <w:t>隧道股份ESG治理架构分为四个层级：决策机构为董事会，负责审议批准公司ESG管理制度及ESG报告；监督</w:t>
            </w:r>
            <w:r>
              <w:rPr>
                <w:rFonts w:hint="eastAsia" w:eastAsiaTheme="minorEastAsia"/>
                <w:sz w:val="24"/>
                <w:lang w:val="en-US" w:eastAsia="zh-CN"/>
              </w:rPr>
              <w:t>职责</w:t>
            </w:r>
            <w:r>
              <w:rPr>
                <w:rFonts w:hint="eastAsia" w:eastAsiaTheme="minorEastAsia"/>
                <w:sz w:val="24"/>
              </w:rPr>
              <w:t>由董事会战略与ESG委员会承担，负责研究ESG实质性议题、指导ESG体系建设及报告编制、审议ESG报告并提交董事会审定；管理层监督由ESG工作领导小组负责，统筹落实上级单位及董事会相关政策要求，协调内外部ESG工作并指导日常开展；实施与落实层面由ESG工作小组及各分子公司执行，负责征集确定ESG愿景及核心理念、落实工作任务、开展信息采集与报告编制披露，并定期向领导小组汇报。</w:t>
            </w:r>
            <w:bookmarkStart w:id="0" w:name="_GoBack"/>
            <w:bookmarkEnd w:id="0"/>
          </w:p>
          <w:p w14:paraId="643D51B1">
            <w:pPr>
              <w:snapToGrid w:val="0"/>
              <w:spacing w:line="300" w:lineRule="auto"/>
              <w:ind w:firstLine="480" w:firstLineChars="200"/>
              <w:rPr>
                <w:rFonts w:eastAsiaTheme="minorEastAsia"/>
                <w:sz w:val="24"/>
              </w:rPr>
            </w:pPr>
          </w:p>
          <w:p w14:paraId="2BC92B97">
            <w:pPr>
              <w:snapToGrid w:val="0"/>
              <w:spacing w:line="300" w:lineRule="auto"/>
              <w:ind w:firstLine="480" w:firstLineChars="200"/>
              <w:rPr>
                <w:rFonts w:eastAsiaTheme="minorEastAsia"/>
                <w:sz w:val="24"/>
              </w:rPr>
            </w:pPr>
            <w:r>
              <w:rPr>
                <w:rFonts w:hint="eastAsia" w:eastAsiaTheme="minorEastAsia"/>
                <w:sz w:val="24"/>
              </w:rPr>
              <w:t>8、公司双碳战略实施情况：</w:t>
            </w:r>
          </w:p>
          <w:p w14:paraId="6198E3C7">
            <w:pPr>
              <w:snapToGrid w:val="0"/>
              <w:spacing w:line="300" w:lineRule="auto"/>
              <w:ind w:firstLine="480" w:firstLineChars="200"/>
              <w:rPr>
                <w:rFonts w:hint="eastAsia" w:eastAsiaTheme="minorEastAsia"/>
                <w:sz w:val="24"/>
              </w:rPr>
            </w:pPr>
            <w:r>
              <w:rPr>
                <w:rFonts w:hint="eastAsia" w:eastAsiaTheme="minorEastAsia"/>
                <w:sz w:val="24"/>
              </w:rPr>
              <w:t>隧道股份立足基础设施建设与城市运营核心优势，以“全产业链协同、全周期管理”为导向，系统性擘画低碳转型路径，通过分阶段、递进式实施，构建从标准体系到技术创新、从工程实践到产业升级的绿色发展新格在应对气候变化、实现“双碳”目标的征程上迈出坚实步伐。</w:t>
            </w:r>
            <w:r>
              <w:rPr>
                <w:rFonts w:hint="eastAsia" w:eastAsiaTheme="minorEastAsia"/>
                <w:sz w:val="24"/>
                <w:lang w:val="en-US" w:eastAsia="zh-CN"/>
              </w:rPr>
              <w:t>公司</w:t>
            </w:r>
            <w:r>
              <w:rPr>
                <w:rFonts w:hint="eastAsia" w:eastAsiaTheme="minorEastAsia"/>
                <w:sz w:val="24"/>
              </w:rPr>
              <w:t>聚焦清洁能源与生态环保两大绿色产业，持续加大绿色低碳技术研发投入，推动绿色技术成果转化落地</w:t>
            </w:r>
            <w:r>
              <w:rPr>
                <w:rFonts w:hint="eastAsia" w:eastAsiaTheme="minorEastAsia"/>
                <w:sz w:val="24"/>
                <w:lang w:eastAsia="zh-CN"/>
              </w:rPr>
              <w:t>；</w:t>
            </w:r>
            <w:r>
              <w:rPr>
                <w:rFonts w:hint="eastAsia" w:eastAsiaTheme="minorEastAsia"/>
                <w:sz w:val="24"/>
              </w:rPr>
              <w:t>在生产运营全环节植入绿色基因，通过节能诊断、数智化能碳管控等举措实现生产运营的节能减排目标</w:t>
            </w:r>
            <w:r>
              <w:rPr>
                <w:rFonts w:hint="eastAsia" w:eastAsiaTheme="minorEastAsia"/>
                <w:sz w:val="24"/>
                <w:lang w:eastAsia="zh-CN"/>
              </w:rPr>
              <w:t>；</w:t>
            </w:r>
            <w:r>
              <w:rPr>
                <w:rFonts w:hint="eastAsia" w:eastAsiaTheme="minorEastAsia"/>
                <w:sz w:val="24"/>
                <w:lang w:val="en-US" w:eastAsia="zh-CN"/>
              </w:rPr>
              <w:t>同时</w:t>
            </w:r>
            <w:r>
              <w:rPr>
                <w:rFonts w:hint="eastAsia" w:eastAsiaTheme="minorEastAsia"/>
                <w:sz w:val="24"/>
              </w:rPr>
              <w:t>积极探索清洁能源合同能源管理应用场景，打造城市更新、交能融合、零碳园区三大场景下的标杆示范项目，以创新实践培育绿色发展新优势。</w:t>
            </w:r>
          </w:p>
          <w:p w14:paraId="7A712CB4">
            <w:pPr>
              <w:snapToGrid w:val="0"/>
              <w:spacing w:line="300" w:lineRule="auto"/>
              <w:ind w:firstLine="480" w:firstLineChars="200"/>
              <w:rPr>
                <w:rFonts w:hint="eastAsia" w:eastAsiaTheme="minorEastAsia"/>
                <w:sz w:val="24"/>
              </w:rPr>
            </w:pPr>
          </w:p>
          <w:p w14:paraId="3D5FBC1F">
            <w:pPr>
              <w:snapToGrid w:val="0"/>
              <w:spacing w:line="300" w:lineRule="auto"/>
              <w:ind w:firstLine="480" w:firstLineChars="200"/>
              <w:rPr>
                <w:rFonts w:eastAsiaTheme="minorEastAsia"/>
                <w:sz w:val="24"/>
              </w:rPr>
            </w:pPr>
          </w:p>
        </w:tc>
      </w:tr>
      <w:tr w14:paraId="0BCA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14:paraId="2D55FDEF">
            <w:pPr>
              <w:snapToGrid w:val="0"/>
              <w:spacing w:line="300" w:lineRule="auto"/>
              <w:jc w:val="center"/>
              <w:rPr>
                <w:rFonts w:eastAsiaTheme="minorEastAsia"/>
                <w:bCs/>
                <w:iCs/>
                <w:color w:val="000000"/>
                <w:kern w:val="0"/>
                <w:sz w:val="24"/>
              </w:rPr>
            </w:pPr>
            <w:r>
              <w:rPr>
                <w:rFonts w:eastAsiaTheme="minorEastAsia"/>
                <w:bCs/>
                <w:iCs/>
                <w:color w:val="000000"/>
                <w:kern w:val="0"/>
                <w:sz w:val="24"/>
              </w:rPr>
              <w:t>附件清单（如有）</w:t>
            </w:r>
          </w:p>
        </w:tc>
        <w:tc>
          <w:tcPr>
            <w:tcW w:w="7739" w:type="dxa"/>
            <w:tcBorders>
              <w:top w:val="single" w:color="auto" w:sz="4" w:space="0"/>
              <w:left w:val="single" w:color="auto" w:sz="4" w:space="0"/>
              <w:bottom w:val="single" w:color="auto" w:sz="4" w:space="0"/>
              <w:right w:val="single" w:color="auto" w:sz="4" w:space="0"/>
            </w:tcBorders>
            <w:vAlign w:val="center"/>
          </w:tcPr>
          <w:p w14:paraId="56FB8FD7">
            <w:pPr>
              <w:pStyle w:val="10"/>
              <w:snapToGrid w:val="0"/>
              <w:spacing w:line="300" w:lineRule="auto"/>
              <w:ind w:left="-2" w:leftChars="-1" w:firstLine="0" w:firstLineChars="0"/>
              <w:rPr>
                <w:rFonts w:ascii="Times New Roman" w:hAnsi="Times New Roman" w:eastAsiaTheme="minorEastAsia"/>
                <w:bCs/>
                <w:iCs/>
                <w:color w:val="000000"/>
                <w:sz w:val="24"/>
                <w:szCs w:val="24"/>
              </w:rPr>
            </w:pPr>
          </w:p>
        </w:tc>
      </w:tr>
      <w:tr w14:paraId="40EA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86" w:type="dxa"/>
            <w:tcBorders>
              <w:top w:val="single" w:color="auto" w:sz="4" w:space="0"/>
              <w:left w:val="single" w:color="auto" w:sz="4" w:space="0"/>
              <w:right w:val="single" w:color="auto" w:sz="4" w:space="0"/>
            </w:tcBorders>
            <w:vAlign w:val="center"/>
          </w:tcPr>
          <w:p w14:paraId="0A8BD2EA">
            <w:pPr>
              <w:snapToGrid w:val="0"/>
              <w:spacing w:line="300" w:lineRule="auto"/>
              <w:jc w:val="center"/>
              <w:rPr>
                <w:rFonts w:eastAsiaTheme="minorEastAsia"/>
                <w:bCs/>
                <w:iCs/>
                <w:color w:val="000000"/>
                <w:kern w:val="0"/>
                <w:sz w:val="24"/>
              </w:rPr>
            </w:pPr>
            <w:r>
              <w:rPr>
                <w:rFonts w:eastAsiaTheme="minorEastAsia"/>
                <w:bCs/>
                <w:iCs/>
                <w:color w:val="000000"/>
                <w:kern w:val="0"/>
                <w:sz w:val="24"/>
              </w:rPr>
              <w:t>日期</w:t>
            </w:r>
          </w:p>
        </w:tc>
        <w:tc>
          <w:tcPr>
            <w:tcW w:w="7739" w:type="dxa"/>
            <w:tcBorders>
              <w:top w:val="single" w:color="auto" w:sz="4" w:space="0"/>
              <w:left w:val="single" w:color="auto" w:sz="4" w:space="0"/>
              <w:right w:val="single" w:color="auto" w:sz="4" w:space="0"/>
            </w:tcBorders>
            <w:vAlign w:val="center"/>
          </w:tcPr>
          <w:p w14:paraId="312704AB">
            <w:pPr>
              <w:pStyle w:val="10"/>
              <w:snapToGrid w:val="0"/>
              <w:spacing w:line="300" w:lineRule="auto"/>
              <w:ind w:firstLine="0" w:firstLineChars="0"/>
              <w:rPr>
                <w:rFonts w:ascii="Times New Roman" w:hAnsi="Times New Roman" w:eastAsiaTheme="minorEastAsia"/>
                <w:sz w:val="24"/>
                <w:szCs w:val="24"/>
              </w:rPr>
            </w:pPr>
            <w:r>
              <w:rPr>
                <w:rFonts w:ascii="Times New Roman" w:hAnsi="Times New Roman" w:eastAsiaTheme="minorEastAsia"/>
                <w:sz w:val="24"/>
                <w:szCs w:val="24"/>
              </w:rPr>
              <w:t>2025年</w:t>
            </w:r>
            <w:r>
              <w:rPr>
                <w:rFonts w:hint="eastAsia" w:ascii="Times New Roman" w:hAnsi="Times New Roman" w:eastAsiaTheme="minorEastAsia"/>
                <w:sz w:val="24"/>
                <w:szCs w:val="24"/>
              </w:rPr>
              <w:t>7</w:t>
            </w:r>
            <w:r>
              <w:rPr>
                <w:rFonts w:ascii="Times New Roman" w:hAnsi="Times New Roman" w:eastAsiaTheme="minorEastAsia"/>
                <w:sz w:val="24"/>
                <w:szCs w:val="24"/>
              </w:rPr>
              <w:t>月</w:t>
            </w:r>
            <w:r>
              <w:rPr>
                <w:rFonts w:hint="eastAsia" w:ascii="Times New Roman" w:hAnsi="Times New Roman" w:eastAsiaTheme="minorEastAsia"/>
                <w:sz w:val="24"/>
                <w:szCs w:val="24"/>
              </w:rPr>
              <w:t>23</w:t>
            </w:r>
            <w:r>
              <w:rPr>
                <w:rFonts w:ascii="Times New Roman" w:hAnsi="Times New Roman" w:eastAsiaTheme="minorEastAsia"/>
                <w:sz w:val="24"/>
                <w:szCs w:val="24"/>
              </w:rPr>
              <w:t>日</w:t>
            </w:r>
          </w:p>
        </w:tc>
      </w:tr>
    </w:tbl>
    <w:p w14:paraId="632EE6ED">
      <w:pPr>
        <w:snapToGrid w:val="0"/>
        <w:rPr>
          <w:sz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D5AA3">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EB40">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FDFFF"/>
    <w:multiLevelType w:val="singleLevel"/>
    <w:tmpl w:val="E5BFDFF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YjIyNDExYTEwMmM2MWNjMzUyZjAwYzkzNjhmYTgifQ=="/>
  </w:docVars>
  <w:rsids>
    <w:rsidRoot w:val="006861C7"/>
    <w:rsid w:val="00001815"/>
    <w:rsid w:val="00001D80"/>
    <w:rsid w:val="000144D4"/>
    <w:rsid w:val="00015943"/>
    <w:rsid w:val="00020CC7"/>
    <w:rsid w:val="000256E5"/>
    <w:rsid w:val="00026871"/>
    <w:rsid w:val="000268C0"/>
    <w:rsid w:val="00032AAF"/>
    <w:rsid w:val="00034BD4"/>
    <w:rsid w:val="000363B5"/>
    <w:rsid w:val="000375D7"/>
    <w:rsid w:val="00040FE3"/>
    <w:rsid w:val="00042EC7"/>
    <w:rsid w:val="00043015"/>
    <w:rsid w:val="00046363"/>
    <w:rsid w:val="00046DDE"/>
    <w:rsid w:val="00047EB9"/>
    <w:rsid w:val="00052F5F"/>
    <w:rsid w:val="00060A74"/>
    <w:rsid w:val="000621B3"/>
    <w:rsid w:val="00067110"/>
    <w:rsid w:val="0007009F"/>
    <w:rsid w:val="00075806"/>
    <w:rsid w:val="000777AE"/>
    <w:rsid w:val="0008320B"/>
    <w:rsid w:val="0008543F"/>
    <w:rsid w:val="0009298A"/>
    <w:rsid w:val="00092BEE"/>
    <w:rsid w:val="00093086"/>
    <w:rsid w:val="000A2808"/>
    <w:rsid w:val="000A3BAC"/>
    <w:rsid w:val="000B3B91"/>
    <w:rsid w:val="000C10EB"/>
    <w:rsid w:val="000C1396"/>
    <w:rsid w:val="000C26FD"/>
    <w:rsid w:val="000C2D85"/>
    <w:rsid w:val="000C538A"/>
    <w:rsid w:val="000D43A6"/>
    <w:rsid w:val="000E0A50"/>
    <w:rsid w:val="000E4C21"/>
    <w:rsid w:val="000E5700"/>
    <w:rsid w:val="000F0C4B"/>
    <w:rsid w:val="000F0E22"/>
    <w:rsid w:val="0010559E"/>
    <w:rsid w:val="00105A04"/>
    <w:rsid w:val="00113564"/>
    <w:rsid w:val="001169A9"/>
    <w:rsid w:val="00121A7B"/>
    <w:rsid w:val="00125EB2"/>
    <w:rsid w:val="00136A98"/>
    <w:rsid w:val="0014143E"/>
    <w:rsid w:val="00142A4C"/>
    <w:rsid w:val="00144279"/>
    <w:rsid w:val="001452FF"/>
    <w:rsid w:val="001475A4"/>
    <w:rsid w:val="00162B2B"/>
    <w:rsid w:val="0016617A"/>
    <w:rsid w:val="00167E99"/>
    <w:rsid w:val="00173F33"/>
    <w:rsid w:val="0017444E"/>
    <w:rsid w:val="00175E49"/>
    <w:rsid w:val="001848E2"/>
    <w:rsid w:val="001975AB"/>
    <w:rsid w:val="001A00F5"/>
    <w:rsid w:val="001A1F65"/>
    <w:rsid w:val="001A35A2"/>
    <w:rsid w:val="001A44D9"/>
    <w:rsid w:val="001A5CE9"/>
    <w:rsid w:val="001A71B9"/>
    <w:rsid w:val="001B304F"/>
    <w:rsid w:val="001B54A6"/>
    <w:rsid w:val="001C50AD"/>
    <w:rsid w:val="001D0982"/>
    <w:rsid w:val="001D22EE"/>
    <w:rsid w:val="001D4C89"/>
    <w:rsid w:val="001D5EBD"/>
    <w:rsid w:val="001E1838"/>
    <w:rsid w:val="001E188B"/>
    <w:rsid w:val="001E3145"/>
    <w:rsid w:val="001E6509"/>
    <w:rsid w:val="001E7076"/>
    <w:rsid w:val="001E7968"/>
    <w:rsid w:val="0022180A"/>
    <w:rsid w:val="00223ABC"/>
    <w:rsid w:val="002241B9"/>
    <w:rsid w:val="002274D9"/>
    <w:rsid w:val="0023158F"/>
    <w:rsid w:val="0023455A"/>
    <w:rsid w:val="00237994"/>
    <w:rsid w:val="002404DD"/>
    <w:rsid w:val="002434E5"/>
    <w:rsid w:val="0024567C"/>
    <w:rsid w:val="002504D6"/>
    <w:rsid w:val="00250632"/>
    <w:rsid w:val="00250C4A"/>
    <w:rsid w:val="00251D58"/>
    <w:rsid w:val="002530EE"/>
    <w:rsid w:val="0025462C"/>
    <w:rsid w:val="002549E6"/>
    <w:rsid w:val="00255211"/>
    <w:rsid w:val="00256602"/>
    <w:rsid w:val="00256863"/>
    <w:rsid w:val="0026184E"/>
    <w:rsid w:val="00271C8D"/>
    <w:rsid w:val="00271F43"/>
    <w:rsid w:val="002731A5"/>
    <w:rsid w:val="00273B53"/>
    <w:rsid w:val="00275F01"/>
    <w:rsid w:val="00277BBA"/>
    <w:rsid w:val="0028080C"/>
    <w:rsid w:val="0029480B"/>
    <w:rsid w:val="00295257"/>
    <w:rsid w:val="00296B8D"/>
    <w:rsid w:val="00297703"/>
    <w:rsid w:val="002A0826"/>
    <w:rsid w:val="002A0984"/>
    <w:rsid w:val="002A589B"/>
    <w:rsid w:val="002B1184"/>
    <w:rsid w:val="002B5672"/>
    <w:rsid w:val="002B71B8"/>
    <w:rsid w:val="002B7469"/>
    <w:rsid w:val="002C22C6"/>
    <w:rsid w:val="002C6568"/>
    <w:rsid w:val="002C723B"/>
    <w:rsid w:val="002D0ACE"/>
    <w:rsid w:val="002D39BC"/>
    <w:rsid w:val="002E1B15"/>
    <w:rsid w:val="002E1D3A"/>
    <w:rsid w:val="002E28DF"/>
    <w:rsid w:val="002F03F5"/>
    <w:rsid w:val="002F1156"/>
    <w:rsid w:val="002F6A60"/>
    <w:rsid w:val="00300197"/>
    <w:rsid w:val="003005F0"/>
    <w:rsid w:val="003030BF"/>
    <w:rsid w:val="00304F89"/>
    <w:rsid w:val="00305194"/>
    <w:rsid w:val="00306023"/>
    <w:rsid w:val="0030720C"/>
    <w:rsid w:val="00311F17"/>
    <w:rsid w:val="0032511A"/>
    <w:rsid w:val="0032757E"/>
    <w:rsid w:val="00327D5D"/>
    <w:rsid w:val="00344914"/>
    <w:rsid w:val="00346917"/>
    <w:rsid w:val="00351DEE"/>
    <w:rsid w:val="00354A7B"/>
    <w:rsid w:val="00360FDA"/>
    <w:rsid w:val="0036240C"/>
    <w:rsid w:val="00363075"/>
    <w:rsid w:val="00367D18"/>
    <w:rsid w:val="00367F1C"/>
    <w:rsid w:val="00370702"/>
    <w:rsid w:val="00372A1C"/>
    <w:rsid w:val="0037435A"/>
    <w:rsid w:val="00374BE6"/>
    <w:rsid w:val="003751B4"/>
    <w:rsid w:val="00375765"/>
    <w:rsid w:val="00377D8F"/>
    <w:rsid w:val="00383679"/>
    <w:rsid w:val="00383EE6"/>
    <w:rsid w:val="00384B36"/>
    <w:rsid w:val="00385428"/>
    <w:rsid w:val="00385617"/>
    <w:rsid w:val="0039131B"/>
    <w:rsid w:val="00393ACF"/>
    <w:rsid w:val="003944DA"/>
    <w:rsid w:val="0039498B"/>
    <w:rsid w:val="003A1E68"/>
    <w:rsid w:val="003A4C74"/>
    <w:rsid w:val="003A5A1C"/>
    <w:rsid w:val="003B0122"/>
    <w:rsid w:val="003B0A87"/>
    <w:rsid w:val="003B0BE5"/>
    <w:rsid w:val="003B37CC"/>
    <w:rsid w:val="003B4F16"/>
    <w:rsid w:val="003B5B32"/>
    <w:rsid w:val="003B5E4F"/>
    <w:rsid w:val="003D14A7"/>
    <w:rsid w:val="003D18F1"/>
    <w:rsid w:val="003D56EC"/>
    <w:rsid w:val="003D59FF"/>
    <w:rsid w:val="003E001E"/>
    <w:rsid w:val="003E0A0C"/>
    <w:rsid w:val="003E4418"/>
    <w:rsid w:val="003E4FBE"/>
    <w:rsid w:val="003E6529"/>
    <w:rsid w:val="003F7C4D"/>
    <w:rsid w:val="00400154"/>
    <w:rsid w:val="0040075F"/>
    <w:rsid w:val="00403300"/>
    <w:rsid w:val="004118C0"/>
    <w:rsid w:val="00417A31"/>
    <w:rsid w:val="00417BC7"/>
    <w:rsid w:val="0042004B"/>
    <w:rsid w:val="00421388"/>
    <w:rsid w:val="00433384"/>
    <w:rsid w:val="0043777D"/>
    <w:rsid w:val="00441D74"/>
    <w:rsid w:val="00442A25"/>
    <w:rsid w:val="004455E6"/>
    <w:rsid w:val="00452810"/>
    <w:rsid w:val="0045767F"/>
    <w:rsid w:val="004604BC"/>
    <w:rsid w:val="00461A7A"/>
    <w:rsid w:val="004623A1"/>
    <w:rsid w:val="00463E9B"/>
    <w:rsid w:val="00467414"/>
    <w:rsid w:val="004676D2"/>
    <w:rsid w:val="00473F30"/>
    <w:rsid w:val="00474C1E"/>
    <w:rsid w:val="00475F5C"/>
    <w:rsid w:val="004803DD"/>
    <w:rsid w:val="0048591A"/>
    <w:rsid w:val="00486323"/>
    <w:rsid w:val="00486D86"/>
    <w:rsid w:val="0048721A"/>
    <w:rsid w:val="00496E99"/>
    <w:rsid w:val="004A0BD5"/>
    <w:rsid w:val="004A1BBF"/>
    <w:rsid w:val="004A3A1F"/>
    <w:rsid w:val="004A48FD"/>
    <w:rsid w:val="004A73E5"/>
    <w:rsid w:val="004B2735"/>
    <w:rsid w:val="004B432B"/>
    <w:rsid w:val="004B4674"/>
    <w:rsid w:val="004C19BF"/>
    <w:rsid w:val="004C4D11"/>
    <w:rsid w:val="004D1757"/>
    <w:rsid w:val="004D2B1E"/>
    <w:rsid w:val="004D4339"/>
    <w:rsid w:val="004D7640"/>
    <w:rsid w:val="004E07B4"/>
    <w:rsid w:val="004E19A2"/>
    <w:rsid w:val="004E1A9B"/>
    <w:rsid w:val="004F3E10"/>
    <w:rsid w:val="005009D9"/>
    <w:rsid w:val="00500AB6"/>
    <w:rsid w:val="00502383"/>
    <w:rsid w:val="005155FB"/>
    <w:rsid w:val="005214C4"/>
    <w:rsid w:val="00523907"/>
    <w:rsid w:val="005258C7"/>
    <w:rsid w:val="005271E2"/>
    <w:rsid w:val="005308EC"/>
    <w:rsid w:val="0053150F"/>
    <w:rsid w:val="00535B05"/>
    <w:rsid w:val="00537C53"/>
    <w:rsid w:val="005438F5"/>
    <w:rsid w:val="00543A13"/>
    <w:rsid w:val="00543F44"/>
    <w:rsid w:val="00544901"/>
    <w:rsid w:val="0054571A"/>
    <w:rsid w:val="005474D3"/>
    <w:rsid w:val="00550737"/>
    <w:rsid w:val="00555621"/>
    <w:rsid w:val="00555DD2"/>
    <w:rsid w:val="00565D11"/>
    <w:rsid w:val="00565ED9"/>
    <w:rsid w:val="005760C6"/>
    <w:rsid w:val="00585A1B"/>
    <w:rsid w:val="00591260"/>
    <w:rsid w:val="00591314"/>
    <w:rsid w:val="00593D40"/>
    <w:rsid w:val="0059505A"/>
    <w:rsid w:val="00595F1B"/>
    <w:rsid w:val="0059770C"/>
    <w:rsid w:val="005A3BE0"/>
    <w:rsid w:val="005B0C5E"/>
    <w:rsid w:val="005B1026"/>
    <w:rsid w:val="005B642F"/>
    <w:rsid w:val="005C04C1"/>
    <w:rsid w:val="005C1785"/>
    <w:rsid w:val="005C7B80"/>
    <w:rsid w:val="005D2D87"/>
    <w:rsid w:val="005D6A09"/>
    <w:rsid w:val="005E2B4B"/>
    <w:rsid w:val="005E3721"/>
    <w:rsid w:val="005E5DCF"/>
    <w:rsid w:val="005E5F63"/>
    <w:rsid w:val="005E6BA1"/>
    <w:rsid w:val="005F07B6"/>
    <w:rsid w:val="005F4458"/>
    <w:rsid w:val="0060779A"/>
    <w:rsid w:val="00611F74"/>
    <w:rsid w:val="00615799"/>
    <w:rsid w:val="0061727F"/>
    <w:rsid w:val="00621342"/>
    <w:rsid w:val="0062187E"/>
    <w:rsid w:val="00622F13"/>
    <w:rsid w:val="00624014"/>
    <w:rsid w:val="006245C4"/>
    <w:rsid w:val="00625503"/>
    <w:rsid w:val="0062662D"/>
    <w:rsid w:val="00632E78"/>
    <w:rsid w:val="0063318C"/>
    <w:rsid w:val="006344F1"/>
    <w:rsid w:val="00637186"/>
    <w:rsid w:val="0064237F"/>
    <w:rsid w:val="00646801"/>
    <w:rsid w:val="00646DEC"/>
    <w:rsid w:val="00646DF4"/>
    <w:rsid w:val="00651DE6"/>
    <w:rsid w:val="006523BB"/>
    <w:rsid w:val="0065347E"/>
    <w:rsid w:val="00654B49"/>
    <w:rsid w:val="006575E6"/>
    <w:rsid w:val="00662505"/>
    <w:rsid w:val="0066674C"/>
    <w:rsid w:val="00670EC9"/>
    <w:rsid w:val="006714F5"/>
    <w:rsid w:val="006760F7"/>
    <w:rsid w:val="006861C7"/>
    <w:rsid w:val="00686689"/>
    <w:rsid w:val="00686DDF"/>
    <w:rsid w:val="006909DE"/>
    <w:rsid w:val="006973B0"/>
    <w:rsid w:val="00697B12"/>
    <w:rsid w:val="006A55BB"/>
    <w:rsid w:val="006A72F9"/>
    <w:rsid w:val="006A7613"/>
    <w:rsid w:val="006B2BF9"/>
    <w:rsid w:val="006B51C1"/>
    <w:rsid w:val="006B661A"/>
    <w:rsid w:val="006B7D00"/>
    <w:rsid w:val="006C673C"/>
    <w:rsid w:val="006C6BC5"/>
    <w:rsid w:val="006D61A2"/>
    <w:rsid w:val="006E1408"/>
    <w:rsid w:val="006E1DB4"/>
    <w:rsid w:val="006E4ECC"/>
    <w:rsid w:val="006E53D2"/>
    <w:rsid w:val="006E59FF"/>
    <w:rsid w:val="006E79B9"/>
    <w:rsid w:val="006F0D85"/>
    <w:rsid w:val="006F4D77"/>
    <w:rsid w:val="00707504"/>
    <w:rsid w:val="00712361"/>
    <w:rsid w:val="0071288A"/>
    <w:rsid w:val="00714BBD"/>
    <w:rsid w:val="00733BA0"/>
    <w:rsid w:val="00740428"/>
    <w:rsid w:val="00743B62"/>
    <w:rsid w:val="00752D9B"/>
    <w:rsid w:val="00753DB6"/>
    <w:rsid w:val="00755C5E"/>
    <w:rsid w:val="007630E4"/>
    <w:rsid w:val="00763847"/>
    <w:rsid w:val="00767CF0"/>
    <w:rsid w:val="0077017E"/>
    <w:rsid w:val="00771FE3"/>
    <w:rsid w:val="007767CA"/>
    <w:rsid w:val="00776BDE"/>
    <w:rsid w:val="00777035"/>
    <w:rsid w:val="00786870"/>
    <w:rsid w:val="00792237"/>
    <w:rsid w:val="0079272A"/>
    <w:rsid w:val="007945BD"/>
    <w:rsid w:val="00795441"/>
    <w:rsid w:val="007A1971"/>
    <w:rsid w:val="007A1DA9"/>
    <w:rsid w:val="007A7BDC"/>
    <w:rsid w:val="007B2252"/>
    <w:rsid w:val="007B501B"/>
    <w:rsid w:val="007B79D9"/>
    <w:rsid w:val="007C134A"/>
    <w:rsid w:val="007C67B1"/>
    <w:rsid w:val="007D0A0D"/>
    <w:rsid w:val="007D68D6"/>
    <w:rsid w:val="007E1A26"/>
    <w:rsid w:val="007E354A"/>
    <w:rsid w:val="007E69C8"/>
    <w:rsid w:val="007F019B"/>
    <w:rsid w:val="007F1135"/>
    <w:rsid w:val="007F1AA7"/>
    <w:rsid w:val="007F37D9"/>
    <w:rsid w:val="007F68EE"/>
    <w:rsid w:val="007F7161"/>
    <w:rsid w:val="007F7686"/>
    <w:rsid w:val="00801891"/>
    <w:rsid w:val="00803F0B"/>
    <w:rsid w:val="0080525B"/>
    <w:rsid w:val="008062C5"/>
    <w:rsid w:val="0080741A"/>
    <w:rsid w:val="0081190F"/>
    <w:rsid w:val="00814A88"/>
    <w:rsid w:val="00814B5B"/>
    <w:rsid w:val="00821011"/>
    <w:rsid w:val="0082115F"/>
    <w:rsid w:val="00826F24"/>
    <w:rsid w:val="00827B1F"/>
    <w:rsid w:val="00830039"/>
    <w:rsid w:val="0083050F"/>
    <w:rsid w:val="0083310A"/>
    <w:rsid w:val="00836F34"/>
    <w:rsid w:val="008373DD"/>
    <w:rsid w:val="00843E73"/>
    <w:rsid w:val="00844EBF"/>
    <w:rsid w:val="00854F61"/>
    <w:rsid w:val="008619AE"/>
    <w:rsid w:val="00861E4B"/>
    <w:rsid w:val="00864202"/>
    <w:rsid w:val="0087174F"/>
    <w:rsid w:val="00872CFA"/>
    <w:rsid w:val="00873B59"/>
    <w:rsid w:val="00874C29"/>
    <w:rsid w:val="0087701F"/>
    <w:rsid w:val="00877890"/>
    <w:rsid w:val="00880226"/>
    <w:rsid w:val="0088397F"/>
    <w:rsid w:val="00883F1F"/>
    <w:rsid w:val="0088540A"/>
    <w:rsid w:val="00890732"/>
    <w:rsid w:val="0089283D"/>
    <w:rsid w:val="00895B68"/>
    <w:rsid w:val="00896F08"/>
    <w:rsid w:val="008A0ADC"/>
    <w:rsid w:val="008A1BAB"/>
    <w:rsid w:val="008A20E3"/>
    <w:rsid w:val="008A2F3D"/>
    <w:rsid w:val="008A5117"/>
    <w:rsid w:val="008A5828"/>
    <w:rsid w:val="008B29E7"/>
    <w:rsid w:val="008B38B7"/>
    <w:rsid w:val="008B458E"/>
    <w:rsid w:val="008C4D4A"/>
    <w:rsid w:val="008D0C33"/>
    <w:rsid w:val="008E05A0"/>
    <w:rsid w:val="008E11AE"/>
    <w:rsid w:val="008E1708"/>
    <w:rsid w:val="008E4844"/>
    <w:rsid w:val="008E60DA"/>
    <w:rsid w:val="008E68DA"/>
    <w:rsid w:val="00900891"/>
    <w:rsid w:val="0090182E"/>
    <w:rsid w:val="00904436"/>
    <w:rsid w:val="00904492"/>
    <w:rsid w:val="00904DFB"/>
    <w:rsid w:val="0091182B"/>
    <w:rsid w:val="0091457B"/>
    <w:rsid w:val="00921169"/>
    <w:rsid w:val="00923763"/>
    <w:rsid w:val="00930ED6"/>
    <w:rsid w:val="00931EF8"/>
    <w:rsid w:val="0093293F"/>
    <w:rsid w:val="00933105"/>
    <w:rsid w:val="009359CB"/>
    <w:rsid w:val="009436B3"/>
    <w:rsid w:val="009453C0"/>
    <w:rsid w:val="009474EF"/>
    <w:rsid w:val="00952160"/>
    <w:rsid w:val="009545AB"/>
    <w:rsid w:val="00955E46"/>
    <w:rsid w:val="009611AC"/>
    <w:rsid w:val="00962192"/>
    <w:rsid w:val="00962626"/>
    <w:rsid w:val="00966D31"/>
    <w:rsid w:val="0097210C"/>
    <w:rsid w:val="009767DD"/>
    <w:rsid w:val="00977AF2"/>
    <w:rsid w:val="00985887"/>
    <w:rsid w:val="00985FC5"/>
    <w:rsid w:val="00993BDD"/>
    <w:rsid w:val="009A0FB1"/>
    <w:rsid w:val="009A56DA"/>
    <w:rsid w:val="009A6DFB"/>
    <w:rsid w:val="009B69A4"/>
    <w:rsid w:val="009B6EC0"/>
    <w:rsid w:val="009C1D91"/>
    <w:rsid w:val="009C6459"/>
    <w:rsid w:val="009C7FAF"/>
    <w:rsid w:val="009D4199"/>
    <w:rsid w:val="009E37C7"/>
    <w:rsid w:val="009E5E6A"/>
    <w:rsid w:val="009F0DD5"/>
    <w:rsid w:val="009F0EFF"/>
    <w:rsid w:val="009F1B95"/>
    <w:rsid w:val="009F6C05"/>
    <w:rsid w:val="00A011B0"/>
    <w:rsid w:val="00A04EE3"/>
    <w:rsid w:val="00A13CB6"/>
    <w:rsid w:val="00A1413C"/>
    <w:rsid w:val="00A14A1A"/>
    <w:rsid w:val="00A22CDD"/>
    <w:rsid w:val="00A24760"/>
    <w:rsid w:val="00A254B2"/>
    <w:rsid w:val="00A25AEE"/>
    <w:rsid w:val="00A31EB1"/>
    <w:rsid w:val="00A33AEA"/>
    <w:rsid w:val="00A3648F"/>
    <w:rsid w:val="00A44C41"/>
    <w:rsid w:val="00A45516"/>
    <w:rsid w:val="00A461CD"/>
    <w:rsid w:val="00A469C5"/>
    <w:rsid w:val="00A47C16"/>
    <w:rsid w:val="00A5317D"/>
    <w:rsid w:val="00A57B28"/>
    <w:rsid w:val="00A60C39"/>
    <w:rsid w:val="00A6284E"/>
    <w:rsid w:val="00A62CE5"/>
    <w:rsid w:val="00A63E81"/>
    <w:rsid w:val="00A70BAB"/>
    <w:rsid w:val="00A73B7E"/>
    <w:rsid w:val="00A76417"/>
    <w:rsid w:val="00A846EB"/>
    <w:rsid w:val="00A86FEE"/>
    <w:rsid w:val="00A8775A"/>
    <w:rsid w:val="00A9544C"/>
    <w:rsid w:val="00A972E7"/>
    <w:rsid w:val="00AA5998"/>
    <w:rsid w:val="00AB07E7"/>
    <w:rsid w:val="00AB41EC"/>
    <w:rsid w:val="00AB49EC"/>
    <w:rsid w:val="00AC26A0"/>
    <w:rsid w:val="00AD1BA8"/>
    <w:rsid w:val="00AD54C4"/>
    <w:rsid w:val="00AD5874"/>
    <w:rsid w:val="00AD6B01"/>
    <w:rsid w:val="00AF786C"/>
    <w:rsid w:val="00B02A29"/>
    <w:rsid w:val="00B03522"/>
    <w:rsid w:val="00B04AD6"/>
    <w:rsid w:val="00B14CAA"/>
    <w:rsid w:val="00B21151"/>
    <w:rsid w:val="00B215B1"/>
    <w:rsid w:val="00B257CE"/>
    <w:rsid w:val="00B405F2"/>
    <w:rsid w:val="00B41DA8"/>
    <w:rsid w:val="00B4746C"/>
    <w:rsid w:val="00B54876"/>
    <w:rsid w:val="00B65354"/>
    <w:rsid w:val="00B66A00"/>
    <w:rsid w:val="00B71A0E"/>
    <w:rsid w:val="00B73BA0"/>
    <w:rsid w:val="00B7676B"/>
    <w:rsid w:val="00B77191"/>
    <w:rsid w:val="00B80FBC"/>
    <w:rsid w:val="00B81765"/>
    <w:rsid w:val="00B8249C"/>
    <w:rsid w:val="00B832F5"/>
    <w:rsid w:val="00B83719"/>
    <w:rsid w:val="00B91E1C"/>
    <w:rsid w:val="00B9254C"/>
    <w:rsid w:val="00BA2FAB"/>
    <w:rsid w:val="00BA69B3"/>
    <w:rsid w:val="00BB405C"/>
    <w:rsid w:val="00BB5C96"/>
    <w:rsid w:val="00BB5E28"/>
    <w:rsid w:val="00BB73EA"/>
    <w:rsid w:val="00BC116A"/>
    <w:rsid w:val="00BD11A1"/>
    <w:rsid w:val="00BD13EB"/>
    <w:rsid w:val="00BD15F3"/>
    <w:rsid w:val="00BD6DC3"/>
    <w:rsid w:val="00BD7986"/>
    <w:rsid w:val="00BD79D3"/>
    <w:rsid w:val="00BE3E8A"/>
    <w:rsid w:val="00BF0EC6"/>
    <w:rsid w:val="00C03DA3"/>
    <w:rsid w:val="00C04F82"/>
    <w:rsid w:val="00C056BF"/>
    <w:rsid w:val="00C10240"/>
    <w:rsid w:val="00C15AC0"/>
    <w:rsid w:val="00C16900"/>
    <w:rsid w:val="00C22401"/>
    <w:rsid w:val="00C22651"/>
    <w:rsid w:val="00C2323A"/>
    <w:rsid w:val="00C26030"/>
    <w:rsid w:val="00C40390"/>
    <w:rsid w:val="00C41091"/>
    <w:rsid w:val="00C41B0C"/>
    <w:rsid w:val="00C5545C"/>
    <w:rsid w:val="00C63056"/>
    <w:rsid w:val="00C661D1"/>
    <w:rsid w:val="00C67D37"/>
    <w:rsid w:val="00C735A1"/>
    <w:rsid w:val="00C768E9"/>
    <w:rsid w:val="00C775BA"/>
    <w:rsid w:val="00C81F2B"/>
    <w:rsid w:val="00C846D4"/>
    <w:rsid w:val="00C85331"/>
    <w:rsid w:val="00C85A50"/>
    <w:rsid w:val="00C8740C"/>
    <w:rsid w:val="00C9333C"/>
    <w:rsid w:val="00C94D46"/>
    <w:rsid w:val="00C97690"/>
    <w:rsid w:val="00CA0AF7"/>
    <w:rsid w:val="00CA443A"/>
    <w:rsid w:val="00CA47E9"/>
    <w:rsid w:val="00CB2461"/>
    <w:rsid w:val="00CB351B"/>
    <w:rsid w:val="00CB37FD"/>
    <w:rsid w:val="00CB6E1C"/>
    <w:rsid w:val="00CC4D65"/>
    <w:rsid w:val="00CC61E7"/>
    <w:rsid w:val="00CC69D0"/>
    <w:rsid w:val="00CD02B3"/>
    <w:rsid w:val="00CD25AD"/>
    <w:rsid w:val="00CD39C8"/>
    <w:rsid w:val="00CD3FFC"/>
    <w:rsid w:val="00CD45F9"/>
    <w:rsid w:val="00CE2941"/>
    <w:rsid w:val="00CE556F"/>
    <w:rsid w:val="00CF2798"/>
    <w:rsid w:val="00CF3C26"/>
    <w:rsid w:val="00CF5310"/>
    <w:rsid w:val="00CF565C"/>
    <w:rsid w:val="00D00C5E"/>
    <w:rsid w:val="00D016A3"/>
    <w:rsid w:val="00D05A39"/>
    <w:rsid w:val="00D136AA"/>
    <w:rsid w:val="00D16D93"/>
    <w:rsid w:val="00D173E9"/>
    <w:rsid w:val="00D20B6E"/>
    <w:rsid w:val="00D371D4"/>
    <w:rsid w:val="00D42FCA"/>
    <w:rsid w:val="00D45009"/>
    <w:rsid w:val="00D512E3"/>
    <w:rsid w:val="00D515B3"/>
    <w:rsid w:val="00D53B40"/>
    <w:rsid w:val="00D602C9"/>
    <w:rsid w:val="00D76270"/>
    <w:rsid w:val="00D816D6"/>
    <w:rsid w:val="00D81DFB"/>
    <w:rsid w:val="00D81FAA"/>
    <w:rsid w:val="00D86A4F"/>
    <w:rsid w:val="00DA15DC"/>
    <w:rsid w:val="00DA26A9"/>
    <w:rsid w:val="00DA6C55"/>
    <w:rsid w:val="00DB01FF"/>
    <w:rsid w:val="00DB24DE"/>
    <w:rsid w:val="00DB2725"/>
    <w:rsid w:val="00DB2B10"/>
    <w:rsid w:val="00DC1D3A"/>
    <w:rsid w:val="00DC29D9"/>
    <w:rsid w:val="00DC7675"/>
    <w:rsid w:val="00DC7778"/>
    <w:rsid w:val="00DE3BB1"/>
    <w:rsid w:val="00DE7391"/>
    <w:rsid w:val="00DF2DB5"/>
    <w:rsid w:val="00DF5487"/>
    <w:rsid w:val="00DF6560"/>
    <w:rsid w:val="00E04CC0"/>
    <w:rsid w:val="00E04FEE"/>
    <w:rsid w:val="00E0517F"/>
    <w:rsid w:val="00E136FF"/>
    <w:rsid w:val="00E13EB7"/>
    <w:rsid w:val="00E214FF"/>
    <w:rsid w:val="00E217D4"/>
    <w:rsid w:val="00E24875"/>
    <w:rsid w:val="00E32528"/>
    <w:rsid w:val="00E35F26"/>
    <w:rsid w:val="00E43B2D"/>
    <w:rsid w:val="00E53165"/>
    <w:rsid w:val="00E614FA"/>
    <w:rsid w:val="00E61EF7"/>
    <w:rsid w:val="00E62905"/>
    <w:rsid w:val="00E663B4"/>
    <w:rsid w:val="00E76E83"/>
    <w:rsid w:val="00E772A7"/>
    <w:rsid w:val="00E80CEB"/>
    <w:rsid w:val="00E86C62"/>
    <w:rsid w:val="00E87DF6"/>
    <w:rsid w:val="00E90921"/>
    <w:rsid w:val="00E91D93"/>
    <w:rsid w:val="00E9207D"/>
    <w:rsid w:val="00EA01E4"/>
    <w:rsid w:val="00EA2D22"/>
    <w:rsid w:val="00EA41B6"/>
    <w:rsid w:val="00EA4513"/>
    <w:rsid w:val="00EA5103"/>
    <w:rsid w:val="00EA6FB9"/>
    <w:rsid w:val="00EA7DCC"/>
    <w:rsid w:val="00EB1C5F"/>
    <w:rsid w:val="00EB4D58"/>
    <w:rsid w:val="00EB5E6A"/>
    <w:rsid w:val="00EB7478"/>
    <w:rsid w:val="00EC2AD7"/>
    <w:rsid w:val="00EC32B1"/>
    <w:rsid w:val="00ED765C"/>
    <w:rsid w:val="00ED781E"/>
    <w:rsid w:val="00ED7DDD"/>
    <w:rsid w:val="00ED7DE0"/>
    <w:rsid w:val="00EE4D1A"/>
    <w:rsid w:val="00EE5075"/>
    <w:rsid w:val="00EE7891"/>
    <w:rsid w:val="00EF49FE"/>
    <w:rsid w:val="00EF5341"/>
    <w:rsid w:val="00EF75F4"/>
    <w:rsid w:val="00F00284"/>
    <w:rsid w:val="00F04908"/>
    <w:rsid w:val="00F07C21"/>
    <w:rsid w:val="00F12EF6"/>
    <w:rsid w:val="00F140D3"/>
    <w:rsid w:val="00F15515"/>
    <w:rsid w:val="00F21065"/>
    <w:rsid w:val="00F22994"/>
    <w:rsid w:val="00F22AB1"/>
    <w:rsid w:val="00F22C46"/>
    <w:rsid w:val="00F24CB4"/>
    <w:rsid w:val="00F303A5"/>
    <w:rsid w:val="00F326FA"/>
    <w:rsid w:val="00F42608"/>
    <w:rsid w:val="00F43465"/>
    <w:rsid w:val="00F43A59"/>
    <w:rsid w:val="00F44C8A"/>
    <w:rsid w:val="00F45475"/>
    <w:rsid w:val="00F46140"/>
    <w:rsid w:val="00F61028"/>
    <w:rsid w:val="00F6412D"/>
    <w:rsid w:val="00F64E72"/>
    <w:rsid w:val="00F66B52"/>
    <w:rsid w:val="00F70C7D"/>
    <w:rsid w:val="00F772FC"/>
    <w:rsid w:val="00F818C3"/>
    <w:rsid w:val="00F8258C"/>
    <w:rsid w:val="00F905C6"/>
    <w:rsid w:val="00F91BB8"/>
    <w:rsid w:val="00F9272E"/>
    <w:rsid w:val="00F97743"/>
    <w:rsid w:val="00FA10FC"/>
    <w:rsid w:val="00FA6DAF"/>
    <w:rsid w:val="00FB1CA8"/>
    <w:rsid w:val="00FC0742"/>
    <w:rsid w:val="00FC093C"/>
    <w:rsid w:val="00FC334B"/>
    <w:rsid w:val="00FC6884"/>
    <w:rsid w:val="00FD1ADC"/>
    <w:rsid w:val="00FD471D"/>
    <w:rsid w:val="00FD6958"/>
    <w:rsid w:val="00FE62F3"/>
    <w:rsid w:val="00FF71D2"/>
    <w:rsid w:val="0378198F"/>
    <w:rsid w:val="03B13132"/>
    <w:rsid w:val="04BF588C"/>
    <w:rsid w:val="0A48126F"/>
    <w:rsid w:val="0B162919"/>
    <w:rsid w:val="0C963376"/>
    <w:rsid w:val="0E342E47"/>
    <w:rsid w:val="0FB117A2"/>
    <w:rsid w:val="15793835"/>
    <w:rsid w:val="174D57FF"/>
    <w:rsid w:val="1794161A"/>
    <w:rsid w:val="199724DC"/>
    <w:rsid w:val="1A6D65E5"/>
    <w:rsid w:val="1B2418A5"/>
    <w:rsid w:val="1B7E7CEF"/>
    <w:rsid w:val="1CD11BE0"/>
    <w:rsid w:val="1DC064A5"/>
    <w:rsid w:val="1FBFC074"/>
    <w:rsid w:val="21611D4D"/>
    <w:rsid w:val="258545E5"/>
    <w:rsid w:val="27A44741"/>
    <w:rsid w:val="296E14AB"/>
    <w:rsid w:val="2A67266B"/>
    <w:rsid w:val="2AA4177F"/>
    <w:rsid w:val="2BFD5D7F"/>
    <w:rsid w:val="2EAB4607"/>
    <w:rsid w:val="31903C8A"/>
    <w:rsid w:val="321E77E6"/>
    <w:rsid w:val="32356A72"/>
    <w:rsid w:val="361433DA"/>
    <w:rsid w:val="36FB9E1F"/>
    <w:rsid w:val="3A6C4320"/>
    <w:rsid w:val="3B8D500F"/>
    <w:rsid w:val="3BFA3B96"/>
    <w:rsid w:val="3CEF3472"/>
    <w:rsid w:val="3EFF16E9"/>
    <w:rsid w:val="3F580C39"/>
    <w:rsid w:val="3FA94B93"/>
    <w:rsid w:val="446B28C7"/>
    <w:rsid w:val="454B2248"/>
    <w:rsid w:val="471B7B88"/>
    <w:rsid w:val="485B09F4"/>
    <w:rsid w:val="4B0F02D7"/>
    <w:rsid w:val="4BD25E89"/>
    <w:rsid w:val="4DA64574"/>
    <w:rsid w:val="5001388B"/>
    <w:rsid w:val="503F20B9"/>
    <w:rsid w:val="520E6AD8"/>
    <w:rsid w:val="55032DA2"/>
    <w:rsid w:val="565D1DDC"/>
    <w:rsid w:val="574F6A08"/>
    <w:rsid w:val="5B70610D"/>
    <w:rsid w:val="5B7E6A7C"/>
    <w:rsid w:val="5F444332"/>
    <w:rsid w:val="5F92747B"/>
    <w:rsid w:val="614147D4"/>
    <w:rsid w:val="624A4DA0"/>
    <w:rsid w:val="62666D2B"/>
    <w:rsid w:val="62D90407"/>
    <w:rsid w:val="692954FF"/>
    <w:rsid w:val="69E2534C"/>
    <w:rsid w:val="6A4B50D1"/>
    <w:rsid w:val="6AE30540"/>
    <w:rsid w:val="6FB07057"/>
    <w:rsid w:val="70A97C9F"/>
    <w:rsid w:val="713F1C3F"/>
    <w:rsid w:val="730D09BA"/>
    <w:rsid w:val="75ED41AE"/>
    <w:rsid w:val="76967998"/>
    <w:rsid w:val="773D7E4F"/>
    <w:rsid w:val="77CF73AC"/>
    <w:rsid w:val="78FF0116"/>
    <w:rsid w:val="7CA419F6"/>
    <w:rsid w:val="7CBD620D"/>
    <w:rsid w:val="7EDC221C"/>
    <w:rsid w:val="7F0F2AEB"/>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Balloon Text"/>
    <w:basedOn w:val="1"/>
    <w:link w:val="16"/>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9">
    <w:name w:val="Emphasis"/>
    <w:basedOn w:val="8"/>
    <w:qFormat/>
    <w:uiPriority w:val="0"/>
    <w:rPr>
      <w:i/>
    </w:rPr>
  </w:style>
  <w:style w:type="paragraph" w:customStyle="1" w:styleId="10">
    <w:name w:val="_Style 6"/>
    <w:basedOn w:val="1"/>
    <w:qFormat/>
    <w:uiPriority w:val="34"/>
    <w:pPr>
      <w:ind w:firstLine="420" w:firstLineChars="200"/>
    </w:pPr>
    <w:rPr>
      <w:rFonts w:ascii="Calibri" w:hAnsi="Calibri"/>
      <w:szCs w:val="22"/>
    </w:rPr>
  </w:style>
  <w:style w:type="paragraph" w:customStyle="1" w:styleId="11">
    <w:name w:val="Char Char Char"/>
    <w:basedOn w:val="1"/>
    <w:qFormat/>
    <w:uiPriority w:val="0"/>
    <w:rPr>
      <w:szCs w:val="21"/>
    </w:rPr>
  </w:style>
  <w:style w:type="paragraph" w:customStyle="1" w:styleId="12">
    <w:name w:val="Char Char Char Char Char Char Char Char Char Char Char Char Char Char Char Char"/>
    <w:basedOn w:val="1"/>
    <w:qFormat/>
    <w:uiPriority w:val="0"/>
  </w:style>
  <w:style w:type="paragraph" w:customStyle="1" w:styleId="13">
    <w:name w:val="Char Char Char1"/>
    <w:basedOn w:val="1"/>
    <w:qFormat/>
    <w:uiPriority w:val="0"/>
  </w:style>
  <w:style w:type="character" w:customStyle="1" w:styleId="14">
    <w:name w:val="页脚 字符"/>
    <w:basedOn w:val="8"/>
    <w:link w:val="4"/>
    <w:qFormat/>
    <w:uiPriority w:val="0"/>
    <w:rPr>
      <w:kern w:val="2"/>
      <w:sz w:val="18"/>
      <w:szCs w:val="18"/>
    </w:rPr>
  </w:style>
  <w:style w:type="character" w:customStyle="1" w:styleId="15">
    <w:name w:val="页眉 字符"/>
    <w:basedOn w:val="8"/>
    <w:link w:val="5"/>
    <w:qFormat/>
    <w:uiPriority w:val="0"/>
    <w:rPr>
      <w:kern w:val="2"/>
      <w:sz w:val="18"/>
      <w:szCs w:val="18"/>
    </w:rPr>
  </w:style>
  <w:style w:type="character" w:customStyle="1" w:styleId="16">
    <w:name w:val="批注框文本 字符"/>
    <w:basedOn w:val="8"/>
    <w:link w:val="3"/>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1940</Words>
  <Characters>1981</Characters>
  <Lines>184</Lines>
  <Paragraphs>152</Paragraphs>
  <TotalTime>34</TotalTime>
  <ScaleCrop>false</ScaleCrop>
  <LinksUpToDate>false</LinksUpToDate>
  <CharactersWithSpaces>2067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2023-11-17T06:12:00Z</dcterms:created>
  <dc:creator>微软用户</dc:creator>
  <cp:lastModifiedBy>穀</cp:lastModifiedBy>
  <cp:lastPrinted>2024-01-23T06:04:00Z</cp:lastPrinted>
  <dcterms:modified xsi:type="dcterms:W3CDTF">2025-07-22T08:20:33Z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21FCD3B57744401FAB40882FAA9D34F4_13</vt:lpwstr>
  </property>
  <property fmtid="{D5CDD505-2E9C-101B-9397-08002B2CF9AE}" pid="4" name="KSOTemplateDocerSaveRecord">
    <vt:lpwstr>eyJoZGlkIjoiOGFiZWIyNjFhZDdlNmFmYWZjMzdlODllYjI5ZDBjYjkiLCJ1c2VySWQiOiI0MDcyMzU5MDEifQ==</vt:lpwstr>
  </property>
</Properties>
</file>