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b/>
          <w:color w:val="FF0000"/>
          <w:w w:val="95"/>
          <w:kern w:val="0"/>
          <w:sz w:val="44"/>
          <w:szCs w:val="116"/>
        </w:rPr>
      </w:pPr>
      <w:bookmarkStart w:id="1" w:name="_GoBack"/>
      <w:bookmarkEnd w:id="1"/>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snapToGrid w:val="0"/>
          <w:spacing w:val="85"/>
          <w:w w:val="90"/>
          <w:sz w:val="72"/>
          <w:szCs w:val="72"/>
        </w:rPr>
      </w:pPr>
      <w:r>
        <w:rPr>
          <w:rFonts w:hint="eastAsia" w:ascii="方正小标宋简体" w:hAnsi="方正小标宋简体" w:eastAsia="方正小标宋简体"/>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r>
        <w:rPr>
          <w:rFonts w:hint="eastAsia" w:ascii="仿宋_GB2312" w:hAnsi="Times New Roman" w:eastAsia="仿宋_GB2312" w:cs="Times New Roman"/>
          <w:color w:val="000000"/>
          <w:spacing w:val="12"/>
          <w:sz w:val="28"/>
          <w:szCs w:val="20"/>
        </w:rPr>
        <w:t>〔20</w:t>
      </w:r>
      <w:r>
        <w:rPr>
          <w:rFonts w:hint="eastAsia" w:ascii="仿宋_GB2312" w:hAnsi="Times New Roman" w:eastAsia="仿宋_GB2312" w:cs="Times New Roman"/>
          <w:color w:val="000000"/>
          <w:spacing w:val="12"/>
          <w:sz w:val="28"/>
          <w:szCs w:val="20"/>
          <w:lang w:val="en-US" w:eastAsia="zh-CN"/>
        </w:rPr>
        <w:t>2</w:t>
      </w:r>
      <w:r>
        <w:rPr>
          <w:rFonts w:hint="default" w:ascii="仿宋_GB2312" w:hAnsi="Times New Roman" w:eastAsia="仿宋_GB2312" w:cs="Times New Roman"/>
          <w:color w:val="000000"/>
          <w:spacing w:val="12"/>
          <w:sz w:val="28"/>
          <w:szCs w:val="20"/>
          <w:lang w:val="en-US" w:eastAsia="zh-CN"/>
        </w:rPr>
        <w:t>5</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75</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sz w:val="28"/>
          <w:szCs w:val="28"/>
        </w:rPr>
      </w:pPr>
      <w:r>
        <w:rPr>
          <w:rFonts w:ascii="Times New Roman" w:hAnsi="Times New Roman"/>
          <w:szCs w:val="20"/>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zC+1ktYAAAAIAQAADwAAAAAAAAABACAAAAA4AAAAZHJzL2Rvd25yZXYueG1s&#10;UEsBAhQAFAAAAAgAh07iQCiR+N7kAQAAqgMAAA4AAAAAAAAAAQAgAAAAOwEAAGRycy9lMm9Eb2Mu&#10;eG1sUEsFBgAAAAAGAAYAWQEAAJEFAAAAAA==&#10;">
                <v:fill on="f" focussize="0,0"/>
                <v:stroke weight="1pt" color="#FF0000" joinstyle="round"/>
                <v:imagedata o:title=""/>
                <o:lock v:ext="edit" aspectratio="f"/>
              </v:line>
            </w:pict>
          </mc:Fallback>
        </mc:AlternateContent>
      </w:r>
    </w:p>
    <w:p>
      <w:pPr>
        <w:jc w:val="center"/>
        <w:rPr>
          <w:rFonts w:hint="eastAsia" w:ascii="Times New Roman" w:hAnsi="Times New Roman"/>
          <w:sz w:val="28"/>
          <w:szCs w:val="28"/>
        </w:rPr>
      </w:pPr>
    </w:p>
    <w:p>
      <w:pPr>
        <w:widowControl w:val="0"/>
        <w:wordWrap/>
        <w:adjustRightInd w:val="0"/>
        <w:snapToGrid w:val="0"/>
        <w:spacing w:beforeLines="0" w:afterLines="0" w:line="240" w:lineRule="auto"/>
        <w:jc w:val="center"/>
        <w:textAlignment w:val="auto"/>
        <w:outlineLvl w:val="0"/>
        <w:rPr>
          <w:rFonts w:hint="eastAsia" w:ascii="方正小标宋简体" w:hAnsi="方正小标宋简体" w:eastAsia="方正小标宋简体" w:cs="方正小标宋简体"/>
          <w:sz w:val="44"/>
          <w:szCs w:val="44"/>
          <w:highlight w:val="none"/>
          <w:lang w:eastAsia="zh-CN"/>
        </w:rPr>
      </w:pPr>
      <w:bookmarkStart w:id="0" w:name="quanwen"/>
      <w:r>
        <w:rPr>
          <w:rFonts w:hint="eastAsia" w:ascii="方正小标宋简体" w:hAnsi="方正小标宋简体" w:eastAsia="方正小标宋简体" w:cs="方正小标宋简体"/>
          <w:sz w:val="44"/>
          <w:szCs w:val="44"/>
          <w:highlight w:val="none"/>
        </w:rPr>
        <w:t>关于对</w:t>
      </w:r>
      <w:r>
        <w:rPr>
          <w:rFonts w:hint="eastAsia" w:ascii="方正小标宋简体" w:hAnsi="方正小标宋简体" w:eastAsia="方正小标宋简体" w:cs="方正小标宋简体"/>
          <w:sz w:val="44"/>
          <w:szCs w:val="44"/>
          <w:highlight w:val="none"/>
          <w:lang w:eastAsia="zh-CN"/>
        </w:rPr>
        <w:t>中山慧众企业管理咨询合伙企业</w:t>
      </w:r>
    </w:p>
    <w:p>
      <w:pPr>
        <w:widowControl w:val="0"/>
        <w:wordWrap/>
        <w:adjustRightInd w:val="0"/>
        <w:snapToGrid w:val="0"/>
        <w:spacing w:beforeLines="0" w:afterLines="0" w:line="240" w:lineRule="auto"/>
        <w:jc w:val="center"/>
        <w:textAlignment w:val="auto"/>
        <w:outlineLvl w:val="0"/>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（有限合伙）</w:t>
      </w:r>
      <w:r>
        <w:rPr>
          <w:rFonts w:hint="eastAsia" w:ascii="方正小标宋简体" w:hAnsi="方正小标宋简体" w:eastAsia="方正小标宋简体" w:cs="方正小标宋简体"/>
          <w:sz w:val="44"/>
          <w:szCs w:val="44"/>
          <w:highlight w:val="none"/>
        </w:rPr>
        <w:t>采取</w:t>
      </w:r>
      <w:r>
        <w:rPr>
          <w:rFonts w:hint="eastAsia" w:ascii="方正小标宋简体" w:hAnsi="方正小标宋简体" w:eastAsia="方正小标宋简体" w:cs="方正小标宋简体"/>
          <w:sz w:val="44"/>
          <w:szCs w:val="44"/>
          <w:highlight w:val="none"/>
          <w:lang w:eastAsia="zh-CN"/>
        </w:rPr>
        <w:t>责令购回并上缴</w:t>
      </w:r>
    </w:p>
    <w:p>
      <w:pPr>
        <w:widowControl w:val="0"/>
        <w:wordWrap/>
        <w:adjustRightInd w:val="0"/>
        <w:snapToGrid w:val="0"/>
        <w:spacing w:beforeLines="0" w:afterLines="0" w:line="240" w:lineRule="auto"/>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价差</w:t>
      </w:r>
      <w:r>
        <w:rPr>
          <w:rFonts w:hint="eastAsia" w:ascii="方正小标宋简体" w:hAnsi="方正小标宋简体" w:eastAsia="方正小标宋简体" w:cs="方正小标宋简体"/>
          <w:sz w:val="44"/>
          <w:szCs w:val="44"/>
          <w:highlight w:val="none"/>
        </w:rPr>
        <w:t>措施</w:t>
      </w:r>
      <w:r>
        <w:rPr>
          <w:rFonts w:hint="eastAsia" w:ascii="方正小标宋简体" w:hAnsi="方正小标宋简体" w:eastAsia="方正小标宋简体" w:cs="方正小标宋简体"/>
          <w:sz w:val="44"/>
          <w:szCs w:val="44"/>
          <w:highlight w:val="none"/>
          <w:lang w:eastAsia="zh-CN"/>
        </w:rPr>
        <w:t>的</w:t>
      </w:r>
      <w:r>
        <w:rPr>
          <w:rFonts w:hint="eastAsia" w:ascii="方正小标宋简体" w:hAnsi="方正小标宋简体" w:eastAsia="方正小标宋简体" w:cs="方正小标宋简体"/>
          <w:sz w:val="44"/>
          <w:szCs w:val="44"/>
          <w:highlight w:val="none"/>
        </w:rPr>
        <w:t>决定</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ind w:left="0" w:leftChars="0" w:right="0" w:firstLine="0" w:firstLineChars="0"/>
        <w:textAlignment w:val="auto"/>
        <w:outlineLvl w:val="9"/>
        <w:rPr>
          <w:rFonts w:hint="eastAsia" w:ascii="方正小标宋简体" w:hAnsi="方正小标宋简体" w:eastAsia="方正小标宋简体" w:cs="方正小标宋简体"/>
          <w:color w:val="auto"/>
          <w:spacing w:val="0"/>
          <w:sz w:val="32"/>
          <w:szCs w:val="30"/>
          <w:highlight w:val="none"/>
          <w:lang w:val="en-US" w:eastAsia="zh-CN"/>
        </w:rPr>
      </w:pPr>
    </w:p>
    <w:p>
      <w:pPr>
        <w:numPr>
          <w:ilvl w:val="0"/>
          <w:numId w:val="0"/>
        </w:numPr>
        <w:wordWrap/>
        <w:overflowPunct w:val="0"/>
        <w:adjustRightInd w:val="0"/>
        <w:snapToGrid w:val="0"/>
        <w:spacing w:beforeLines="0" w:afterLines="0" w:line="336" w:lineRule="auto"/>
        <w:ind w:left="0" w:leftChars="0" w:right="0" w:firstLine="0" w:firstLineChars="0"/>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中山慧众企业管理咨询合伙企业（有限合伙）：</w:t>
      </w:r>
    </w:p>
    <w:p>
      <w:pPr>
        <w:overflowPunct w:val="0"/>
        <w:adjustRightInd w:val="0"/>
        <w:snapToGrid w:val="0"/>
        <w:spacing w:beforeLines="0" w:afterLines="0" w:line="336" w:lineRule="auto"/>
        <w:ind w:firstLine="640" w:firstLineChars="200"/>
        <w:outlineLvl w:val="9"/>
        <w:rPr>
          <w:rFonts w:hint="default" w:ascii="仿宋_GB2312" w:hAnsi="仿宋_GB2312" w:eastAsia="仿宋_GB2312" w:cs="仿宋_GB2312"/>
          <w:kern w:val="2"/>
          <w:sz w:val="32"/>
          <w:szCs w:val="32"/>
          <w:highlight w:val="none"/>
          <w:lang w:val="en" w:eastAsia="zh-CN" w:bidi="ar-SA"/>
        </w:rPr>
      </w:pPr>
      <w:r>
        <w:rPr>
          <w:rFonts w:hint="eastAsia" w:ascii="仿宋_GB2312" w:hAnsi="仿宋_GB2312" w:eastAsia="仿宋_GB2312" w:cs="仿宋_GB2312"/>
          <w:sz w:val="32"/>
          <w:szCs w:val="32"/>
          <w:highlight w:val="none"/>
          <w:lang w:val="en-US" w:eastAsia="zh-CN"/>
        </w:rPr>
        <w:t>经查，你企业作为广东明阳电气股份有限公司</w:t>
      </w:r>
      <w:r>
        <w:rPr>
          <w:rFonts w:hint="eastAsia" w:ascii="仿宋_GB2312" w:hAnsi="仿宋_GB2312" w:eastAsia="仿宋_GB2312" w:cs="仿宋_GB2312"/>
          <w:kern w:val="2"/>
          <w:sz w:val="32"/>
          <w:szCs w:val="32"/>
          <w:highlight w:val="none"/>
          <w:lang w:val="en-US" w:eastAsia="zh-CN" w:bidi="ar-SA"/>
        </w:rPr>
        <w:t>（以下简称明阳电气或公司）首次公开发行股票上市前股东，在公司招股说明书中承诺减持上述股份时价格不低于公司首次公开发行股票时发行价格，公司首次公开发行股票发行价格经除权除息调整后为36.69元</w:t>
      </w:r>
      <w:r>
        <w:rPr>
          <w:rFonts w:hint="default" w:ascii="仿宋_GB2312" w:hAnsi="仿宋_GB2312" w:eastAsia="仿宋_GB2312" w:cs="仿宋_GB2312"/>
          <w:kern w:val="2"/>
          <w:sz w:val="32"/>
          <w:szCs w:val="32"/>
          <w:highlight w:val="none"/>
          <w:lang w:val="en" w:eastAsia="zh-CN" w:bidi="ar-SA"/>
        </w:rPr>
        <w:t>/</w:t>
      </w:r>
      <w:r>
        <w:rPr>
          <w:rFonts w:hint="eastAsia" w:ascii="仿宋_GB2312" w:hAnsi="仿宋_GB2312" w:eastAsia="仿宋_GB2312" w:cs="仿宋_GB2312"/>
          <w:kern w:val="2"/>
          <w:sz w:val="32"/>
          <w:szCs w:val="32"/>
          <w:highlight w:val="none"/>
          <w:lang w:val="en" w:eastAsia="zh-CN" w:bidi="ar-SA"/>
        </w:rPr>
        <w:t>股</w:t>
      </w:r>
      <w:r>
        <w:rPr>
          <w:rFonts w:hint="eastAsia" w:ascii="仿宋_GB2312" w:hAnsi="仿宋_GB2312" w:eastAsia="仿宋_GB2312" w:cs="仿宋_GB2312"/>
          <w:kern w:val="2"/>
          <w:sz w:val="32"/>
          <w:szCs w:val="32"/>
          <w:highlight w:val="none"/>
          <w:lang w:val="en-US" w:eastAsia="zh-CN" w:bidi="ar-SA"/>
        </w:rPr>
        <w:t>。2025年7月8日，你企业以36.60元</w:t>
      </w:r>
      <w:r>
        <w:rPr>
          <w:rFonts w:hint="default" w:ascii="仿宋_GB2312" w:hAnsi="仿宋_GB2312" w:eastAsia="仿宋_GB2312" w:cs="仿宋_GB2312"/>
          <w:kern w:val="2"/>
          <w:sz w:val="32"/>
          <w:szCs w:val="32"/>
          <w:highlight w:val="none"/>
          <w:lang w:val="en" w:eastAsia="zh-CN" w:bidi="ar-SA"/>
        </w:rPr>
        <w:t>/</w:t>
      </w:r>
      <w:r>
        <w:rPr>
          <w:rFonts w:hint="eastAsia" w:ascii="仿宋_GB2312" w:hAnsi="仿宋_GB2312" w:eastAsia="仿宋_GB2312" w:cs="仿宋_GB2312"/>
          <w:kern w:val="2"/>
          <w:sz w:val="32"/>
          <w:szCs w:val="32"/>
          <w:highlight w:val="none"/>
          <w:lang w:val="en" w:eastAsia="zh-CN" w:bidi="ar-SA"/>
        </w:rPr>
        <w:t>股的价格减持</w:t>
      </w:r>
      <w:r>
        <w:rPr>
          <w:rFonts w:hint="eastAsia" w:ascii="仿宋_GB2312" w:hAnsi="仿宋_GB2312" w:eastAsia="仿宋_GB2312" w:cs="仿宋_GB2312"/>
          <w:kern w:val="2"/>
          <w:sz w:val="32"/>
          <w:szCs w:val="32"/>
          <w:highlight w:val="none"/>
          <w:lang w:val="en-US" w:eastAsia="zh-CN" w:bidi="ar-SA"/>
        </w:rPr>
        <w:t>11万股公司股票，占总股本的0.04%，减持金额402.6万元。上述行为违反了《上市公司股东减持股份管理暂行办法》（证监会令第224号，下同）第四条第二款的规定。</w:t>
      </w:r>
    </w:p>
    <w:p>
      <w:pPr>
        <w:overflowPunct w:val="0"/>
        <w:adjustRightInd w:val="0"/>
        <w:snapToGrid w:val="0"/>
        <w:spacing w:beforeLines="0" w:afterLines="0" w:line="336" w:lineRule="auto"/>
        <w:ind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根据《上市公司股东减持股份管理暂行办法》第二十九条的规定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我局</w:t>
      </w:r>
      <w:r>
        <w:rPr>
          <w:rFonts w:hint="eastAsia" w:ascii="仿宋_GB2312" w:hAnsi="仿宋_GB2312" w:eastAsia="仿宋_GB2312" w:cs="仿宋_GB2312"/>
          <w:sz w:val="32"/>
          <w:szCs w:val="32"/>
          <w:highlight w:val="none"/>
        </w:rPr>
        <w:t>决定对</w:t>
      </w:r>
      <w:r>
        <w:rPr>
          <w:rFonts w:hint="default" w:ascii="仿宋_GB2312" w:hAnsi="仿宋_GB2312" w:eastAsia="仿宋_GB2312" w:cs="仿宋_GB2312"/>
          <w:sz w:val="32"/>
          <w:szCs w:val="32"/>
          <w:highlight w:val="none"/>
          <w:lang w:val="en"/>
        </w:rPr>
        <w:t>你</w:t>
      </w:r>
      <w:r>
        <w:rPr>
          <w:rFonts w:hint="eastAsia" w:ascii="仿宋_GB2312" w:hAnsi="仿宋_GB2312" w:eastAsia="仿宋_GB2312" w:cs="仿宋_GB2312"/>
          <w:sz w:val="32"/>
          <w:szCs w:val="32"/>
          <w:highlight w:val="none"/>
          <w:lang w:val="en" w:eastAsia="zh-CN"/>
        </w:rPr>
        <w:t>企业</w:t>
      </w:r>
      <w:r>
        <w:rPr>
          <w:rFonts w:hint="eastAsia" w:ascii="仿宋_GB2312" w:hAnsi="仿宋_GB2312" w:eastAsia="仿宋_GB2312" w:cs="仿宋_GB2312"/>
          <w:sz w:val="32"/>
          <w:szCs w:val="32"/>
          <w:highlight w:val="none"/>
        </w:rPr>
        <w:t>采取</w:t>
      </w:r>
      <w:r>
        <w:rPr>
          <w:rFonts w:hint="eastAsia" w:ascii="仿宋_GB2312" w:hAnsi="仿宋_GB2312" w:eastAsia="仿宋_GB2312" w:cs="仿宋_GB2312"/>
          <w:sz w:val="32"/>
          <w:szCs w:val="32"/>
          <w:highlight w:val="none"/>
          <w:lang w:eastAsia="zh-CN"/>
        </w:rPr>
        <w:t>责令购回并上缴价差的行政监管</w:t>
      </w:r>
      <w:r>
        <w:rPr>
          <w:rFonts w:hint="eastAsia" w:ascii="仿宋_GB2312" w:hAnsi="仿宋_GB2312" w:eastAsia="仿宋_GB2312" w:cs="仿宋_GB2312"/>
          <w:sz w:val="32"/>
          <w:szCs w:val="32"/>
          <w:highlight w:val="none"/>
        </w:rPr>
        <w:t>措施</w:t>
      </w:r>
      <w:r>
        <w:rPr>
          <w:rFonts w:hint="eastAsia" w:ascii="仿宋_GB2312" w:hAnsi="仿宋_GB2312" w:eastAsia="仿宋_GB2312" w:cs="仿宋_GB2312"/>
          <w:sz w:val="32"/>
          <w:szCs w:val="32"/>
          <w:highlight w:val="none"/>
          <w:lang w:eastAsia="zh-CN"/>
        </w:rPr>
        <w:t>，责令你企业自收到本决定书之日起</w:t>
      </w:r>
      <w:r>
        <w:rPr>
          <w:rFonts w:hint="eastAsia" w:ascii="仿宋_GB2312" w:hAnsi="仿宋_GB2312" w:eastAsia="仿宋_GB2312" w:cs="仿宋_GB2312"/>
          <w:sz w:val="32"/>
          <w:szCs w:val="32"/>
          <w:highlight w:val="none"/>
          <w:lang w:val="en-US" w:eastAsia="zh-CN"/>
        </w:rPr>
        <w:t>7个交易日内购回违规减持股份并向明阳电气上缴价差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pacing w:val="0"/>
          <w:kern w:val="0"/>
          <w:sz w:val="32"/>
          <w:szCs w:val="32"/>
          <w:highlight w:val="none"/>
          <w:lang w:eastAsia="zh-CN"/>
        </w:rPr>
        <w:t>你企业</w:t>
      </w:r>
      <w:r>
        <w:rPr>
          <w:rFonts w:hint="eastAsia" w:ascii="仿宋_GB2312" w:hAnsi="仿宋_GB2312" w:eastAsia="仿宋_GB2312" w:cs="仿宋_GB2312"/>
          <w:color w:val="000000"/>
          <w:spacing w:val="0"/>
          <w:kern w:val="0"/>
          <w:sz w:val="32"/>
          <w:szCs w:val="32"/>
          <w:highlight w:val="none"/>
        </w:rPr>
        <w:t>应认真吸取教训，加强证券法律法规学习，</w:t>
      </w:r>
      <w:r>
        <w:rPr>
          <w:rFonts w:hint="eastAsia" w:ascii="仿宋_GB2312" w:hAnsi="仿宋_GB2312" w:eastAsia="仿宋_GB2312" w:cs="仿宋_GB2312"/>
          <w:color w:val="000000"/>
          <w:spacing w:val="0"/>
          <w:kern w:val="0"/>
          <w:sz w:val="32"/>
          <w:szCs w:val="32"/>
          <w:highlight w:val="none"/>
          <w:lang w:eastAsia="zh-CN"/>
        </w:rPr>
        <w:t>切实规范减持上市公司股份行为，</w:t>
      </w:r>
      <w:r>
        <w:rPr>
          <w:rFonts w:hint="eastAsia" w:ascii="仿宋_GB2312" w:hAnsi="仿宋_GB2312" w:eastAsia="仿宋_GB2312" w:cs="仿宋_GB2312"/>
          <w:color w:val="000000"/>
          <w:spacing w:val="0"/>
          <w:kern w:val="0"/>
          <w:sz w:val="32"/>
          <w:szCs w:val="32"/>
          <w:highlight w:val="none"/>
        </w:rPr>
        <w:t>依法</w:t>
      </w:r>
      <w:r>
        <w:rPr>
          <w:rFonts w:hint="eastAsia" w:ascii="仿宋_GB2312" w:hAnsi="仿宋_GB2312" w:eastAsia="仿宋_GB2312" w:cs="仿宋_GB2312"/>
          <w:color w:val="000000"/>
          <w:spacing w:val="0"/>
          <w:kern w:val="0"/>
          <w:sz w:val="32"/>
          <w:szCs w:val="32"/>
          <w:highlight w:val="none"/>
          <w:lang w:eastAsia="zh-CN"/>
        </w:rPr>
        <w:t>依规</w:t>
      </w:r>
      <w:r>
        <w:rPr>
          <w:rFonts w:hint="eastAsia" w:ascii="仿宋_GB2312" w:hAnsi="仿宋_GB2312" w:eastAsia="仿宋_GB2312" w:cs="仿宋_GB2312"/>
          <w:color w:val="000000"/>
          <w:spacing w:val="0"/>
          <w:kern w:val="0"/>
          <w:sz w:val="32"/>
          <w:szCs w:val="32"/>
          <w:highlight w:val="none"/>
        </w:rPr>
        <w:t>履行</w:t>
      </w:r>
      <w:r>
        <w:rPr>
          <w:rFonts w:hint="eastAsia" w:ascii="仿宋_GB2312" w:hAnsi="仿宋_GB2312" w:eastAsia="仿宋_GB2312" w:cs="仿宋_GB2312"/>
          <w:color w:val="000000"/>
          <w:spacing w:val="0"/>
          <w:kern w:val="0"/>
          <w:sz w:val="32"/>
          <w:szCs w:val="32"/>
          <w:highlight w:val="none"/>
          <w:lang w:eastAsia="zh-CN"/>
        </w:rPr>
        <w:t>相关</w:t>
      </w:r>
      <w:r>
        <w:rPr>
          <w:rFonts w:hint="eastAsia" w:ascii="仿宋_GB2312" w:hAnsi="仿宋_GB2312" w:eastAsia="仿宋_GB2312" w:cs="仿宋_GB2312"/>
          <w:color w:val="000000"/>
          <w:spacing w:val="0"/>
          <w:kern w:val="0"/>
          <w:sz w:val="32"/>
          <w:szCs w:val="32"/>
          <w:highlight w:val="none"/>
        </w:rPr>
        <w:t>信息披露义务</w:t>
      </w:r>
      <w:r>
        <w:rPr>
          <w:rFonts w:hint="eastAsia" w:ascii="仿宋_GB2312" w:hAnsi="仿宋_GB2312" w:eastAsia="仿宋_GB2312" w:cs="仿宋_GB2312"/>
          <w:color w:val="000000"/>
          <w:spacing w:val="0"/>
          <w:kern w:val="0"/>
          <w:sz w:val="32"/>
          <w:szCs w:val="32"/>
          <w:highlight w:val="none"/>
          <w:lang w:eastAsia="zh-CN"/>
        </w:rPr>
        <w:t>，杜绝此类违规行为再次发生。</w:t>
      </w:r>
      <w:r>
        <w:rPr>
          <w:rFonts w:hint="eastAsia" w:ascii="仿宋_GB2312" w:hAnsi="仿宋_GB2312" w:eastAsia="仿宋_GB2312" w:cs="仿宋_GB2312"/>
          <w:sz w:val="32"/>
          <w:szCs w:val="32"/>
          <w:highlight w:val="none"/>
          <w:lang w:val="en-US" w:eastAsia="zh-CN"/>
        </w:rPr>
        <w:t>同时，</w:t>
      </w:r>
      <w:r>
        <w:rPr>
          <w:rFonts w:hint="default" w:ascii="仿宋_GB2312" w:hAnsi="仿宋_GB2312" w:eastAsia="仿宋_GB2312" w:cs="仿宋_GB2312"/>
          <w:sz w:val="32"/>
          <w:szCs w:val="32"/>
          <w:highlight w:val="none"/>
          <w:lang w:val="en" w:eastAsia="zh-CN"/>
        </w:rPr>
        <w:t>你</w:t>
      </w:r>
      <w:r>
        <w:rPr>
          <w:rFonts w:hint="eastAsia" w:ascii="仿宋_GB2312" w:hAnsi="仿宋_GB2312" w:eastAsia="仿宋_GB2312" w:cs="仿宋_GB2312"/>
          <w:sz w:val="32"/>
          <w:szCs w:val="32"/>
          <w:highlight w:val="none"/>
          <w:lang w:val="en" w:eastAsia="zh-CN"/>
        </w:rPr>
        <w:t>企业</w:t>
      </w:r>
      <w:r>
        <w:rPr>
          <w:rFonts w:hint="eastAsia" w:ascii="仿宋_GB2312" w:hAnsi="仿宋_GB2312" w:eastAsia="仿宋_GB2312" w:cs="仿宋_GB2312"/>
          <w:sz w:val="32"/>
          <w:szCs w:val="32"/>
          <w:highlight w:val="none"/>
          <w:lang w:val="en-US" w:eastAsia="zh-CN"/>
        </w:rPr>
        <w:t>应于收到本决定书15日内向我局报送整改报告，并抄报深圳证券交易所。</w:t>
      </w:r>
    </w:p>
    <w:p>
      <w:pPr>
        <w:overflowPunct w:val="0"/>
        <w:adjustRightInd w:val="0"/>
        <w:snapToGrid w:val="0"/>
        <w:spacing w:beforeLines="0" w:afterLines="0" w:line="336" w:lineRule="auto"/>
        <w:ind w:firstLine="640"/>
        <w:jc w:val="both"/>
        <w:outlineLvl w:val="9"/>
        <w:rPr>
          <w:rFonts w:hint="eastAsia" w:ascii="宋体" w:hAnsi="宋体" w:cs="宋体"/>
          <w:color w:val="auto"/>
          <w:sz w:val="28"/>
          <w:szCs w:val="28"/>
          <w:highlight w:val="none"/>
        </w:rPr>
      </w:pPr>
      <w:r>
        <w:rPr>
          <w:rFonts w:hint="eastAsia" w:ascii="仿宋_GB2312" w:hAnsi="仿宋_GB2312" w:eastAsia="仿宋_GB2312" w:cs="仿宋_GB2312"/>
          <w:color w:val="000000"/>
          <w:spacing w:val="0"/>
          <w:kern w:val="2"/>
          <w:sz w:val="32"/>
          <w:szCs w:val="32"/>
          <w:highlight w:val="none"/>
          <w:lang w:val="en-US" w:eastAsia="zh-CN" w:bidi="ar-SA"/>
        </w:rPr>
        <w:t>如果对本监督管理措施不服，可以在收到本决定书之日起60日内向中国证券监督管理委员会提出行政复议申请,也可以在收到本决定书之日起6个月内向有管辖权的人民法院提起诉讼。复议与诉讼期间，上述监督管理措施不停止执行。</w:t>
      </w:r>
    </w:p>
    <w:p>
      <w:pPr>
        <w:widowControl w:val="0"/>
        <w:overflowPunct w:val="0"/>
        <w:snapToGrid w:val="0"/>
        <w:spacing w:line="360" w:lineRule="auto"/>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0"/>
        </w:rPr>
      </w:pPr>
      <w:r>
        <w:rPr>
          <w:rFonts w:hint="eastAsia" w:ascii="仿宋_GB2312" w:hAnsi="Times New Roman" w:eastAsia="仿宋_GB2312" w:cs="Times New Roman"/>
          <w:color w:val="000000"/>
          <w:sz w:val="32"/>
          <w:szCs w:val="20"/>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rPr>
          <w:rFonts w:ascii="Times New Roman" w:hAnsi="Times New Roman" w:eastAsia="宋体" w:cs="Times New Roman"/>
          <w:szCs w:val="20"/>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hAnsi="Times New Roman" w:eastAsia="仿宋_GB2312" w:cs="Times New Roman"/>
          <w:color w:val="000000"/>
          <w:spacing w:val="10"/>
          <w:sz w:val="32"/>
          <w:szCs w:val="32"/>
          <w:lang w:val="en-US" w:eastAsia="zh-CN"/>
        </w:rPr>
        <w:t>7</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18</w:t>
      </w:r>
      <w:r>
        <w:rPr>
          <w:rFonts w:hint="eastAsia" w:ascii="仿宋_GB2312" w:hAnsi="Times New Roman" w:eastAsia="仿宋_GB2312" w:cs="Times New Roman"/>
          <w:color w:val="000000"/>
          <w:spacing w:val="10"/>
          <w:sz w:val="32"/>
          <w:szCs w:val="32"/>
        </w:rPr>
        <w:t>日</w:t>
      </w:r>
    </w:p>
    <w:p>
      <w:pPr>
        <w:keepNext w:val="0"/>
        <w:keepLines w:val="0"/>
        <w:widowControl/>
        <w:suppressLineNumbers w:val="0"/>
        <w:snapToGrid w:val="0"/>
        <w:spacing w:line="360" w:lineRule="auto"/>
        <w:jc w:val="lef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snapToGrid w:val="0"/>
        <w:spacing w:line="300" w:lineRule="auto"/>
        <w:ind w:right="26"/>
        <w:jc w:val="left"/>
        <w:rPr>
          <w:rFonts w:hint="eastAsia" w:ascii="黑体" w:hAnsi="Times New Roman" w:eastAsia="黑体" w:cs="Times New Roman"/>
          <w:spacing w:val="8"/>
          <w:sz w:val="28"/>
          <w:szCs w:val="22"/>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ascii="长城仿宋" w:hAnsi="Times New Roman" w:eastAsia="长城仿宋" w:cs="Times New Roman"/>
          <w:sz w:val="28"/>
          <w:szCs w:val="20"/>
        </w:rPr>
      </w:pPr>
      <w:r>
        <w:rPr>
          <w:rFonts w:hint="eastAsia" w:ascii="仿宋_GB2312" w:hAnsi="Times New Roman" w:eastAsia="仿宋_GB2312" w:cs="Times New Roman"/>
          <w:spacing w:val="8"/>
          <w:sz w:val="28"/>
          <w:szCs w:val="20"/>
        </w:rPr>
        <w:t>抄送：证监会上市司、法治司；深圳证券交易所。</w:t>
      </w:r>
    </w:p>
    <w:p>
      <w:pPr>
        <w:keepNext w:val="0"/>
        <w:keepLines w:val="0"/>
        <w:pageBreakBefore w:val="0"/>
        <w:widowControl w:val="0"/>
        <w:pBdr>
          <w:top w:val="single" w:color="auto" w:sz="4" w:space="6"/>
        </w:pBdr>
        <w:kinsoku/>
        <w:wordWrap/>
        <w:overflowPunct/>
        <w:topLinePunct w:val="0"/>
        <w:autoSpaceDE/>
        <w:autoSpaceDN/>
        <w:bidi w:val="0"/>
        <w:adjustRightInd w:val="0"/>
        <w:snapToGrid w:val="0"/>
        <w:spacing w:after="109" w:afterLines="35"/>
        <w:ind w:firstLine="296" w:firstLineChars="100"/>
        <w:jc w:val="left"/>
        <w:textAlignment w:val="auto"/>
        <w:rPr>
          <w:rFonts w:hint="eastAsia" w:ascii="仿宋_GB2312" w:hAnsi="Times New Roman" w:eastAsia="仿宋_GB2312" w:cs="Times New Roman"/>
          <w:spacing w:val="8"/>
          <w:sz w:val="28"/>
          <w:szCs w:val="20"/>
        </w:rPr>
      </w:pPr>
      <w:r>
        <w:rPr>
          <w:rFonts w:hint="eastAsia" w:ascii="仿宋_GB2312" w:hAnsi="Times New Roman" w:eastAsia="仿宋_GB2312" w:cs="Times New Roman"/>
          <w:spacing w:val="8"/>
          <w:sz w:val="28"/>
          <w:szCs w:val="20"/>
        </w:rPr>
        <w:t xml:space="preserve">广东证监局办公室              </w:t>
      </w:r>
      <w:r>
        <w:rPr>
          <w:rFonts w:hint="default" w:ascii="仿宋_GB2312" w:hAnsi="Times New Roman" w:eastAsia="仿宋_GB2312" w:cs="Times New Roman"/>
          <w:spacing w:val="8"/>
          <w:sz w:val="28"/>
          <w:szCs w:val="20"/>
          <w:lang w:val="en-US"/>
        </w:rPr>
        <w:t xml:space="preserve">    </w:t>
      </w:r>
      <w:r>
        <w:rPr>
          <w:rFonts w:hint="eastAsia" w:ascii="仿宋_GB2312" w:hAnsi="Times New Roman" w:eastAsia="仿宋_GB2312" w:cs="Times New Roman"/>
          <w:spacing w:val="8"/>
          <w:sz w:val="28"/>
          <w:szCs w:val="20"/>
        </w:rPr>
        <w:t xml:space="preserve"> </w:t>
      </w:r>
      <w:r>
        <w:rPr>
          <w:rFonts w:hint="default" w:ascii="仿宋_GB2312" w:hAnsi="Times New Roman" w:eastAsia="仿宋_GB2312" w:cs="Times New Roman"/>
          <w:spacing w:val="8"/>
          <w:sz w:val="28"/>
          <w:szCs w:val="20"/>
          <w:lang w:val="en" w:eastAsia="zh-CN"/>
        </w:rPr>
        <w:t>202</w:t>
      </w:r>
      <w:r>
        <w:rPr>
          <w:rFonts w:hint="default" w:ascii="仿宋_GB2312" w:hAnsi="Times New Roman" w:eastAsia="仿宋_GB2312" w:cs="Times New Roman"/>
          <w:spacing w:val="8"/>
          <w:sz w:val="28"/>
          <w:szCs w:val="20"/>
          <w:lang w:val="en-US" w:eastAsia="zh-CN"/>
        </w:rPr>
        <w:t>5</w:t>
      </w:r>
      <w:r>
        <w:rPr>
          <w:rFonts w:hint="eastAsia" w:ascii="仿宋_GB2312" w:hAnsi="Times New Roman" w:eastAsia="仿宋_GB2312" w:cs="Times New Roman"/>
          <w:spacing w:val="8"/>
          <w:sz w:val="28"/>
          <w:szCs w:val="20"/>
        </w:rPr>
        <w:t>年</w:t>
      </w:r>
      <w:r>
        <w:rPr>
          <w:rFonts w:hint="default" w:ascii="仿宋_GB2312" w:hAnsi="Times New Roman" w:eastAsia="仿宋_GB2312" w:cs="Times New Roman"/>
          <w:spacing w:val="8"/>
          <w:sz w:val="28"/>
          <w:szCs w:val="20"/>
          <w:lang w:val="en-US"/>
        </w:rPr>
        <w:t>7</w:t>
      </w:r>
      <w:r>
        <w:rPr>
          <w:rFonts w:hint="eastAsia" w:ascii="仿宋_GB2312" w:hAnsi="Times New Roman" w:eastAsia="仿宋_GB2312" w:cs="Times New Roman"/>
          <w:spacing w:val="8"/>
          <w:sz w:val="28"/>
          <w:szCs w:val="20"/>
        </w:rPr>
        <w:t>月</w:t>
      </w:r>
      <w:r>
        <w:rPr>
          <w:rFonts w:hint="default" w:ascii="仿宋_GB2312" w:hAnsi="Times New Roman" w:eastAsia="仿宋_GB2312" w:cs="Times New Roman"/>
          <w:spacing w:val="8"/>
          <w:sz w:val="28"/>
          <w:szCs w:val="20"/>
          <w:lang w:val="en-US"/>
        </w:rPr>
        <w:t>18</w:t>
      </w:r>
      <w:r>
        <w:rPr>
          <w:rFonts w:hint="eastAsia" w:ascii="仿宋_GB2312" w:hAnsi="Times New Roman" w:eastAsia="仿宋_GB2312" w:cs="Times New Roman"/>
          <w:spacing w:val="8"/>
          <w:sz w:val="28"/>
          <w:szCs w:val="20"/>
        </w:rPr>
        <w:t>日印发</w:t>
      </w:r>
    </w:p>
    <w:p>
      <w:pPr>
        <w:keepNext w:val="0"/>
        <w:keepLines w:val="0"/>
        <w:pageBreakBefore w:val="0"/>
        <w:widowControl w:val="0"/>
        <w:pBdr>
          <w:top w:val="single" w:color="auto" w:sz="8" w:space="7"/>
        </w:pBdr>
        <w:kinsoku/>
        <w:wordWrap/>
        <w:overflowPunct/>
        <w:topLinePunct w:val="0"/>
        <w:autoSpaceDE/>
        <w:autoSpaceDN/>
        <w:bidi w:val="0"/>
        <w:adjustRightInd w:val="0"/>
        <w:snapToGrid w:val="0"/>
        <w:spacing w:beforeLines="0" w:afterLines="0" w:line="240" w:lineRule="auto"/>
        <w:ind w:firstLine="0"/>
        <w:jc w:val="left"/>
        <w:textAlignment w:val="auto"/>
        <w:rPr>
          <w:rFonts w:hint="eastAsia" w:ascii="仿宋_GB2312" w:hAnsi="Times New Roman" w:eastAsia="仿宋_GB2312" w:cs="Times New Roman"/>
          <w:spacing w:val="8"/>
          <w:sz w:val="2"/>
          <w:szCs w:val="2"/>
        </w:rPr>
      </w:pPr>
    </w:p>
    <w:bookmarkEnd w:id="0"/>
    <w:p>
      <w:pPr>
        <w:snapToGrid w:val="0"/>
        <w:spacing w:beforeLines="0" w:afterLines="0" w:line="240" w:lineRule="auto"/>
        <w:rPr>
          <w:rFonts w:ascii="Times New Roman" w:hAnsi="Times New Roman"/>
          <w:sz w:val="2"/>
          <w:szCs w:val="2"/>
        </w:rPr>
      </w:pPr>
    </w:p>
    <w:sectPr>
      <w:headerReference r:id="rId3" w:type="default"/>
      <w:footerReference r:id="rId4" w:type="default"/>
      <w:pgSz w:w="11906" w:h="16838"/>
      <w:pgMar w:top="2097"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长城仿宋">
    <w:altName w:val="宋体"/>
    <w:panose1 w:val="0201060900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revisionView w:markup="0"/>
  <w:trackRevisions w:val="true"/>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FD051"/>
    <w:rsid w:val="07FF6EF3"/>
    <w:rsid w:val="4DF7FF0D"/>
    <w:rsid w:val="7D3E4334"/>
    <w:rsid w:val="7F3FD051"/>
    <w:rsid w:val="7FA7EADA"/>
    <w:rsid w:val="7FB9709E"/>
    <w:rsid w:val="7FBDE235"/>
    <w:rsid w:val="7FEDA9B5"/>
    <w:rsid w:val="D77F06C2"/>
    <w:rsid w:val="DF1F18F8"/>
    <w:rsid w:val="DFFA8EF0"/>
    <w:rsid w:val="E3AAF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next w:val="1"/>
    <w:qFormat/>
    <w:uiPriority w:val="0"/>
    <w:pPr>
      <w:widowControl w:val="0"/>
      <w:spacing w:line="240" w:lineRule="auto"/>
      <w:ind w:firstLine="420"/>
      <w:jc w:val="both"/>
      <w:textAlignment w:val="baseline"/>
    </w:pPr>
    <w:rPr>
      <w:rFonts w:ascii="宋体" w:hAnsi="Calibri" w:eastAsia="宋体" w:cs="Times New Roman"/>
      <w:kern w:val="0"/>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宋体" w:cs="黑体"/>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paragraph" w:customStyle="1" w:styleId="8">
    <w:name w:val="Char Char Char Char Char Char Char Char Char"/>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2025-07-13T21:05:00Z</dcterms:created>
  <dc:creator>刘林：主办人校对</dc:creator>
  <cp:lastModifiedBy>吴惠清：办公室负责人复核</cp:lastModifiedBy>
  <dcterms:modified xsi:type="dcterms:W3CDTF">2025-07-22T08:47:09Z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C8C85446D3642149D2536F68A189406E</vt:lpwstr>
  </property>
</Properties>
</file>