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D8" w:rsidRPr="00A51300" w:rsidRDefault="00FB58D8">
      <w:pPr>
        <w:spacing w:beforeLines="50" w:before="156" w:afterLines="50" w:after="156" w:line="400" w:lineRule="exact"/>
        <w:rPr>
          <w:rFonts w:ascii="宋体" w:hAnsi="宋体"/>
          <w:b/>
          <w:iCs/>
          <w:sz w:val="24"/>
        </w:rPr>
      </w:pPr>
    </w:p>
    <w:p w:rsidR="00A7583D" w:rsidRDefault="00095967">
      <w:pPr>
        <w:spacing w:beforeLines="50" w:before="156" w:afterLines="50" w:after="156" w:line="400" w:lineRule="exact"/>
        <w:rPr>
          <w:rFonts w:ascii="宋体" w:hAnsi="宋体"/>
          <w:bCs/>
          <w:iCs/>
          <w:sz w:val="24"/>
        </w:rPr>
      </w:pPr>
      <w:r>
        <w:rPr>
          <w:rFonts w:ascii="宋体" w:hAnsi="宋体" w:hint="eastAsia"/>
          <w:b/>
          <w:iCs/>
          <w:sz w:val="24"/>
        </w:rPr>
        <w:t>证券代码：</w:t>
      </w:r>
      <w:r w:rsidR="00F4252E">
        <w:rPr>
          <w:rFonts w:ascii="宋体" w:hAnsi="宋体" w:hint="eastAsia"/>
          <w:b/>
          <w:iCs/>
          <w:sz w:val="24"/>
        </w:rPr>
        <w:t>6</w:t>
      </w:r>
      <w:r w:rsidR="00F4252E">
        <w:rPr>
          <w:rFonts w:ascii="宋体" w:hAnsi="宋体"/>
          <w:b/>
          <w:iCs/>
          <w:sz w:val="24"/>
        </w:rPr>
        <w:t>05358</w:t>
      </w:r>
      <w:r>
        <w:rPr>
          <w:rFonts w:ascii="宋体" w:hAnsi="宋体" w:hint="eastAsia"/>
          <w:b/>
          <w:iCs/>
          <w:sz w:val="24"/>
        </w:rPr>
        <w:t xml:space="preserve"> </w:t>
      </w:r>
      <w:r>
        <w:rPr>
          <w:rFonts w:ascii="宋体" w:hAnsi="宋体" w:hint="eastAsia"/>
          <w:bCs/>
          <w:iCs/>
          <w:sz w:val="24"/>
        </w:rPr>
        <w:t xml:space="preserve">                            </w:t>
      </w:r>
      <w:r>
        <w:rPr>
          <w:rFonts w:ascii="宋体" w:hAnsi="宋体"/>
          <w:bCs/>
          <w:iCs/>
          <w:sz w:val="24"/>
        </w:rPr>
        <w:t xml:space="preserve">   </w:t>
      </w:r>
      <w:r w:rsidR="00F4252E">
        <w:rPr>
          <w:rFonts w:ascii="宋体" w:hAnsi="宋体" w:hint="eastAsia"/>
          <w:bCs/>
          <w:iCs/>
          <w:sz w:val="24"/>
        </w:rPr>
        <w:t xml:space="preserve"> </w:t>
      </w:r>
      <w:r>
        <w:rPr>
          <w:rFonts w:ascii="宋体" w:hAnsi="宋体" w:hint="eastAsia"/>
          <w:bCs/>
          <w:iCs/>
          <w:sz w:val="24"/>
        </w:rPr>
        <w:t xml:space="preserve">  </w:t>
      </w:r>
      <w:r w:rsidR="002E6A3F">
        <w:rPr>
          <w:rFonts w:ascii="宋体" w:hAnsi="宋体"/>
          <w:bCs/>
          <w:iCs/>
          <w:sz w:val="24"/>
        </w:rPr>
        <w:t xml:space="preserve">          </w:t>
      </w:r>
      <w:r>
        <w:rPr>
          <w:rFonts w:ascii="宋体" w:hAnsi="宋体" w:hint="eastAsia"/>
          <w:b/>
          <w:iCs/>
          <w:sz w:val="24"/>
        </w:rPr>
        <w:t>证券简称：</w:t>
      </w:r>
      <w:proofErr w:type="gramStart"/>
      <w:r w:rsidR="00F4252E">
        <w:rPr>
          <w:rFonts w:ascii="宋体" w:hAnsi="宋体" w:hint="eastAsia"/>
          <w:b/>
          <w:iCs/>
          <w:sz w:val="24"/>
        </w:rPr>
        <w:t>立昂微</w:t>
      </w:r>
      <w:proofErr w:type="gramEnd"/>
    </w:p>
    <w:p w:rsidR="00A7583D" w:rsidRDefault="00095967">
      <w:pPr>
        <w:spacing w:beforeLines="50" w:before="156" w:afterLines="50" w:after="156" w:line="400" w:lineRule="exact"/>
        <w:rPr>
          <w:rFonts w:ascii="宋体" w:hAnsi="宋体"/>
          <w:bCs/>
          <w:iCs/>
          <w:sz w:val="24"/>
        </w:rPr>
      </w:pPr>
      <w:r>
        <w:rPr>
          <w:rFonts w:ascii="宋体" w:hAnsi="宋体"/>
          <w:bCs/>
          <w:iCs/>
          <w:sz w:val="24"/>
        </w:rPr>
        <w:t xml:space="preserve">                                   </w:t>
      </w:r>
    </w:p>
    <w:p w:rsidR="00F4252E" w:rsidRDefault="00F4252E">
      <w:pPr>
        <w:spacing w:beforeLines="50" w:before="156" w:afterLines="50" w:after="156" w:line="400" w:lineRule="exact"/>
        <w:jc w:val="center"/>
        <w:rPr>
          <w:rFonts w:ascii="宋体" w:hAnsi="宋体"/>
          <w:b/>
          <w:bCs/>
          <w:iCs/>
          <w:sz w:val="36"/>
          <w:szCs w:val="36"/>
        </w:rPr>
      </w:pPr>
      <w:proofErr w:type="gramStart"/>
      <w:r>
        <w:rPr>
          <w:rFonts w:ascii="宋体" w:hAnsi="宋体" w:hint="eastAsia"/>
          <w:b/>
          <w:bCs/>
          <w:iCs/>
          <w:sz w:val="36"/>
          <w:szCs w:val="36"/>
        </w:rPr>
        <w:t>杭州立昂微电子</w:t>
      </w:r>
      <w:proofErr w:type="gramEnd"/>
      <w:r>
        <w:rPr>
          <w:rFonts w:ascii="宋体" w:hAnsi="宋体" w:hint="eastAsia"/>
          <w:b/>
          <w:bCs/>
          <w:iCs/>
          <w:sz w:val="36"/>
          <w:szCs w:val="36"/>
        </w:rPr>
        <w:t>股份有限</w:t>
      </w:r>
      <w:r w:rsidR="00095967">
        <w:rPr>
          <w:rFonts w:ascii="宋体" w:hAnsi="宋体" w:hint="eastAsia"/>
          <w:b/>
          <w:bCs/>
          <w:iCs/>
          <w:sz w:val="36"/>
          <w:szCs w:val="36"/>
        </w:rPr>
        <w:t>公司</w:t>
      </w:r>
    </w:p>
    <w:p w:rsidR="00A7583D" w:rsidRDefault="00095967">
      <w:pPr>
        <w:spacing w:beforeLines="50" w:before="156" w:afterLines="50" w:after="156" w:line="400" w:lineRule="exact"/>
        <w:jc w:val="center"/>
        <w:rPr>
          <w:rFonts w:ascii="宋体" w:hAnsi="宋体"/>
          <w:b/>
          <w:bCs/>
          <w:iCs/>
          <w:sz w:val="36"/>
          <w:szCs w:val="36"/>
        </w:rPr>
      </w:pPr>
      <w:r>
        <w:rPr>
          <w:rFonts w:ascii="宋体" w:hAnsi="宋体" w:hint="eastAsia"/>
          <w:b/>
          <w:bCs/>
          <w:iCs/>
          <w:sz w:val="36"/>
          <w:szCs w:val="36"/>
        </w:rPr>
        <w:t>投资者关系活动记录表</w:t>
      </w:r>
    </w:p>
    <w:p w:rsidR="00A7583D" w:rsidRDefault="00095967">
      <w:pPr>
        <w:spacing w:line="400" w:lineRule="exact"/>
        <w:rPr>
          <w:rFonts w:ascii="宋体" w:hAnsi="宋体"/>
          <w:bCs/>
          <w:iCs/>
          <w:sz w:val="24"/>
        </w:rPr>
      </w:pPr>
      <w:r>
        <w:rPr>
          <w:rFonts w:ascii="宋体" w:hAnsi="宋体" w:hint="eastAsia"/>
          <w:bCs/>
          <w:iCs/>
          <w:sz w:val="24"/>
        </w:rPr>
        <w:t xml:space="preserve">                        </w:t>
      </w:r>
      <w:r w:rsidR="00F4252E">
        <w:rPr>
          <w:rFonts w:ascii="宋体" w:hAnsi="宋体" w:hint="eastAsia"/>
          <w:bCs/>
          <w:iCs/>
          <w:sz w:val="24"/>
        </w:rPr>
        <w:t xml:space="preserve">                               </w:t>
      </w:r>
      <w:r w:rsidR="00FB7581">
        <w:rPr>
          <w:rFonts w:ascii="宋体" w:hAnsi="宋体"/>
          <w:bCs/>
          <w:iCs/>
          <w:sz w:val="24"/>
        </w:rPr>
        <w:t xml:space="preserve">       </w:t>
      </w:r>
      <w:r>
        <w:rPr>
          <w:rFonts w:ascii="宋体" w:hAnsi="宋体" w:hint="eastAsia"/>
          <w:bCs/>
          <w:iCs/>
          <w:sz w:val="24"/>
        </w:rPr>
        <w:t>编号：</w:t>
      </w:r>
      <w:r w:rsidR="00F4252E">
        <w:rPr>
          <w:rFonts w:ascii="宋体" w:hAnsi="宋体" w:hint="eastAsia"/>
          <w:bCs/>
          <w:iCs/>
          <w:sz w:val="24"/>
        </w:rPr>
        <w:t>2</w:t>
      </w:r>
      <w:r w:rsidR="00F4252E">
        <w:rPr>
          <w:rFonts w:ascii="宋体" w:hAnsi="宋体"/>
          <w:bCs/>
          <w:iCs/>
          <w:sz w:val="24"/>
        </w:rPr>
        <w:t>02</w:t>
      </w:r>
      <w:r w:rsidR="000A7FA7">
        <w:rPr>
          <w:rFonts w:ascii="宋体" w:hAnsi="宋体"/>
          <w:bCs/>
          <w:iCs/>
          <w:sz w:val="24"/>
        </w:rPr>
        <w:t>5</w:t>
      </w:r>
      <w:r w:rsidR="00F4252E">
        <w:rPr>
          <w:rFonts w:ascii="宋体" w:hAnsi="宋体"/>
          <w:bCs/>
          <w:iCs/>
          <w:sz w:val="24"/>
        </w:rPr>
        <w:t>-00</w:t>
      </w:r>
      <w:r w:rsidR="00EB4754">
        <w:rPr>
          <w:rFonts w:ascii="宋体" w:hAnsi="宋体"/>
          <w:bCs/>
          <w:iCs/>
          <w:sz w:val="24"/>
        </w:rPr>
        <w:t>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364"/>
      </w:tblGrid>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rFonts w:ascii="宋体" w:hAnsi="宋体"/>
                <w:bCs/>
                <w:iCs/>
                <w:szCs w:val="21"/>
              </w:rPr>
            </w:pPr>
            <w:r>
              <w:rPr>
                <w:rFonts w:hint="eastAsia"/>
                <w:szCs w:val="21"/>
              </w:rPr>
              <w:t>投资者关系活动类别</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7583D" w:rsidRDefault="000A7FA7">
            <w:pPr>
              <w:rPr>
                <w:rFonts w:ascii="宋体" w:hAnsi="宋体"/>
                <w:szCs w:val="21"/>
              </w:rPr>
            </w:pPr>
            <w:r w:rsidRPr="000A7FA7">
              <w:rPr>
                <w:rFonts w:ascii="宋体" w:hAnsi="宋体" w:hint="eastAsia"/>
                <w:szCs w:val="21"/>
              </w:rPr>
              <w:t>●</w:t>
            </w:r>
            <w:r w:rsidR="00095967">
              <w:rPr>
                <w:rFonts w:ascii="宋体" w:hAnsi="宋体"/>
                <w:szCs w:val="21"/>
              </w:rPr>
              <w:t>特定对象调研</w:t>
            </w:r>
            <w:r w:rsidR="00095967">
              <w:rPr>
                <w:rFonts w:ascii="宋体" w:hAnsi="宋体" w:hint="eastAsia"/>
                <w:szCs w:val="21"/>
              </w:rPr>
              <w:t xml:space="preserve">        □分析师会议</w:t>
            </w:r>
          </w:p>
          <w:p w:rsidR="00A7583D" w:rsidRDefault="00095967">
            <w:pPr>
              <w:rPr>
                <w:rFonts w:ascii="宋体" w:hAnsi="宋体"/>
                <w:szCs w:val="21"/>
              </w:rPr>
            </w:pPr>
            <w:r>
              <w:rPr>
                <w:rFonts w:ascii="宋体" w:hAnsi="宋体" w:hint="eastAsia"/>
                <w:szCs w:val="21"/>
              </w:rPr>
              <w:t xml:space="preserve">□媒体采访            □新闻发布会         </w:t>
            </w:r>
          </w:p>
          <w:p w:rsidR="00A7583D" w:rsidRDefault="00C83C0F">
            <w:pPr>
              <w:rPr>
                <w:rFonts w:ascii="宋体" w:hAnsi="宋体"/>
                <w:szCs w:val="21"/>
              </w:rPr>
            </w:pPr>
            <w:r w:rsidRPr="00C83C0F">
              <w:rPr>
                <w:rFonts w:ascii="宋体" w:hAnsi="宋体" w:hint="eastAsia"/>
                <w:szCs w:val="21"/>
              </w:rPr>
              <w:t>□</w:t>
            </w:r>
            <w:r w:rsidR="00095967">
              <w:rPr>
                <w:rFonts w:ascii="宋体" w:hAnsi="宋体" w:hint="eastAsia"/>
                <w:szCs w:val="21"/>
              </w:rPr>
              <w:t>现场参观</w:t>
            </w:r>
            <w:r w:rsidR="00095967">
              <w:rPr>
                <w:rFonts w:ascii="宋体" w:hAnsi="宋体" w:hint="eastAsia"/>
                <w:szCs w:val="21"/>
              </w:rPr>
              <w:tab/>
            </w:r>
            <w:r w:rsidR="00F4252E">
              <w:rPr>
                <w:rFonts w:ascii="宋体" w:hAnsi="宋体"/>
                <w:szCs w:val="21"/>
              </w:rPr>
              <w:t xml:space="preserve">          </w:t>
            </w:r>
            <w:r w:rsidR="000A7FA7" w:rsidRPr="000A7FA7">
              <w:rPr>
                <w:rFonts w:ascii="宋体" w:hAnsi="宋体" w:hint="eastAsia"/>
                <w:szCs w:val="21"/>
              </w:rPr>
              <w:t>□</w:t>
            </w:r>
            <w:r w:rsidR="00F4252E">
              <w:rPr>
                <w:rFonts w:ascii="宋体" w:hAnsi="宋体" w:hint="eastAsia"/>
                <w:szCs w:val="21"/>
              </w:rPr>
              <w:t>电话会议</w:t>
            </w:r>
          </w:p>
          <w:p w:rsidR="00A7583D" w:rsidRDefault="00095967">
            <w:pPr>
              <w:rPr>
                <w:rFonts w:ascii="宋体" w:hAnsi="宋体"/>
                <w:szCs w:val="21"/>
              </w:rPr>
            </w:pPr>
            <w:r>
              <w:rPr>
                <w:rFonts w:ascii="宋体" w:hAnsi="宋体" w:hint="eastAsia"/>
                <w:szCs w:val="21"/>
              </w:rPr>
              <w:t>□其他</w:t>
            </w:r>
            <w:r>
              <w:rPr>
                <w:rFonts w:ascii="宋体" w:hAnsi="宋体"/>
                <w:szCs w:val="21"/>
              </w:rPr>
              <w:t xml:space="preserve">        </w:t>
            </w:r>
          </w:p>
        </w:tc>
      </w:tr>
      <w:tr w:rsidR="00A7583D" w:rsidTr="00355EED">
        <w:trPr>
          <w:trHeight w:val="79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rsidP="00F4252E">
            <w:pPr>
              <w:rPr>
                <w:rFonts w:ascii="宋体" w:hAnsi="宋体"/>
                <w:bCs/>
                <w:iCs/>
                <w:szCs w:val="21"/>
              </w:rPr>
            </w:pPr>
            <w:r>
              <w:rPr>
                <w:rFonts w:hint="eastAsia"/>
                <w:szCs w:val="21"/>
              </w:rPr>
              <w:t>参与单位名称</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2E4C01" w:rsidRPr="00206463" w:rsidRDefault="004E3C32" w:rsidP="004E3C32">
            <w:pPr>
              <w:rPr>
                <w:rFonts w:ascii="宋体" w:hAnsi="宋体"/>
                <w:szCs w:val="21"/>
              </w:rPr>
            </w:pPr>
            <w:r>
              <w:rPr>
                <w:rFonts w:ascii="宋体" w:hAnsi="宋体" w:hint="eastAsia"/>
                <w:szCs w:val="21"/>
              </w:rPr>
              <w:t>中邮证券、富国基金</w:t>
            </w:r>
            <w:r w:rsidR="009B5222">
              <w:rPr>
                <w:rFonts w:ascii="宋体" w:hAnsi="宋体"/>
                <w:szCs w:val="21"/>
              </w:rPr>
              <w:t>等</w:t>
            </w:r>
            <w:r>
              <w:rPr>
                <w:rFonts w:ascii="宋体" w:hAnsi="宋体"/>
                <w:szCs w:val="21"/>
              </w:rPr>
              <w:t>3</w:t>
            </w:r>
            <w:r w:rsidR="009B5222">
              <w:rPr>
                <w:rFonts w:ascii="宋体" w:hAnsi="宋体"/>
                <w:szCs w:val="21"/>
              </w:rPr>
              <w:t>人</w:t>
            </w:r>
          </w:p>
        </w:tc>
      </w:tr>
      <w:tr w:rsidR="00057658" w:rsidTr="00057658">
        <w:trPr>
          <w:trHeight w:val="53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057658" w:rsidRDefault="00057658" w:rsidP="00F4252E">
            <w:pPr>
              <w:rPr>
                <w:szCs w:val="21"/>
              </w:rPr>
            </w:pPr>
            <w:r>
              <w:rPr>
                <w:rFonts w:hint="eastAsia"/>
                <w:szCs w:val="21"/>
              </w:rPr>
              <w:t>时间</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057658" w:rsidRDefault="00057658" w:rsidP="004E3C32">
            <w:pPr>
              <w:rPr>
                <w:rFonts w:ascii="宋体" w:hAnsi="宋体"/>
                <w:szCs w:val="21"/>
              </w:rPr>
            </w:pPr>
            <w:r w:rsidRPr="00057658">
              <w:rPr>
                <w:rFonts w:ascii="宋体" w:hAnsi="宋体" w:hint="eastAsia"/>
                <w:szCs w:val="21"/>
              </w:rPr>
              <w:t>202</w:t>
            </w:r>
            <w:r w:rsidR="004E3C32">
              <w:rPr>
                <w:rFonts w:ascii="宋体" w:hAnsi="宋体"/>
                <w:szCs w:val="21"/>
              </w:rPr>
              <w:t>5</w:t>
            </w:r>
            <w:r w:rsidRPr="00057658">
              <w:rPr>
                <w:rFonts w:ascii="宋体" w:hAnsi="宋体" w:hint="eastAsia"/>
                <w:szCs w:val="21"/>
              </w:rPr>
              <w:t>年</w:t>
            </w:r>
            <w:r w:rsidR="004E3C32">
              <w:rPr>
                <w:rFonts w:ascii="宋体" w:hAnsi="宋体"/>
                <w:szCs w:val="21"/>
              </w:rPr>
              <w:t>7</w:t>
            </w:r>
            <w:r w:rsidRPr="00057658">
              <w:rPr>
                <w:rFonts w:ascii="宋体" w:hAnsi="宋体" w:hint="eastAsia"/>
                <w:szCs w:val="21"/>
              </w:rPr>
              <w:t>月</w:t>
            </w:r>
            <w:r w:rsidR="004E3C32">
              <w:rPr>
                <w:rFonts w:ascii="宋体" w:hAnsi="宋体"/>
                <w:szCs w:val="21"/>
              </w:rPr>
              <w:t>23</w:t>
            </w:r>
            <w:r w:rsidRPr="00057658">
              <w:rPr>
                <w:rFonts w:ascii="宋体" w:hAnsi="宋体" w:hint="eastAsia"/>
                <w:szCs w:val="21"/>
              </w:rPr>
              <w:t xml:space="preserve">日 </w:t>
            </w:r>
            <w:r w:rsidR="000A7EB1">
              <w:rPr>
                <w:rFonts w:ascii="宋体" w:hAnsi="宋体"/>
                <w:szCs w:val="21"/>
              </w:rPr>
              <w:t>15</w:t>
            </w:r>
            <w:r w:rsidRPr="00057658">
              <w:rPr>
                <w:rFonts w:ascii="宋体" w:hAnsi="宋体" w:hint="eastAsia"/>
                <w:szCs w:val="21"/>
              </w:rPr>
              <w:t>：00</w:t>
            </w: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spacing w:line="360" w:lineRule="auto"/>
              <w:rPr>
                <w:szCs w:val="21"/>
              </w:rPr>
            </w:pPr>
            <w:r>
              <w:rPr>
                <w:rFonts w:hint="eastAsia"/>
                <w:szCs w:val="21"/>
              </w:rPr>
              <w:t>地点</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4E3C32" w:rsidP="00C83C0F">
            <w:pPr>
              <w:rPr>
                <w:rFonts w:ascii="宋体" w:hAnsi="宋体"/>
                <w:szCs w:val="21"/>
              </w:rPr>
            </w:pPr>
            <w:r>
              <w:rPr>
                <w:rFonts w:ascii="宋体" w:hAnsi="宋体" w:hint="eastAsia"/>
                <w:szCs w:val="21"/>
              </w:rPr>
              <w:t>线上</w:t>
            </w:r>
            <w:r w:rsidR="000A7EB1">
              <w:rPr>
                <w:rFonts w:ascii="宋体" w:hAnsi="宋体" w:hint="eastAsia"/>
                <w:szCs w:val="21"/>
              </w:rPr>
              <w:t>交流</w:t>
            </w:r>
          </w:p>
        </w:tc>
      </w:tr>
      <w:tr w:rsidR="00A7583D" w:rsidTr="008B49B3">
        <w:trPr>
          <w:trHeight w:val="90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szCs w:val="21"/>
              </w:rPr>
            </w:pPr>
            <w:r>
              <w:rPr>
                <w:rFonts w:hint="eastAsia"/>
                <w:szCs w:val="21"/>
              </w:rPr>
              <w:t>上市公司接待人员姓名</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F4252E" w:rsidRDefault="004E3C32">
            <w:pPr>
              <w:rPr>
                <w:rFonts w:ascii="宋体" w:hAnsi="宋体"/>
                <w:szCs w:val="21"/>
              </w:rPr>
            </w:pPr>
            <w:r>
              <w:rPr>
                <w:rFonts w:ascii="宋体" w:hAnsi="宋体" w:hint="eastAsia"/>
                <w:szCs w:val="21"/>
              </w:rPr>
              <w:t>董事、副总经理、财务总监、董事会秘书：吴能云</w:t>
            </w: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rPr>
                <w:szCs w:val="21"/>
              </w:rPr>
            </w:pPr>
            <w:r>
              <w:rPr>
                <w:rFonts w:hint="eastAsia"/>
                <w:szCs w:val="21"/>
              </w:rPr>
              <w:t>投资者关系活动记录</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02E32" w:rsidRDefault="004E3C32">
            <w:pPr>
              <w:spacing w:line="360" w:lineRule="auto"/>
              <w:ind w:firstLineChars="200" w:firstLine="420"/>
              <w:rPr>
                <w:szCs w:val="21"/>
              </w:rPr>
            </w:pPr>
            <w:r>
              <w:rPr>
                <w:szCs w:val="21"/>
              </w:rPr>
              <w:t>公司围绕</w:t>
            </w:r>
            <w:r>
              <w:rPr>
                <w:rFonts w:hint="eastAsia"/>
                <w:szCs w:val="21"/>
              </w:rPr>
              <w:t>2</w:t>
            </w:r>
            <w:r>
              <w:rPr>
                <w:szCs w:val="21"/>
              </w:rPr>
              <w:t>025</w:t>
            </w:r>
            <w:r>
              <w:rPr>
                <w:szCs w:val="21"/>
              </w:rPr>
              <w:t>年半年度业绩预告已披露的半年度经营情况进行了说明</w:t>
            </w:r>
            <w:r>
              <w:rPr>
                <w:rFonts w:hint="eastAsia"/>
                <w:szCs w:val="21"/>
              </w:rPr>
              <w:t>，</w:t>
            </w:r>
            <w:r>
              <w:rPr>
                <w:szCs w:val="21"/>
              </w:rPr>
              <w:t>主要说明及</w:t>
            </w:r>
            <w:r w:rsidR="00702E32">
              <w:rPr>
                <w:rFonts w:hint="eastAsia"/>
                <w:szCs w:val="21"/>
              </w:rPr>
              <w:t>投资者交流</w:t>
            </w:r>
            <w:r>
              <w:rPr>
                <w:rFonts w:hint="eastAsia"/>
                <w:szCs w:val="21"/>
              </w:rPr>
              <w:t>的</w:t>
            </w:r>
            <w:r w:rsidR="00292F10">
              <w:rPr>
                <w:rFonts w:hint="eastAsia"/>
                <w:szCs w:val="21"/>
              </w:rPr>
              <w:t>问题回复</w:t>
            </w:r>
            <w:r>
              <w:rPr>
                <w:rFonts w:hint="eastAsia"/>
                <w:szCs w:val="21"/>
              </w:rPr>
              <w:t>内容如下：</w:t>
            </w:r>
          </w:p>
          <w:p w:rsidR="004E6CC3" w:rsidRDefault="00702E32" w:rsidP="00AF7EF9">
            <w:pPr>
              <w:spacing w:line="360" w:lineRule="auto"/>
              <w:ind w:firstLineChars="200" w:firstLine="420"/>
              <w:rPr>
                <w:szCs w:val="21"/>
              </w:rPr>
            </w:pPr>
            <w:r>
              <w:rPr>
                <w:rFonts w:hint="eastAsia"/>
                <w:szCs w:val="21"/>
              </w:rPr>
              <w:t>1</w:t>
            </w:r>
            <w:r>
              <w:rPr>
                <w:szCs w:val="21"/>
              </w:rPr>
              <w:t>.</w:t>
            </w:r>
            <w:r w:rsidR="00016E14">
              <w:rPr>
                <w:szCs w:val="21"/>
              </w:rPr>
              <w:t>公司</w:t>
            </w:r>
            <w:r w:rsidR="004E3C32">
              <w:rPr>
                <w:rFonts w:hint="eastAsia"/>
                <w:szCs w:val="21"/>
              </w:rPr>
              <w:t>8</w:t>
            </w:r>
            <w:r w:rsidR="004E3C32">
              <w:rPr>
                <w:rFonts w:hint="eastAsia"/>
                <w:szCs w:val="21"/>
              </w:rPr>
              <w:t>英寸、</w:t>
            </w:r>
            <w:r w:rsidR="004E3C32">
              <w:rPr>
                <w:rFonts w:hint="eastAsia"/>
                <w:szCs w:val="21"/>
              </w:rPr>
              <w:t>1</w:t>
            </w:r>
            <w:r w:rsidR="004E3C32">
              <w:rPr>
                <w:szCs w:val="21"/>
              </w:rPr>
              <w:t>2</w:t>
            </w:r>
            <w:r w:rsidR="004E3C32">
              <w:rPr>
                <w:szCs w:val="21"/>
              </w:rPr>
              <w:t>英寸外延片</w:t>
            </w:r>
            <w:r w:rsidR="004E6CC3">
              <w:rPr>
                <w:szCs w:val="21"/>
              </w:rPr>
              <w:t>的</w:t>
            </w:r>
            <w:r w:rsidR="00727867">
              <w:rPr>
                <w:rFonts w:hint="eastAsia"/>
                <w:szCs w:val="21"/>
              </w:rPr>
              <w:t>产能利用率</w:t>
            </w:r>
            <w:r w:rsidR="00727867">
              <w:rPr>
                <w:szCs w:val="21"/>
              </w:rPr>
              <w:t>如何</w:t>
            </w:r>
            <w:r w:rsidR="004E6CC3">
              <w:rPr>
                <w:szCs w:val="21"/>
              </w:rPr>
              <w:t>？</w:t>
            </w:r>
          </w:p>
          <w:p w:rsidR="004E3C32" w:rsidRDefault="004E6CC3" w:rsidP="00AF7EF9">
            <w:pPr>
              <w:spacing w:line="360" w:lineRule="auto"/>
              <w:ind w:firstLineChars="200" w:firstLine="420"/>
              <w:rPr>
                <w:szCs w:val="21"/>
              </w:rPr>
            </w:pPr>
            <w:r>
              <w:rPr>
                <w:szCs w:val="21"/>
              </w:rPr>
              <w:t>答：</w:t>
            </w:r>
            <w:r w:rsidR="004E3C32">
              <w:rPr>
                <w:szCs w:val="21"/>
              </w:rPr>
              <w:t>公司重掺外延片具有较强竞争力</w:t>
            </w:r>
            <w:r w:rsidR="004E3C32">
              <w:rPr>
                <w:rFonts w:hint="eastAsia"/>
                <w:szCs w:val="21"/>
              </w:rPr>
              <w:t>，</w:t>
            </w:r>
            <w:r w:rsidR="004E3C32">
              <w:rPr>
                <w:szCs w:val="21"/>
              </w:rPr>
              <w:t>是公司的特色产品</w:t>
            </w:r>
            <w:r w:rsidR="004E3C32">
              <w:rPr>
                <w:rFonts w:hint="eastAsia"/>
                <w:szCs w:val="21"/>
              </w:rPr>
              <w:t>，</w:t>
            </w:r>
            <w:r w:rsidR="004E3C32">
              <w:rPr>
                <w:szCs w:val="21"/>
              </w:rPr>
              <w:t>其中</w:t>
            </w:r>
            <w:r w:rsidR="004E3C32">
              <w:rPr>
                <w:rFonts w:hint="eastAsia"/>
                <w:szCs w:val="21"/>
              </w:rPr>
              <w:t>6-</w:t>
            </w:r>
            <w:r w:rsidR="004E3C32">
              <w:rPr>
                <w:szCs w:val="21"/>
              </w:rPr>
              <w:t>8</w:t>
            </w:r>
            <w:r w:rsidR="004E3C32">
              <w:rPr>
                <w:szCs w:val="21"/>
              </w:rPr>
              <w:t>英寸外延片产品自年初以来</w:t>
            </w:r>
            <w:r w:rsidR="00727867">
              <w:rPr>
                <w:szCs w:val="21"/>
              </w:rPr>
              <w:t>订单饱满</w:t>
            </w:r>
            <w:r w:rsidR="00727867">
              <w:rPr>
                <w:rFonts w:hint="eastAsia"/>
                <w:szCs w:val="21"/>
              </w:rPr>
              <w:t>，</w:t>
            </w:r>
            <w:r w:rsidR="00727867">
              <w:rPr>
                <w:szCs w:val="21"/>
              </w:rPr>
              <w:t>产能利用率保持在较高水平</w:t>
            </w:r>
            <w:r w:rsidR="00727867">
              <w:rPr>
                <w:rFonts w:hint="eastAsia"/>
                <w:szCs w:val="21"/>
              </w:rPr>
              <w:t>；</w:t>
            </w:r>
            <w:r w:rsidR="00727867">
              <w:rPr>
                <w:rFonts w:hint="eastAsia"/>
                <w:szCs w:val="21"/>
              </w:rPr>
              <w:t>1</w:t>
            </w:r>
            <w:r w:rsidR="00727867">
              <w:rPr>
                <w:szCs w:val="21"/>
              </w:rPr>
              <w:t>2</w:t>
            </w:r>
            <w:r w:rsidR="00727867">
              <w:rPr>
                <w:szCs w:val="21"/>
              </w:rPr>
              <w:t>寸外延片产品同样订单饱满</w:t>
            </w:r>
            <w:r w:rsidR="00727867">
              <w:rPr>
                <w:rFonts w:hint="eastAsia"/>
                <w:szCs w:val="21"/>
              </w:rPr>
              <w:t>，</w:t>
            </w:r>
            <w:r w:rsidR="00727867">
              <w:rPr>
                <w:szCs w:val="21"/>
              </w:rPr>
              <w:t>出货量同比</w:t>
            </w:r>
            <w:r w:rsidR="00727867">
              <w:rPr>
                <w:rFonts w:hint="eastAsia"/>
                <w:szCs w:val="21"/>
              </w:rPr>
              <w:t>、</w:t>
            </w:r>
            <w:r w:rsidR="00727867">
              <w:rPr>
                <w:szCs w:val="21"/>
              </w:rPr>
              <w:t>环比均有增长</w:t>
            </w:r>
            <w:r w:rsidR="00D90A97">
              <w:rPr>
                <w:rFonts w:hint="eastAsia"/>
                <w:szCs w:val="21"/>
              </w:rPr>
              <w:t>。</w:t>
            </w:r>
            <w:r w:rsidR="00D90A97" w:rsidRPr="00D90A97">
              <w:rPr>
                <w:rFonts w:hint="eastAsia"/>
                <w:szCs w:val="21"/>
              </w:rPr>
              <w:t>12</w:t>
            </w:r>
            <w:r w:rsidR="00D90A97" w:rsidRPr="00D90A97">
              <w:rPr>
                <w:rFonts w:hint="eastAsia"/>
                <w:szCs w:val="21"/>
              </w:rPr>
              <w:t>英寸硅片总出货量下半年有望继续提高</w:t>
            </w:r>
            <w:r w:rsidR="00D90A97">
              <w:rPr>
                <w:rFonts w:hint="eastAsia"/>
                <w:szCs w:val="21"/>
              </w:rPr>
              <w:t>。</w:t>
            </w:r>
          </w:p>
          <w:p w:rsidR="00A9197A" w:rsidRDefault="00727867" w:rsidP="00AF7EF9">
            <w:pPr>
              <w:spacing w:line="360" w:lineRule="auto"/>
              <w:ind w:firstLineChars="200" w:firstLine="420"/>
              <w:rPr>
                <w:szCs w:val="21"/>
              </w:rPr>
            </w:pPr>
            <w:r>
              <w:rPr>
                <w:rFonts w:hint="eastAsia"/>
                <w:szCs w:val="21"/>
              </w:rPr>
              <w:t>2</w:t>
            </w:r>
            <w:r>
              <w:rPr>
                <w:szCs w:val="21"/>
              </w:rPr>
              <w:t>.</w:t>
            </w:r>
            <w:r w:rsidR="00A9197A">
              <w:rPr>
                <w:szCs w:val="21"/>
              </w:rPr>
              <w:t>公司</w:t>
            </w:r>
            <w:r w:rsidR="00A9197A">
              <w:rPr>
                <w:rFonts w:hint="eastAsia"/>
                <w:szCs w:val="21"/>
              </w:rPr>
              <w:t>2</w:t>
            </w:r>
            <w:r w:rsidR="00A9197A">
              <w:rPr>
                <w:szCs w:val="21"/>
              </w:rPr>
              <w:t>025</w:t>
            </w:r>
            <w:r w:rsidR="00A9197A">
              <w:rPr>
                <w:szCs w:val="21"/>
              </w:rPr>
              <w:t>半年度计提了减值</w:t>
            </w:r>
            <w:r w:rsidR="00A9197A">
              <w:rPr>
                <w:rFonts w:hint="eastAsia"/>
                <w:szCs w:val="21"/>
              </w:rPr>
              <w:t>，</w:t>
            </w:r>
            <w:r w:rsidR="00A9197A">
              <w:rPr>
                <w:szCs w:val="21"/>
              </w:rPr>
              <w:t>主要原因是什么</w:t>
            </w:r>
            <w:r w:rsidR="00A9197A">
              <w:rPr>
                <w:rFonts w:hint="eastAsia"/>
                <w:szCs w:val="21"/>
              </w:rPr>
              <w:t>？</w:t>
            </w:r>
          </w:p>
          <w:p w:rsidR="00A9197A" w:rsidRDefault="00A9197A" w:rsidP="00AF7EF9">
            <w:pPr>
              <w:spacing w:line="360" w:lineRule="auto"/>
              <w:ind w:firstLineChars="200" w:firstLine="420"/>
              <w:rPr>
                <w:szCs w:val="21"/>
              </w:rPr>
            </w:pPr>
            <w:r>
              <w:rPr>
                <w:szCs w:val="21"/>
              </w:rPr>
              <w:t>答</w:t>
            </w:r>
            <w:r>
              <w:rPr>
                <w:rFonts w:hint="eastAsia"/>
                <w:szCs w:val="21"/>
              </w:rPr>
              <w:t>：</w:t>
            </w:r>
            <w:r w:rsidRPr="00A9197A">
              <w:rPr>
                <w:rFonts w:hint="eastAsia"/>
                <w:szCs w:val="21"/>
              </w:rPr>
              <w:t>根据《企业会计准则》和公司相关政策，公司的存货按照成本与可变现净值孰低计量。存货可变现净值，是按存货的估计售价减去至完工时估计将要发生的成本、估计的销售费用以及相关税费后的金额。</w:t>
            </w:r>
            <w:r>
              <w:rPr>
                <w:rFonts w:hint="eastAsia"/>
                <w:szCs w:val="21"/>
              </w:rPr>
              <w:t>因公司衢州、嘉兴</w:t>
            </w:r>
            <w:r>
              <w:rPr>
                <w:rFonts w:hint="eastAsia"/>
                <w:szCs w:val="21"/>
              </w:rPr>
              <w:t>1</w:t>
            </w:r>
            <w:r>
              <w:rPr>
                <w:szCs w:val="21"/>
              </w:rPr>
              <w:t>2</w:t>
            </w:r>
            <w:r>
              <w:rPr>
                <w:szCs w:val="21"/>
              </w:rPr>
              <w:t>英寸硅片</w:t>
            </w:r>
            <w:r w:rsidR="00B0435D">
              <w:rPr>
                <w:szCs w:val="21"/>
              </w:rPr>
              <w:t>工厂</w:t>
            </w:r>
            <w:r>
              <w:rPr>
                <w:szCs w:val="21"/>
              </w:rPr>
              <w:t>仍处于亏损状态</w:t>
            </w:r>
            <w:r>
              <w:rPr>
                <w:rFonts w:hint="eastAsia"/>
                <w:szCs w:val="21"/>
              </w:rPr>
              <w:t>，</w:t>
            </w:r>
            <w:r>
              <w:rPr>
                <w:szCs w:val="21"/>
              </w:rPr>
              <w:t>基于上述政策计提了相应减值</w:t>
            </w:r>
            <w:r>
              <w:rPr>
                <w:rFonts w:hint="eastAsia"/>
                <w:szCs w:val="21"/>
              </w:rPr>
              <w:t>。</w:t>
            </w:r>
          </w:p>
          <w:p w:rsidR="00A9197A" w:rsidRDefault="00B0435D" w:rsidP="00AF7EF9">
            <w:pPr>
              <w:spacing w:line="360" w:lineRule="auto"/>
              <w:ind w:firstLineChars="200" w:firstLine="420"/>
              <w:rPr>
                <w:szCs w:val="21"/>
              </w:rPr>
            </w:pPr>
            <w:r>
              <w:rPr>
                <w:szCs w:val="21"/>
              </w:rPr>
              <w:t>3.</w:t>
            </w:r>
            <w:r w:rsidR="00A9197A">
              <w:rPr>
                <w:szCs w:val="21"/>
              </w:rPr>
              <w:t>公司化合物半导体射频芯片</w:t>
            </w:r>
            <w:r w:rsidR="00757EFB">
              <w:rPr>
                <w:rFonts w:hint="eastAsia"/>
                <w:szCs w:val="21"/>
              </w:rPr>
              <w:t>出货量</w:t>
            </w:r>
            <w:r w:rsidR="00A9197A">
              <w:rPr>
                <w:szCs w:val="21"/>
              </w:rPr>
              <w:t>出现下降</w:t>
            </w:r>
            <w:r w:rsidR="00A9197A">
              <w:rPr>
                <w:rFonts w:hint="eastAsia"/>
                <w:szCs w:val="21"/>
              </w:rPr>
              <w:t>，</w:t>
            </w:r>
            <w:r w:rsidR="00A9197A" w:rsidRPr="00A9197A">
              <w:rPr>
                <w:rFonts w:hint="eastAsia"/>
                <w:szCs w:val="21"/>
              </w:rPr>
              <w:t>主要原因是什么？</w:t>
            </w:r>
          </w:p>
          <w:p w:rsidR="00757EFB" w:rsidRDefault="00A9197A" w:rsidP="00AF7EF9">
            <w:pPr>
              <w:spacing w:line="360" w:lineRule="auto"/>
              <w:ind w:firstLineChars="200" w:firstLine="420"/>
              <w:rPr>
                <w:szCs w:val="21"/>
              </w:rPr>
            </w:pPr>
            <w:r>
              <w:rPr>
                <w:szCs w:val="21"/>
              </w:rPr>
              <w:t>答</w:t>
            </w:r>
            <w:r>
              <w:rPr>
                <w:rFonts w:hint="eastAsia"/>
                <w:szCs w:val="21"/>
              </w:rPr>
              <w:t>：</w:t>
            </w:r>
            <w:r w:rsidR="00757EFB" w:rsidRPr="00757EFB">
              <w:rPr>
                <w:rFonts w:hint="eastAsia"/>
                <w:szCs w:val="21"/>
              </w:rPr>
              <w:t>化合物半导体射频芯片的出货量同比环比下降的原因主要是与手机相关的</w:t>
            </w:r>
            <w:r w:rsidR="00757EFB" w:rsidRPr="00757EFB">
              <w:rPr>
                <w:rFonts w:hint="eastAsia"/>
                <w:szCs w:val="21"/>
              </w:rPr>
              <w:t>HBT</w:t>
            </w:r>
            <w:r w:rsidR="00757EFB" w:rsidRPr="00757EFB">
              <w:rPr>
                <w:rFonts w:hint="eastAsia"/>
                <w:szCs w:val="21"/>
              </w:rPr>
              <w:t>产品订单下滑，</w:t>
            </w:r>
            <w:r w:rsidR="00757EFB">
              <w:rPr>
                <w:rFonts w:hint="eastAsia"/>
                <w:szCs w:val="21"/>
              </w:rPr>
              <w:t>首先，</w:t>
            </w:r>
            <w:r w:rsidR="00757EFB" w:rsidRPr="00757EFB">
              <w:rPr>
                <w:rFonts w:hint="eastAsia"/>
                <w:szCs w:val="21"/>
              </w:rPr>
              <w:t>一季度处于手机新品研发阶段</w:t>
            </w:r>
            <w:r w:rsidR="00757EFB">
              <w:rPr>
                <w:rFonts w:hint="eastAsia"/>
                <w:szCs w:val="21"/>
              </w:rPr>
              <w:t>，相应的元器件处于更新换代阶段；其</w:t>
            </w:r>
            <w:r w:rsidR="00757EFB">
              <w:rPr>
                <w:rFonts w:hint="eastAsia"/>
                <w:szCs w:val="21"/>
              </w:rPr>
              <w:lastRenderedPageBreak/>
              <w:t>次，目前手机</w:t>
            </w:r>
            <w:r w:rsidR="00757EFB">
              <w:rPr>
                <w:rFonts w:hint="eastAsia"/>
                <w:szCs w:val="21"/>
              </w:rPr>
              <w:t>H</w:t>
            </w:r>
            <w:r w:rsidR="00757EFB">
              <w:rPr>
                <w:szCs w:val="21"/>
              </w:rPr>
              <w:t>BT</w:t>
            </w:r>
            <w:r w:rsidR="00757EFB">
              <w:rPr>
                <w:szCs w:val="21"/>
              </w:rPr>
              <w:t>芯片价格较低</w:t>
            </w:r>
            <w:r w:rsidR="00757EFB">
              <w:rPr>
                <w:rFonts w:hint="eastAsia"/>
                <w:szCs w:val="21"/>
              </w:rPr>
              <w:t>，</w:t>
            </w:r>
            <w:r w:rsidR="00757EFB">
              <w:rPr>
                <w:szCs w:val="21"/>
              </w:rPr>
              <w:t>公司基于对盈利的考虑进行了产品结构的调整</w:t>
            </w:r>
            <w:r w:rsidR="00757EFB">
              <w:rPr>
                <w:rFonts w:hint="eastAsia"/>
                <w:szCs w:val="21"/>
              </w:rPr>
              <w:t>，</w:t>
            </w:r>
            <w:r w:rsidR="00757EFB" w:rsidRPr="00757EFB">
              <w:rPr>
                <w:rFonts w:hint="eastAsia"/>
                <w:szCs w:val="21"/>
              </w:rPr>
              <w:t>减少</w:t>
            </w:r>
            <w:r w:rsidR="00757EFB">
              <w:rPr>
                <w:rFonts w:hint="eastAsia"/>
                <w:szCs w:val="21"/>
              </w:rPr>
              <w:t>低价</w:t>
            </w:r>
            <w:r w:rsidR="00757EFB" w:rsidRPr="00757EFB">
              <w:rPr>
                <w:rFonts w:hint="eastAsia"/>
                <w:szCs w:val="21"/>
              </w:rPr>
              <w:t>手机客户</w:t>
            </w:r>
            <w:r w:rsidR="00757EFB" w:rsidRPr="00757EFB">
              <w:rPr>
                <w:rFonts w:hint="eastAsia"/>
                <w:szCs w:val="21"/>
              </w:rPr>
              <w:t>HBT</w:t>
            </w:r>
            <w:r w:rsidR="00757EFB">
              <w:rPr>
                <w:rFonts w:hint="eastAsia"/>
                <w:szCs w:val="21"/>
              </w:rPr>
              <w:t>订单</w:t>
            </w:r>
            <w:r w:rsidR="00757EFB" w:rsidRPr="00757EFB">
              <w:rPr>
                <w:rFonts w:hint="eastAsia"/>
                <w:szCs w:val="21"/>
              </w:rPr>
              <w:t>，</w:t>
            </w:r>
            <w:r w:rsidR="00757EFB">
              <w:rPr>
                <w:rFonts w:hint="eastAsia"/>
                <w:szCs w:val="21"/>
              </w:rPr>
              <w:t>转向更高技术含量的</w:t>
            </w:r>
            <w:proofErr w:type="gramStart"/>
            <w:r w:rsidR="00757EFB" w:rsidRPr="00757EFB">
              <w:rPr>
                <w:rFonts w:hint="eastAsia"/>
                <w:szCs w:val="21"/>
              </w:rPr>
              <w:t>二维可寻址</w:t>
            </w:r>
            <w:proofErr w:type="gramEnd"/>
            <w:r w:rsidR="00757EFB" w:rsidRPr="00757EFB">
              <w:rPr>
                <w:rFonts w:hint="eastAsia"/>
                <w:szCs w:val="21"/>
              </w:rPr>
              <w:t>VCSEL</w:t>
            </w:r>
            <w:r w:rsidR="00757EFB" w:rsidRPr="00757EFB">
              <w:rPr>
                <w:rFonts w:hint="eastAsia"/>
                <w:szCs w:val="21"/>
              </w:rPr>
              <w:t>芯片及</w:t>
            </w:r>
            <w:r w:rsidR="00757EFB">
              <w:rPr>
                <w:rFonts w:hint="eastAsia"/>
                <w:szCs w:val="21"/>
              </w:rPr>
              <w:t>低轨卫星、</w:t>
            </w:r>
            <w:r w:rsidR="00757EFB" w:rsidRPr="00757EFB">
              <w:rPr>
                <w:rFonts w:hint="eastAsia"/>
                <w:szCs w:val="21"/>
              </w:rPr>
              <w:t>航空航天、机器人等领域</w:t>
            </w:r>
            <w:r w:rsidR="00757EFB">
              <w:rPr>
                <w:rFonts w:hint="eastAsia"/>
                <w:szCs w:val="21"/>
              </w:rPr>
              <w:t>的高价值产品，且高价值产品保持了不错的增速。</w:t>
            </w:r>
          </w:p>
          <w:p w:rsidR="00B0435D" w:rsidRDefault="00B0435D" w:rsidP="00AF7EF9">
            <w:pPr>
              <w:spacing w:line="360" w:lineRule="auto"/>
              <w:ind w:firstLineChars="200" w:firstLine="420"/>
              <w:rPr>
                <w:szCs w:val="21"/>
              </w:rPr>
            </w:pPr>
            <w:r>
              <w:rPr>
                <w:rFonts w:hint="eastAsia"/>
                <w:szCs w:val="21"/>
              </w:rPr>
              <w:t>4</w:t>
            </w:r>
            <w:r>
              <w:rPr>
                <w:szCs w:val="21"/>
              </w:rPr>
              <w:t>.</w:t>
            </w:r>
            <w:r>
              <w:rPr>
                <w:szCs w:val="21"/>
              </w:rPr>
              <w:t>目前</w:t>
            </w:r>
            <w:r>
              <w:rPr>
                <w:szCs w:val="21"/>
              </w:rPr>
              <w:t>VCSEL</w:t>
            </w:r>
            <w:r>
              <w:rPr>
                <w:szCs w:val="21"/>
              </w:rPr>
              <w:t>产品的进展情况如何</w:t>
            </w:r>
            <w:r>
              <w:rPr>
                <w:rFonts w:hint="eastAsia"/>
                <w:szCs w:val="21"/>
              </w:rPr>
              <w:t>？</w:t>
            </w:r>
          </w:p>
          <w:p w:rsidR="00072347" w:rsidRDefault="00B0435D" w:rsidP="00072D80">
            <w:pPr>
              <w:spacing w:line="360" w:lineRule="auto"/>
              <w:ind w:firstLineChars="200" w:firstLine="420"/>
            </w:pPr>
            <w:r>
              <w:rPr>
                <w:szCs w:val="21"/>
              </w:rPr>
              <w:t>答</w:t>
            </w:r>
            <w:r>
              <w:rPr>
                <w:rFonts w:hint="eastAsia"/>
                <w:szCs w:val="21"/>
              </w:rPr>
              <w:t>：</w:t>
            </w:r>
            <w:proofErr w:type="gramStart"/>
            <w:r w:rsidR="00EB4754" w:rsidRPr="00EB4754">
              <w:rPr>
                <w:rFonts w:hint="eastAsia"/>
                <w:szCs w:val="21"/>
              </w:rPr>
              <w:t>立昂东芯开发</w:t>
            </w:r>
            <w:proofErr w:type="gramEnd"/>
            <w:r w:rsidR="00EB4754" w:rsidRPr="00EB4754">
              <w:rPr>
                <w:rFonts w:hint="eastAsia"/>
                <w:szCs w:val="21"/>
              </w:rPr>
              <w:t>的</w:t>
            </w:r>
            <w:proofErr w:type="gramStart"/>
            <w:r w:rsidR="00EB4754" w:rsidRPr="00EB4754">
              <w:rPr>
                <w:rFonts w:hint="eastAsia"/>
                <w:szCs w:val="21"/>
              </w:rPr>
              <w:t>二维可寻址</w:t>
            </w:r>
            <w:proofErr w:type="gramEnd"/>
            <w:r w:rsidR="00EB4754" w:rsidRPr="00EB4754">
              <w:rPr>
                <w:rFonts w:hint="eastAsia"/>
                <w:szCs w:val="21"/>
              </w:rPr>
              <w:t>VCSEL</w:t>
            </w:r>
            <w:r w:rsidR="00EB4754" w:rsidRPr="00EB4754">
              <w:rPr>
                <w:rFonts w:hint="eastAsia"/>
                <w:szCs w:val="21"/>
              </w:rPr>
              <w:t>工艺技术，目前是行业内首家、中国大陆独家量产</w:t>
            </w:r>
            <w:proofErr w:type="gramStart"/>
            <w:r w:rsidR="00EB4754" w:rsidRPr="00EB4754">
              <w:rPr>
                <w:rFonts w:hint="eastAsia"/>
                <w:szCs w:val="21"/>
              </w:rPr>
              <w:t>二维可寻址</w:t>
            </w:r>
            <w:proofErr w:type="gramEnd"/>
            <w:r w:rsidR="00EB4754" w:rsidRPr="00EB4754">
              <w:rPr>
                <w:rFonts w:hint="eastAsia"/>
                <w:szCs w:val="21"/>
              </w:rPr>
              <w:t>激光雷达</w:t>
            </w:r>
            <w:r w:rsidR="00EB4754" w:rsidRPr="00EB4754">
              <w:rPr>
                <w:rFonts w:hint="eastAsia"/>
                <w:szCs w:val="21"/>
              </w:rPr>
              <w:t>VCSEL</w:t>
            </w:r>
            <w:r w:rsidR="00EB4754" w:rsidRPr="00EB4754">
              <w:rPr>
                <w:rFonts w:hint="eastAsia"/>
                <w:szCs w:val="21"/>
              </w:rPr>
              <w:t>芯片的制造厂商，产品终端应用于车载智能驾驶</w:t>
            </w:r>
            <w:proofErr w:type="gramStart"/>
            <w:r w:rsidR="00EB4754" w:rsidRPr="00EB4754">
              <w:rPr>
                <w:rFonts w:hint="eastAsia"/>
                <w:szCs w:val="21"/>
              </w:rPr>
              <w:t>的补盲激光雷达</w:t>
            </w:r>
            <w:proofErr w:type="gramEnd"/>
            <w:r w:rsidR="00EB4754" w:rsidRPr="00EB4754">
              <w:rPr>
                <w:rFonts w:hint="eastAsia"/>
                <w:szCs w:val="21"/>
              </w:rPr>
              <w:t>以及人形机器人、扫地机器人等场景</w:t>
            </w:r>
            <w:r w:rsidR="00EB4754">
              <w:rPr>
                <w:rFonts w:hint="eastAsia"/>
                <w:szCs w:val="21"/>
              </w:rPr>
              <w:t>，</w:t>
            </w:r>
            <w:r w:rsidR="00683B7D">
              <w:rPr>
                <w:rFonts w:hint="eastAsia"/>
                <w:szCs w:val="21"/>
              </w:rPr>
              <w:t>市场应用处于爆发元年。</w:t>
            </w:r>
            <w:bookmarkStart w:id="0" w:name="_GoBack"/>
            <w:bookmarkEnd w:id="0"/>
            <w:r w:rsidR="0002384E" w:rsidRPr="0002384E">
              <w:rPr>
                <w:rFonts w:hint="eastAsia"/>
                <w:szCs w:val="21"/>
              </w:rPr>
              <w:t>VCSEL</w:t>
            </w:r>
            <w:r w:rsidR="0002384E" w:rsidRPr="0002384E">
              <w:rPr>
                <w:rFonts w:hint="eastAsia"/>
                <w:szCs w:val="21"/>
              </w:rPr>
              <w:t>产品</w:t>
            </w:r>
            <w:r w:rsidR="00EB4754">
              <w:rPr>
                <w:rFonts w:hint="eastAsia"/>
                <w:szCs w:val="21"/>
              </w:rPr>
              <w:t>目前订单饱满，</w:t>
            </w:r>
            <w:r w:rsidR="00683B7D">
              <w:rPr>
                <w:rFonts w:hint="eastAsia"/>
                <w:szCs w:val="21"/>
              </w:rPr>
              <w:t>出货量大幅增长</w:t>
            </w:r>
            <w:r w:rsidR="00EB4754" w:rsidRPr="00EB4754">
              <w:rPr>
                <w:rFonts w:hint="eastAsia"/>
                <w:szCs w:val="21"/>
              </w:rPr>
              <w:t>。</w:t>
            </w:r>
          </w:p>
          <w:p w:rsidR="00442868" w:rsidRPr="00072347" w:rsidRDefault="00442868" w:rsidP="00072D80">
            <w:pPr>
              <w:spacing w:line="360" w:lineRule="auto"/>
              <w:ind w:firstLineChars="200" w:firstLine="420"/>
              <w:rPr>
                <w:szCs w:val="21"/>
              </w:rPr>
            </w:pPr>
          </w:p>
        </w:tc>
      </w:tr>
      <w:tr w:rsidR="00A7583D" w:rsidTr="008B49B3">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583D" w:rsidRDefault="00095967">
            <w:pPr>
              <w:spacing w:line="360" w:lineRule="auto"/>
              <w:rPr>
                <w:rFonts w:ascii="宋体" w:hAnsi="宋体"/>
                <w:bCs/>
                <w:iCs/>
                <w:szCs w:val="21"/>
              </w:rPr>
            </w:pPr>
            <w:r>
              <w:rPr>
                <w:rFonts w:ascii="宋体" w:hAnsi="宋体" w:hint="eastAsia"/>
                <w:bCs/>
                <w:iCs/>
                <w:szCs w:val="21"/>
              </w:rPr>
              <w:lastRenderedPageBreak/>
              <w:t>资料清单（如有）</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7583D" w:rsidRDefault="00206463">
            <w:pPr>
              <w:spacing w:line="360" w:lineRule="auto"/>
              <w:rPr>
                <w:rFonts w:ascii="宋体" w:hAnsi="宋体"/>
                <w:bCs/>
                <w:iCs/>
                <w:szCs w:val="21"/>
              </w:rPr>
            </w:pPr>
            <w:r>
              <w:rPr>
                <w:rFonts w:ascii="宋体" w:hAnsi="宋体"/>
                <w:bCs/>
                <w:iCs/>
                <w:szCs w:val="21"/>
              </w:rPr>
              <w:t>无</w:t>
            </w:r>
          </w:p>
        </w:tc>
      </w:tr>
    </w:tbl>
    <w:p w:rsidR="00A7583D" w:rsidRDefault="00A7583D"/>
    <w:sectPr w:rsidR="00A7583D" w:rsidSect="008B49B3">
      <w:headerReference w:type="default" r:id="rId8"/>
      <w:pgSz w:w="11906" w:h="16838"/>
      <w:pgMar w:top="1440" w:right="1080" w:bottom="1440" w:left="1080"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3D9" w:rsidRDefault="001563D9">
      <w:r>
        <w:separator/>
      </w:r>
    </w:p>
  </w:endnote>
  <w:endnote w:type="continuationSeparator" w:id="0">
    <w:p w:rsidR="001563D9" w:rsidRDefault="0015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3D9" w:rsidRDefault="001563D9">
      <w:r>
        <w:separator/>
      </w:r>
    </w:p>
  </w:footnote>
  <w:footnote w:type="continuationSeparator" w:id="0">
    <w:p w:rsidR="001563D9" w:rsidRDefault="0015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3D" w:rsidRDefault="00A7583D">
    <w:pPr>
      <w:pStyle w:val="a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7"/>
    <w:rsid w:val="00003AAD"/>
    <w:rsid w:val="00004450"/>
    <w:rsid w:val="00016E14"/>
    <w:rsid w:val="0002384E"/>
    <w:rsid w:val="00027809"/>
    <w:rsid w:val="0003699D"/>
    <w:rsid w:val="00037382"/>
    <w:rsid w:val="00040F45"/>
    <w:rsid w:val="00044A8C"/>
    <w:rsid w:val="00044BAE"/>
    <w:rsid w:val="00052734"/>
    <w:rsid w:val="000557CB"/>
    <w:rsid w:val="00057658"/>
    <w:rsid w:val="00060EC2"/>
    <w:rsid w:val="000625DE"/>
    <w:rsid w:val="0006462C"/>
    <w:rsid w:val="00072347"/>
    <w:rsid w:val="00072D80"/>
    <w:rsid w:val="00086803"/>
    <w:rsid w:val="00087466"/>
    <w:rsid w:val="000935B7"/>
    <w:rsid w:val="00095967"/>
    <w:rsid w:val="000A194C"/>
    <w:rsid w:val="000A1F23"/>
    <w:rsid w:val="000A356A"/>
    <w:rsid w:val="000A7EB1"/>
    <w:rsid w:val="000A7FA7"/>
    <w:rsid w:val="000B3580"/>
    <w:rsid w:val="000B653A"/>
    <w:rsid w:val="000C40DB"/>
    <w:rsid w:val="000C5F6E"/>
    <w:rsid w:val="000E326A"/>
    <w:rsid w:val="000E32FF"/>
    <w:rsid w:val="000F401F"/>
    <w:rsid w:val="000F5B41"/>
    <w:rsid w:val="000F64AB"/>
    <w:rsid w:val="00101ED7"/>
    <w:rsid w:val="00103F95"/>
    <w:rsid w:val="001119B1"/>
    <w:rsid w:val="00113E0B"/>
    <w:rsid w:val="0012110F"/>
    <w:rsid w:val="00124313"/>
    <w:rsid w:val="00124C30"/>
    <w:rsid w:val="00130E2A"/>
    <w:rsid w:val="00152CCE"/>
    <w:rsid w:val="001563D9"/>
    <w:rsid w:val="00170D0E"/>
    <w:rsid w:val="00171A86"/>
    <w:rsid w:val="001802AD"/>
    <w:rsid w:val="001B1702"/>
    <w:rsid w:val="001B342D"/>
    <w:rsid w:val="001B3792"/>
    <w:rsid w:val="001C00B9"/>
    <w:rsid w:val="001C20EA"/>
    <w:rsid w:val="001E043B"/>
    <w:rsid w:val="00206463"/>
    <w:rsid w:val="00236C3E"/>
    <w:rsid w:val="00243A65"/>
    <w:rsid w:val="00281958"/>
    <w:rsid w:val="002915A4"/>
    <w:rsid w:val="00292F10"/>
    <w:rsid w:val="002961B7"/>
    <w:rsid w:val="002A0533"/>
    <w:rsid w:val="002B047E"/>
    <w:rsid w:val="002B3622"/>
    <w:rsid w:val="002C7EEA"/>
    <w:rsid w:val="002D1318"/>
    <w:rsid w:val="002E4C01"/>
    <w:rsid w:val="002E6A3F"/>
    <w:rsid w:val="002F5888"/>
    <w:rsid w:val="00302659"/>
    <w:rsid w:val="003150D9"/>
    <w:rsid w:val="00317BCE"/>
    <w:rsid w:val="0032161F"/>
    <w:rsid w:val="00324E21"/>
    <w:rsid w:val="00326D84"/>
    <w:rsid w:val="003279E7"/>
    <w:rsid w:val="00340111"/>
    <w:rsid w:val="00350E2B"/>
    <w:rsid w:val="0035341F"/>
    <w:rsid w:val="00355EED"/>
    <w:rsid w:val="00357364"/>
    <w:rsid w:val="00386025"/>
    <w:rsid w:val="00386A5D"/>
    <w:rsid w:val="003871C3"/>
    <w:rsid w:val="003B6A80"/>
    <w:rsid w:val="003C34DC"/>
    <w:rsid w:val="003D53A6"/>
    <w:rsid w:val="003E0DEE"/>
    <w:rsid w:val="003E36A5"/>
    <w:rsid w:val="003E3CF8"/>
    <w:rsid w:val="003F4430"/>
    <w:rsid w:val="00403DEC"/>
    <w:rsid w:val="004066E4"/>
    <w:rsid w:val="00411CE0"/>
    <w:rsid w:val="00412B3C"/>
    <w:rsid w:val="00412C5B"/>
    <w:rsid w:val="00422B11"/>
    <w:rsid w:val="00430786"/>
    <w:rsid w:val="00441A91"/>
    <w:rsid w:val="00442868"/>
    <w:rsid w:val="00446372"/>
    <w:rsid w:val="00450316"/>
    <w:rsid w:val="00451021"/>
    <w:rsid w:val="00456AB8"/>
    <w:rsid w:val="00470539"/>
    <w:rsid w:val="0048117D"/>
    <w:rsid w:val="0049046A"/>
    <w:rsid w:val="00490D0A"/>
    <w:rsid w:val="00492E92"/>
    <w:rsid w:val="0049650C"/>
    <w:rsid w:val="00496595"/>
    <w:rsid w:val="004A3B48"/>
    <w:rsid w:val="004A4D4B"/>
    <w:rsid w:val="004B6856"/>
    <w:rsid w:val="004D5BEA"/>
    <w:rsid w:val="004D692D"/>
    <w:rsid w:val="004E34B5"/>
    <w:rsid w:val="004E3C32"/>
    <w:rsid w:val="004E634B"/>
    <w:rsid w:val="004E6CC3"/>
    <w:rsid w:val="004E7D16"/>
    <w:rsid w:val="004F1C65"/>
    <w:rsid w:val="0050763D"/>
    <w:rsid w:val="005242D2"/>
    <w:rsid w:val="005263C2"/>
    <w:rsid w:val="00550EA7"/>
    <w:rsid w:val="00554042"/>
    <w:rsid w:val="005660D3"/>
    <w:rsid w:val="005765A6"/>
    <w:rsid w:val="005808D4"/>
    <w:rsid w:val="00583648"/>
    <w:rsid w:val="00591488"/>
    <w:rsid w:val="005A2542"/>
    <w:rsid w:val="005B56B2"/>
    <w:rsid w:val="005B7F61"/>
    <w:rsid w:val="005C20A8"/>
    <w:rsid w:val="005C3CEC"/>
    <w:rsid w:val="005E22D8"/>
    <w:rsid w:val="00605942"/>
    <w:rsid w:val="00607E8B"/>
    <w:rsid w:val="00612EB4"/>
    <w:rsid w:val="0061697C"/>
    <w:rsid w:val="00622609"/>
    <w:rsid w:val="00625065"/>
    <w:rsid w:val="00625BE0"/>
    <w:rsid w:val="006343BA"/>
    <w:rsid w:val="006350A2"/>
    <w:rsid w:val="00642946"/>
    <w:rsid w:val="00664C06"/>
    <w:rsid w:val="00683B7D"/>
    <w:rsid w:val="00686BF4"/>
    <w:rsid w:val="0068745F"/>
    <w:rsid w:val="00694273"/>
    <w:rsid w:val="00697A06"/>
    <w:rsid w:val="006A5604"/>
    <w:rsid w:val="006A7460"/>
    <w:rsid w:val="006B09F7"/>
    <w:rsid w:val="006C353B"/>
    <w:rsid w:val="006D0BB7"/>
    <w:rsid w:val="006E166A"/>
    <w:rsid w:val="006E2023"/>
    <w:rsid w:val="006E2EB9"/>
    <w:rsid w:val="006E5C0E"/>
    <w:rsid w:val="006F00F3"/>
    <w:rsid w:val="006F0744"/>
    <w:rsid w:val="006F3E82"/>
    <w:rsid w:val="006F4BD9"/>
    <w:rsid w:val="00702654"/>
    <w:rsid w:val="00702E32"/>
    <w:rsid w:val="00715E54"/>
    <w:rsid w:val="00720382"/>
    <w:rsid w:val="00723CA2"/>
    <w:rsid w:val="00727867"/>
    <w:rsid w:val="007312E6"/>
    <w:rsid w:val="00733670"/>
    <w:rsid w:val="00735DE5"/>
    <w:rsid w:val="0074536E"/>
    <w:rsid w:val="007514B9"/>
    <w:rsid w:val="00752D48"/>
    <w:rsid w:val="00754E21"/>
    <w:rsid w:val="00757EFB"/>
    <w:rsid w:val="0076404D"/>
    <w:rsid w:val="00767BDC"/>
    <w:rsid w:val="00767F01"/>
    <w:rsid w:val="00771CB5"/>
    <w:rsid w:val="007763AB"/>
    <w:rsid w:val="007865C8"/>
    <w:rsid w:val="0079344F"/>
    <w:rsid w:val="00796569"/>
    <w:rsid w:val="007A652A"/>
    <w:rsid w:val="007B0092"/>
    <w:rsid w:val="007B0B59"/>
    <w:rsid w:val="007B356F"/>
    <w:rsid w:val="007B6ABA"/>
    <w:rsid w:val="007C2A1F"/>
    <w:rsid w:val="007C7676"/>
    <w:rsid w:val="007D4AC0"/>
    <w:rsid w:val="00817613"/>
    <w:rsid w:val="008235B9"/>
    <w:rsid w:val="00836DC0"/>
    <w:rsid w:val="008502BA"/>
    <w:rsid w:val="00854E51"/>
    <w:rsid w:val="00855D11"/>
    <w:rsid w:val="0085799B"/>
    <w:rsid w:val="00860E21"/>
    <w:rsid w:val="008634DA"/>
    <w:rsid w:val="00871D36"/>
    <w:rsid w:val="008727FC"/>
    <w:rsid w:val="0087571B"/>
    <w:rsid w:val="00884519"/>
    <w:rsid w:val="00890091"/>
    <w:rsid w:val="008A3B71"/>
    <w:rsid w:val="008A4B3A"/>
    <w:rsid w:val="008B1C89"/>
    <w:rsid w:val="008B2181"/>
    <w:rsid w:val="008B49B3"/>
    <w:rsid w:val="008C0A46"/>
    <w:rsid w:val="008C2CF4"/>
    <w:rsid w:val="008D391A"/>
    <w:rsid w:val="008E1CA9"/>
    <w:rsid w:val="008E1DFB"/>
    <w:rsid w:val="008E7038"/>
    <w:rsid w:val="008F56B5"/>
    <w:rsid w:val="008F5F02"/>
    <w:rsid w:val="008F7D33"/>
    <w:rsid w:val="00900A69"/>
    <w:rsid w:val="009310BD"/>
    <w:rsid w:val="00933396"/>
    <w:rsid w:val="00935F07"/>
    <w:rsid w:val="0093675D"/>
    <w:rsid w:val="00936E9B"/>
    <w:rsid w:val="009429CA"/>
    <w:rsid w:val="00952B88"/>
    <w:rsid w:val="00955093"/>
    <w:rsid w:val="00956141"/>
    <w:rsid w:val="00961393"/>
    <w:rsid w:val="00962461"/>
    <w:rsid w:val="00975059"/>
    <w:rsid w:val="0098643C"/>
    <w:rsid w:val="009931E3"/>
    <w:rsid w:val="00997D5D"/>
    <w:rsid w:val="009A5492"/>
    <w:rsid w:val="009B4A4D"/>
    <w:rsid w:val="009B5222"/>
    <w:rsid w:val="009E6713"/>
    <w:rsid w:val="009E7F14"/>
    <w:rsid w:val="009F3634"/>
    <w:rsid w:val="009F3EC7"/>
    <w:rsid w:val="009F6CA9"/>
    <w:rsid w:val="00A212C7"/>
    <w:rsid w:val="00A413A3"/>
    <w:rsid w:val="00A51300"/>
    <w:rsid w:val="00A55ECB"/>
    <w:rsid w:val="00A60619"/>
    <w:rsid w:val="00A636B4"/>
    <w:rsid w:val="00A7063E"/>
    <w:rsid w:val="00A72166"/>
    <w:rsid w:val="00A727C5"/>
    <w:rsid w:val="00A7583D"/>
    <w:rsid w:val="00A84194"/>
    <w:rsid w:val="00A90EDC"/>
    <w:rsid w:val="00A9197A"/>
    <w:rsid w:val="00A92973"/>
    <w:rsid w:val="00A94D7A"/>
    <w:rsid w:val="00AA3E75"/>
    <w:rsid w:val="00AA61E1"/>
    <w:rsid w:val="00AA7504"/>
    <w:rsid w:val="00AB294F"/>
    <w:rsid w:val="00AC13C6"/>
    <w:rsid w:val="00AD3984"/>
    <w:rsid w:val="00AD7259"/>
    <w:rsid w:val="00AD77CB"/>
    <w:rsid w:val="00AF1AED"/>
    <w:rsid w:val="00AF7EF9"/>
    <w:rsid w:val="00B0435D"/>
    <w:rsid w:val="00B06FA1"/>
    <w:rsid w:val="00B14020"/>
    <w:rsid w:val="00B266FE"/>
    <w:rsid w:val="00B30215"/>
    <w:rsid w:val="00B44423"/>
    <w:rsid w:val="00B5182F"/>
    <w:rsid w:val="00B640DF"/>
    <w:rsid w:val="00B647E3"/>
    <w:rsid w:val="00B663BF"/>
    <w:rsid w:val="00B67800"/>
    <w:rsid w:val="00B67A06"/>
    <w:rsid w:val="00B724A4"/>
    <w:rsid w:val="00B7635A"/>
    <w:rsid w:val="00B802F4"/>
    <w:rsid w:val="00B87438"/>
    <w:rsid w:val="00B90DEE"/>
    <w:rsid w:val="00B97B92"/>
    <w:rsid w:val="00BA277C"/>
    <w:rsid w:val="00BB197E"/>
    <w:rsid w:val="00BB6EAD"/>
    <w:rsid w:val="00BC324F"/>
    <w:rsid w:val="00BC66F0"/>
    <w:rsid w:val="00BD1167"/>
    <w:rsid w:val="00BD7EED"/>
    <w:rsid w:val="00BD7F1F"/>
    <w:rsid w:val="00BE0AE3"/>
    <w:rsid w:val="00BE6F8F"/>
    <w:rsid w:val="00BF6AD4"/>
    <w:rsid w:val="00C04516"/>
    <w:rsid w:val="00C05C68"/>
    <w:rsid w:val="00C06CC5"/>
    <w:rsid w:val="00C07E57"/>
    <w:rsid w:val="00C10EBB"/>
    <w:rsid w:val="00C2230B"/>
    <w:rsid w:val="00C30594"/>
    <w:rsid w:val="00C44498"/>
    <w:rsid w:val="00C50791"/>
    <w:rsid w:val="00C51065"/>
    <w:rsid w:val="00C54677"/>
    <w:rsid w:val="00C65C0A"/>
    <w:rsid w:val="00C81DDB"/>
    <w:rsid w:val="00C82EEF"/>
    <w:rsid w:val="00C8326E"/>
    <w:rsid w:val="00C83C0F"/>
    <w:rsid w:val="00CA4615"/>
    <w:rsid w:val="00CA7A8B"/>
    <w:rsid w:val="00CB09E6"/>
    <w:rsid w:val="00CD19FD"/>
    <w:rsid w:val="00CE21D8"/>
    <w:rsid w:val="00CE2291"/>
    <w:rsid w:val="00CF2411"/>
    <w:rsid w:val="00CF6AC9"/>
    <w:rsid w:val="00CF7890"/>
    <w:rsid w:val="00D10669"/>
    <w:rsid w:val="00D16A2E"/>
    <w:rsid w:val="00D17876"/>
    <w:rsid w:val="00D350CA"/>
    <w:rsid w:val="00D35B95"/>
    <w:rsid w:val="00D4436E"/>
    <w:rsid w:val="00D44E5F"/>
    <w:rsid w:val="00D45DA2"/>
    <w:rsid w:val="00D47419"/>
    <w:rsid w:val="00D54EA9"/>
    <w:rsid w:val="00D61589"/>
    <w:rsid w:val="00D643D9"/>
    <w:rsid w:val="00D6454F"/>
    <w:rsid w:val="00D64F1D"/>
    <w:rsid w:val="00D66265"/>
    <w:rsid w:val="00D72DD0"/>
    <w:rsid w:val="00D812F5"/>
    <w:rsid w:val="00D90A97"/>
    <w:rsid w:val="00D92F29"/>
    <w:rsid w:val="00D95ADD"/>
    <w:rsid w:val="00DA65F0"/>
    <w:rsid w:val="00DA74D5"/>
    <w:rsid w:val="00DB59F5"/>
    <w:rsid w:val="00DB5BD4"/>
    <w:rsid w:val="00DD28F9"/>
    <w:rsid w:val="00DF730E"/>
    <w:rsid w:val="00E07190"/>
    <w:rsid w:val="00E138D6"/>
    <w:rsid w:val="00E16556"/>
    <w:rsid w:val="00E22906"/>
    <w:rsid w:val="00E235CD"/>
    <w:rsid w:val="00E25ADC"/>
    <w:rsid w:val="00E25FD2"/>
    <w:rsid w:val="00E27E3E"/>
    <w:rsid w:val="00E32D99"/>
    <w:rsid w:val="00E3356E"/>
    <w:rsid w:val="00E3501F"/>
    <w:rsid w:val="00E41520"/>
    <w:rsid w:val="00E612AD"/>
    <w:rsid w:val="00E664E7"/>
    <w:rsid w:val="00E66830"/>
    <w:rsid w:val="00E72F4F"/>
    <w:rsid w:val="00E802CA"/>
    <w:rsid w:val="00E83B8C"/>
    <w:rsid w:val="00E8561E"/>
    <w:rsid w:val="00E92DBE"/>
    <w:rsid w:val="00E93AD7"/>
    <w:rsid w:val="00E9486A"/>
    <w:rsid w:val="00E94C1F"/>
    <w:rsid w:val="00E95AA3"/>
    <w:rsid w:val="00E96C69"/>
    <w:rsid w:val="00EB4754"/>
    <w:rsid w:val="00EC4F30"/>
    <w:rsid w:val="00EC5B63"/>
    <w:rsid w:val="00EC71EC"/>
    <w:rsid w:val="00EE33AB"/>
    <w:rsid w:val="00EF7494"/>
    <w:rsid w:val="00EF750A"/>
    <w:rsid w:val="00F0068E"/>
    <w:rsid w:val="00F064B2"/>
    <w:rsid w:val="00F139E9"/>
    <w:rsid w:val="00F26997"/>
    <w:rsid w:val="00F3273C"/>
    <w:rsid w:val="00F34ED6"/>
    <w:rsid w:val="00F40147"/>
    <w:rsid w:val="00F424E0"/>
    <w:rsid w:val="00F4252E"/>
    <w:rsid w:val="00F51952"/>
    <w:rsid w:val="00F526E7"/>
    <w:rsid w:val="00F545EA"/>
    <w:rsid w:val="00F57D24"/>
    <w:rsid w:val="00F601FC"/>
    <w:rsid w:val="00F7530C"/>
    <w:rsid w:val="00F8321B"/>
    <w:rsid w:val="00F837C0"/>
    <w:rsid w:val="00F8725F"/>
    <w:rsid w:val="00F97927"/>
    <w:rsid w:val="00FA214A"/>
    <w:rsid w:val="00FA32A8"/>
    <w:rsid w:val="00FA7C56"/>
    <w:rsid w:val="00FB3454"/>
    <w:rsid w:val="00FB58D8"/>
    <w:rsid w:val="00FB7581"/>
    <w:rsid w:val="00FB7646"/>
    <w:rsid w:val="00FC634E"/>
    <w:rsid w:val="00FC6A5B"/>
    <w:rsid w:val="00FD3A9C"/>
    <w:rsid w:val="00FD5C3F"/>
    <w:rsid w:val="00FE3006"/>
    <w:rsid w:val="00FE5A89"/>
    <w:rsid w:val="00FF05F1"/>
    <w:rsid w:val="00FF18B2"/>
    <w:rsid w:val="00FF40F5"/>
    <w:rsid w:val="4FC95DEC"/>
    <w:rsid w:val="575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642AF-F412-41E2-BE70-00A9A03E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206463"/>
    <w:rPr>
      <w:sz w:val="18"/>
      <w:szCs w:val="18"/>
    </w:rPr>
  </w:style>
  <w:style w:type="character" w:customStyle="1" w:styleId="Char1">
    <w:name w:val="批注框文本 Char"/>
    <w:basedOn w:val="a0"/>
    <w:link w:val="a5"/>
    <w:uiPriority w:val="99"/>
    <w:semiHidden/>
    <w:rsid w:val="0020646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A142-FDD8-4F08-A9D2-1B917A21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李志鹏</cp:lastModifiedBy>
  <cp:revision>7</cp:revision>
  <cp:lastPrinted>2025-07-24T07:53:00Z</cp:lastPrinted>
  <dcterms:created xsi:type="dcterms:W3CDTF">2025-07-23T08:40:00Z</dcterms:created>
  <dcterms:modified xsi:type="dcterms:W3CDTF">2025-07-24T08:11:00Z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